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465EAD" w:rsidRDefault="006F17B5" w:rsidP="001B16D9">
      <w:pPr>
        <w:pStyle w:val="Ttulo1"/>
        <w:jc w:val="both"/>
        <w:rPr>
          <w:color w:val="31849B" w:themeColor="accent5" w:themeShade="BF"/>
        </w:rPr>
      </w:pPr>
      <w:r w:rsidRPr="00465EAD">
        <w:rPr>
          <w:color w:val="31849B" w:themeColor="accent5" w:themeShade="BF"/>
        </w:rPr>
        <w:t>INFORME RELATIVO A LAS OBSERVACIONES REMITIDAS EN RELACIÓN CON EL INFORME DEL CTBG SOBRE CUMPLIMIENTO DE LAS OBLIGACIONES DE PUBLICIDAD ACTIVA ESTABLECIDAS POR LA LTAIB</w:t>
      </w:r>
      <w:r w:rsidR="00B5520E" w:rsidRPr="00465EAD">
        <w:rPr>
          <w:color w:val="31849B" w:themeColor="accent5" w:themeShade="BF"/>
        </w:rPr>
        <w:t xml:space="preserve"> POR PARTE DEL PORTAL DE LA TRAN</w:t>
      </w:r>
      <w:r w:rsidR="00DF3C90">
        <w:rPr>
          <w:color w:val="31849B" w:themeColor="accent5" w:themeShade="BF"/>
        </w:rPr>
        <w:t>S</w:t>
      </w:r>
      <w:r w:rsidR="00B5520E" w:rsidRPr="00465EAD">
        <w:rPr>
          <w:color w:val="31849B" w:themeColor="accent5" w:themeShade="BF"/>
        </w:rPr>
        <w:t xml:space="preserve">PARENCIA DE LA ADMINISTRACIÓN GENERAL DEL ESTADO 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DF3C90" w:rsidRDefault="00DF3C90" w:rsidP="00563923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 w:val="22"/>
        </w:rPr>
      </w:pPr>
    </w:p>
    <w:p w:rsidR="006D4BF3" w:rsidRDefault="00D23111" w:rsidP="00563923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 w:val="22"/>
        </w:rPr>
      </w:pPr>
      <w:r w:rsidRPr="00563923">
        <w:rPr>
          <w:rFonts w:asciiTheme="minorHAnsi" w:hAnsiTheme="minorHAnsi" w:cstheme="minorHAnsi"/>
          <w:sz w:val="22"/>
        </w:rPr>
        <w:t>En contestación a</w:t>
      </w:r>
      <w:r w:rsidR="00B5520E" w:rsidRPr="00563923">
        <w:rPr>
          <w:rFonts w:asciiTheme="minorHAnsi" w:hAnsiTheme="minorHAnsi" w:cstheme="minorHAnsi"/>
          <w:sz w:val="22"/>
        </w:rPr>
        <w:t xml:space="preserve">l informe </w:t>
      </w:r>
      <w:r w:rsidR="00CD147D">
        <w:rPr>
          <w:rFonts w:asciiTheme="minorHAnsi" w:hAnsiTheme="minorHAnsi" w:cstheme="minorHAnsi"/>
          <w:sz w:val="22"/>
        </w:rPr>
        <w:t>remitido</w:t>
      </w:r>
      <w:r w:rsidR="00B5520E" w:rsidRPr="00563923">
        <w:rPr>
          <w:rFonts w:asciiTheme="minorHAnsi" w:hAnsiTheme="minorHAnsi" w:cstheme="minorHAnsi"/>
          <w:sz w:val="22"/>
        </w:rPr>
        <w:t xml:space="preserve"> el </w:t>
      </w:r>
      <w:r w:rsidR="00FC1400">
        <w:rPr>
          <w:rFonts w:asciiTheme="minorHAnsi" w:hAnsiTheme="minorHAnsi" w:cstheme="minorHAnsi"/>
          <w:sz w:val="22"/>
        </w:rPr>
        <w:t>19</w:t>
      </w:r>
      <w:r w:rsidR="00B5520E" w:rsidRPr="00563923">
        <w:rPr>
          <w:rFonts w:asciiTheme="minorHAnsi" w:hAnsiTheme="minorHAnsi" w:cstheme="minorHAnsi"/>
          <w:sz w:val="22"/>
        </w:rPr>
        <w:t xml:space="preserve"> de </w:t>
      </w:r>
      <w:r w:rsidR="00FC1400">
        <w:rPr>
          <w:rFonts w:asciiTheme="minorHAnsi" w:hAnsiTheme="minorHAnsi" w:cstheme="minorHAnsi"/>
          <w:sz w:val="22"/>
        </w:rPr>
        <w:t>abril</w:t>
      </w:r>
      <w:r w:rsidR="00B5520E" w:rsidRPr="00563923">
        <w:rPr>
          <w:rFonts w:asciiTheme="minorHAnsi" w:hAnsiTheme="minorHAnsi" w:cstheme="minorHAnsi"/>
          <w:sz w:val="22"/>
        </w:rPr>
        <w:t xml:space="preserve"> de 202</w:t>
      </w:r>
      <w:r w:rsidR="00FC1400">
        <w:rPr>
          <w:rFonts w:asciiTheme="minorHAnsi" w:hAnsiTheme="minorHAnsi" w:cstheme="minorHAnsi"/>
          <w:sz w:val="22"/>
        </w:rPr>
        <w:t>2</w:t>
      </w:r>
      <w:r w:rsidR="00C119CE" w:rsidRPr="00563923">
        <w:rPr>
          <w:rFonts w:asciiTheme="minorHAnsi" w:hAnsiTheme="minorHAnsi" w:cstheme="minorHAnsi"/>
          <w:sz w:val="22"/>
        </w:rPr>
        <w:t>,</w:t>
      </w:r>
      <w:r w:rsidR="005B1C12" w:rsidRPr="00563923">
        <w:rPr>
          <w:rFonts w:asciiTheme="minorHAnsi" w:hAnsiTheme="minorHAnsi" w:cstheme="minorHAnsi"/>
          <w:sz w:val="22"/>
        </w:rPr>
        <w:t xml:space="preserve"> </w:t>
      </w:r>
      <w:r w:rsidR="00DC20E5" w:rsidRPr="00563923">
        <w:rPr>
          <w:rFonts w:asciiTheme="minorHAnsi" w:hAnsiTheme="minorHAnsi" w:cstheme="minorHAnsi"/>
          <w:sz w:val="22"/>
        </w:rPr>
        <w:t xml:space="preserve">y </w:t>
      </w:r>
      <w:r w:rsidRPr="00563923">
        <w:rPr>
          <w:rFonts w:asciiTheme="minorHAnsi" w:hAnsiTheme="minorHAnsi" w:cstheme="minorHAnsi"/>
          <w:sz w:val="22"/>
        </w:rPr>
        <w:t>una vez analizad</w:t>
      </w:r>
      <w:r w:rsidR="00241D6D">
        <w:rPr>
          <w:rFonts w:asciiTheme="minorHAnsi" w:hAnsiTheme="minorHAnsi" w:cstheme="minorHAnsi"/>
          <w:sz w:val="22"/>
        </w:rPr>
        <w:t>o</w:t>
      </w:r>
      <w:r w:rsidRPr="00563923">
        <w:rPr>
          <w:rFonts w:asciiTheme="minorHAnsi" w:hAnsiTheme="minorHAnsi" w:cstheme="minorHAnsi"/>
          <w:sz w:val="22"/>
        </w:rPr>
        <w:t xml:space="preserve">s </w:t>
      </w:r>
      <w:r w:rsidR="00241D6D">
        <w:rPr>
          <w:rFonts w:asciiTheme="minorHAnsi" w:hAnsiTheme="minorHAnsi" w:cstheme="minorHAnsi"/>
          <w:sz w:val="22"/>
        </w:rPr>
        <w:t xml:space="preserve"> los comentarios </w:t>
      </w:r>
      <w:r w:rsidRPr="00563923">
        <w:rPr>
          <w:rFonts w:asciiTheme="minorHAnsi" w:hAnsiTheme="minorHAnsi" w:cstheme="minorHAnsi"/>
          <w:sz w:val="22"/>
        </w:rPr>
        <w:t>realizad</w:t>
      </w:r>
      <w:r w:rsidR="00241D6D">
        <w:rPr>
          <w:rFonts w:asciiTheme="minorHAnsi" w:hAnsiTheme="minorHAnsi" w:cstheme="minorHAnsi"/>
          <w:sz w:val="22"/>
        </w:rPr>
        <w:t>o</w:t>
      </w:r>
      <w:r w:rsidRPr="00563923">
        <w:rPr>
          <w:rFonts w:asciiTheme="minorHAnsi" w:hAnsiTheme="minorHAnsi" w:cstheme="minorHAnsi"/>
          <w:sz w:val="22"/>
        </w:rPr>
        <w:t xml:space="preserve">s al borrador de informe de evaluación </w:t>
      </w:r>
      <w:r w:rsidR="00B81EE6" w:rsidRPr="00563923">
        <w:rPr>
          <w:rFonts w:asciiTheme="minorHAnsi" w:hAnsiTheme="minorHAnsi" w:cstheme="minorHAnsi"/>
          <w:sz w:val="22"/>
        </w:rPr>
        <w:t xml:space="preserve">relativo al </w:t>
      </w:r>
      <w:r w:rsidRPr="00563923">
        <w:rPr>
          <w:rFonts w:asciiTheme="minorHAnsi" w:hAnsiTheme="minorHAnsi" w:cstheme="minorHAnsi"/>
          <w:sz w:val="22"/>
        </w:rPr>
        <w:t>cumplimiento de las obligaciones de publicidad activa por parte de</w:t>
      </w:r>
      <w:r w:rsidR="00B5520E" w:rsidRPr="00563923">
        <w:rPr>
          <w:rFonts w:asciiTheme="minorHAnsi" w:hAnsiTheme="minorHAnsi" w:cstheme="minorHAnsi"/>
          <w:sz w:val="22"/>
        </w:rPr>
        <w:t xml:space="preserve">l Portal de la Transparencia de la Administración General del Estado, el Consejo de Transparencia y Buen Gobierno </w:t>
      </w:r>
      <w:r w:rsidRPr="00563923">
        <w:rPr>
          <w:rFonts w:asciiTheme="minorHAnsi" w:hAnsiTheme="minorHAnsi" w:cstheme="minorHAnsi"/>
          <w:sz w:val="22"/>
        </w:rPr>
        <w:t>efectúa las siguientes consideraciones</w:t>
      </w:r>
      <w:r w:rsidR="006D4BF3" w:rsidRPr="00563923">
        <w:rPr>
          <w:rFonts w:asciiTheme="minorHAnsi" w:hAnsiTheme="minorHAnsi" w:cstheme="minorHAnsi"/>
          <w:sz w:val="22"/>
        </w:rPr>
        <w:t>.</w:t>
      </w:r>
    </w:p>
    <w:p w:rsidR="0034465B" w:rsidRDefault="0034465B" w:rsidP="00563923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color w:val="31849B" w:themeColor="accent5" w:themeShade="BF"/>
          <w:szCs w:val="24"/>
        </w:rPr>
      </w:pPr>
    </w:p>
    <w:p w:rsidR="00D23111" w:rsidRPr="004D246C" w:rsidRDefault="006D4BF3" w:rsidP="00563923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color w:val="365F91" w:themeColor="accent1" w:themeShade="BF"/>
          <w:szCs w:val="24"/>
        </w:rPr>
      </w:pPr>
      <w:r w:rsidRPr="00F270A6">
        <w:rPr>
          <w:rFonts w:asciiTheme="minorHAnsi" w:hAnsiTheme="minorHAnsi" w:cstheme="minorHAnsi"/>
          <w:b/>
          <w:color w:val="31849B" w:themeColor="accent5" w:themeShade="BF"/>
          <w:szCs w:val="24"/>
        </w:rPr>
        <w:t>Localización y estructuración de la información</w:t>
      </w:r>
    </w:p>
    <w:p w:rsidR="0034465B" w:rsidRDefault="00440C9A" w:rsidP="00465EAD">
      <w:pPr>
        <w:jc w:val="both"/>
        <w:rPr>
          <w:rFonts w:asciiTheme="minorHAnsi" w:hAnsiTheme="minorHAnsi" w:cstheme="minorHAnsi"/>
        </w:rPr>
      </w:pPr>
      <w:r w:rsidRPr="00465EAD">
        <w:rPr>
          <w:rFonts w:asciiTheme="minorHAnsi" w:hAnsiTheme="minorHAnsi" w:cstheme="minorHAnsi"/>
        </w:rPr>
        <w:t xml:space="preserve">El comentario </w:t>
      </w:r>
      <w:r w:rsidR="00CD147D">
        <w:rPr>
          <w:rFonts w:asciiTheme="minorHAnsi" w:hAnsiTheme="minorHAnsi" w:cstheme="minorHAnsi"/>
        </w:rPr>
        <w:t xml:space="preserve">del informe provisional de revisión </w:t>
      </w:r>
      <w:r w:rsidRPr="00465EAD">
        <w:rPr>
          <w:rFonts w:asciiTheme="minorHAnsi" w:hAnsiTheme="minorHAnsi" w:cstheme="minorHAnsi"/>
        </w:rPr>
        <w:t>referido a que “</w:t>
      </w:r>
      <w:r w:rsidR="00FC1400" w:rsidRPr="00465EAD">
        <w:rPr>
          <w:rFonts w:asciiTheme="minorHAnsi" w:hAnsiTheme="minorHAnsi" w:cstheme="minorHAnsi"/>
          <w:i/>
        </w:rPr>
        <w:t>La información de relevancia jurídica sigue sin ajustarse a la estructura que establece la LTAIBG”</w:t>
      </w:r>
      <w:r w:rsidR="00FC1400" w:rsidRPr="00465EAD">
        <w:rPr>
          <w:rFonts w:asciiTheme="minorHAnsi" w:hAnsiTheme="minorHAnsi" w:cstheme="minorHAnsi"/>
        </w:rPr>
        <w:t xml:space="preserve"> </w:t>
      </w:r>
      <w:r w:rsidR="00F270A6" w:rsidRPr="00465EAD">
        <w:rPr>
          <w:rFonts w:asciiTheme="minorHAnsi" w:hAnsiTheme="minorHAnsi" w:cstheme="minorHAnsi"/>
        </w:rPr>
        <w:t xml:space="preserve"> </w:t>
      </w:r>
      <w:r w:rsidR="00FC1400" w:rsidRPr="00465EAD">
        <w:rPr>
          <w:rFonts w:asciiTheme="minorHAnsi" w:hAnsiTheme="minorHAnsi" w:cstheme="minorHAnsi"/>
        </w:rPr>
        <w:t xml:space="preserve">hace alusión a </w:t>
      </w:r>
      <w:r w:rsidR="00297544" w:rsidRPr="00465EAD">
        <w:rPr>
          <w:rFonts w:asciiTheme="minorHAnsi" w:hAnsiTheme="minorHAnsi" w:cstheme="minorHAnsi"/>
        </w:rPr>
        <w:t xml:space="preserve">que esta información  </w:t>
      </w:r>
      <w:r w:rsidR="0034465B">
        <w:rPr>
          <w:rFonts w:asciiTheme="minorHAnsi" w:hAnsiTheme="minorHAnsi" w:cstheme="minorHAnsi"/>
        </w:rPr>
        <w:t>debería estructurarse de acuerdo con los apartados señalados en el artículo 7 de la LTAIBG</w:t>
      </w:r>
    </w:p>
    <w:p w:rsidR="00FC1400" w:rsidRPr="00465EAD" w:rsidRDefault="0034465B" w:rsidP="00465EAD">
      <w:p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Sin embargo, la información referida </w:t>
      </w:r>
      <w:r w:rsidR="00651A35">
        <w:rPr>
          <w:rFonts w:asciiTheme="minorHAnsi" w:hAnsiTheme="minorHAnsi" w:cstheme="minorHAnsi"/>
        </w:rPr>
        <w:t>en</w:t>
      </w:r>
      <w:r>
        <w:rPr>
          <w:rFonts w:asciiTheme="minorHAnsi" w:hAnsiTheme="minorHAnsi" w:cstheme="minorHAnsi"/>
        </w:rPr>
        <w:t xml:space="preserve"> este precepto </w:t>
      </w:r>
      <w:r w:rsidR="00297544" w:rsidRPr="00465EAD">
        <w:rPr>
          <w:rFonts w:asciiTheme="minorHAnsi" w:hAnsiTheme="minorHAnsi" w:cstheme="minorHAnsi"/>
        </w:rPr>
        <w:t>se organiza en el Portal en los siguientes apartados:  Plan anual normativo – que no constituye una obligación de publicidad activa–</w:t>
      </w:r>
      <w:r w:rsidR="00977D71">
        <w:rPr>
          <w:rFonts w:asciiTheme="minorHAnsi" w:hAnsiTheme="minorHAnsi" w:cstheme="minorHAnsi"/>
        </w:rPr>
        <w:t xml:space="preserve">, </w:t>
      </w:r>
      <w:r w:rsidR="00297544" w:rsidRPr="00465EAD">
        <w:rPr>
          <w:rFonts w:asciiTheme="minorHAnsi" w:hAnsiTheme="minorHAnsi" w:cstheme="minorHAnsi"/>
        </w:rPr>
        <w:t xml:space="preserve"> Información pública: normas – que tampoco es una información obligatoria contemplada en  la LTAIBG -, Normas en tramitación – que tampoco se ajusta a los contenidos del artículo 7 de la LTAIBG -, Normas con tramitación finalizada – que no constituye una obligación de publicidad activa –</w:t>
      </w:r>
      <w:r w:rsidR="00977D71">
        <w:rPr>
          <w:rFonts w:asciiTheme="minorHAnsi" w:hAnsiTheme="minorHAnsi" w:cstheme="minorHAnsi"/>
        </w:rPr>
        <w:t xml:space="preserve">, y, </w:t>
      </w:r>
      <w:r w:rsidR="00297544" w:rsidRPr="00465EAD">
        <w:rPr>
          <w:rFonts w:asciiTheme="minorHAnsi" w:hAnsiTheme="minorHAnsi" w:cstheme="minorHAnsi"/>
        </w:rPr>
        <w:t xml:space="preserve"> Directrices e instrucciones e información pública: otros – que tampoco se ajusta </w:t>
      </w:r>
      <w:r w:rsidR="00977D71">
        <w:rPr>
          <w:rFonts w:asciiTheme="minorHAnsi" w:hAnsiTheme="minorHAnsi" w:cstheme="minorHAnsi"/>
        </w:rPr>
        <w:t xml:space="preserve">en su literalidad </w:t>
      </w:r>
      <w:r w:rsidR="00297544" w:rsidRPr="00465EAD">
        <w:rPr>
          <w:rFonts w:asciiTheme="minorHAnsi" w:hAnsiTheme="minorHAnsi" w:cstheme="minorHAnsi"/>
        </w:rPr>
        <w:t xml:space="preserve"> al artículo 7 de la LTAIBG.</w:t>
      </w:r>
    </w:p>
    <w:p w:rsidR="00297544" w:rsidRPr="00465EAD" w:rsidRDefault="00297544" w:rsidP="00465EAD">
      <w:pPr>
        <w:jc w:val="both"/>
        <w:rPr>
          <w:rFonts w:asciiTheme="minorHAnsi" w:hAnsiTheme="minorHAnsi" w:cstheme="minorHAnsi"/>
        </w:rPr>
      </w:pPr>
      <w:r w:rsidRPr="00465EAD">
        <w:rPr>
          <w:rFonts w:asciiTheme="minorHAnsi" w:hAnsiTheme="minorHAnsi" w:cstheme="minorHAnsi"/>
        </w:rPr>
        <w:t>El artículo 7 de la LTAIBG contempla las siguientes obligaciones de publicidad activa:</w:t>
      </w:r>
    </w:p>
    <w:p w:rsidR="00297544" w:rsidRDefault="00297544" w:rsidP="00297544">
      <w:pPr>
        <w:pStyle w:val="Prrafodelista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297544">
        <w:rPr>
          <w:rFonts w:asciiTheme="minorHAnsi" w:hAnsiTheme="minorHAnsi" w:cstheme="minorHAnsi"/>
        </w:rPr>
        <w:t>Las directrices, instrucciones, acuerdos, circulares o respuestas a consultas planteadas por los particulares u otros órganos en la medida en que supongan una interpretación del Derecho o tengan efectos jurídicos</w:t>
      </w:r>
      <w:r>
        <w:rPr>
          <w:rFonts w:asciiTheme="minorHAnsi" w:hAnsiTheme="minorHAnsi" w:cstheme="minorHAnsi"/>
        </w:rPr>
        <w:t>.</w:t>
      </w:r>
    </w:p>
    <w:p w:rsidR="00297544" w:rsidRDefault="00297544" w:rsidP="00297544">
      <w:pPr>
        <w:pStyle w:val="Prrafodelista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297544">
        <w:rPr>
          <w:rFonts w:asciiTheme="minorHAnsi" w:hAnsiTheme="minorHAnsi" w:cstheme="minorHAnsi"/>
        </w:rPr>
        <w:t xml:space="preserve">Los Anteproyectos de Ley y los proyectos </w:t>
      </w:r>
      <w:r>
        <w:rPr>
          <w:rFonts w:asciiTheme="minorHAnsi" w:hAnsiTheme="minorHAnsi" w:cstheme="minorHAnsi"/>
        </w:rPr>
        <w:t>de Decretos Legislati</w:t>
      </w:r>
      <w:r w:rsidR="003C2D19">
        <w:rPr>
          <w:rFonts w:asciiTheme="minorHAnsi" w:hAnsiTheme="minorHAnsi" w:cstheme="minorHAnsi"/>
        </w:rPr>
        <w:t xml:space="preserve">vos, </w:t>
      </w:r>
      <w:r>
        <w:rPr>
          <w:rFonts w:asciiTheme="minorHAnsi" w:hAnsiTheme="minorHAnsi" w:cstheme="minorHAnsi"/>
        </w:rPr>
        <w:t>que en la práctica constituyen dos obligaciones diferenciadas ya que se trata de normas de diferente naturaleza</w:t>
      </w:r>
      <w:r w:rsidR="003C2D19">
        <w:rPr>
          <w:rFonts w:asciiTheme="minorHAnsi" w:hAnsiTheme="minorHAnsi" w:cstheme="minorHAnsi"/>
        </w:rPr>
        <w:t>.</w:t>
      </w:r>
    </w:p>
    <w:p w:rsidR="00297544" w:rsidRDefault="00297544" w:rsidP="00297544">
      <w:pPr>
        <w:pStyle w:val="Prrafodelista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297544">
        <w:rPr>
          <w:rFonts w:asciiTheme="minorHAnsi" w:hAnsiTheme="minorHAnsi" w:cstheme="minorHAnsi"/>
        </w:rPr>
        <w:t>Los proyectos de Reglamentos cuya iniciativa les corresponda</w:t>
      </w:r>
      <w:r w:rsidR="003C2D19">
        <w:rPr>
          <w:rFonts w:asciiTheme="minorHAnsi" w:hAnsiTheme="minorHAnsi" w:cstheme="minorHAnsi"/>
        </w:rPr>
        <w:t>.</w:t>
      </w:r>
    </w:p>
    <w:p w:rsidR="00297544" w:rsidRDefault="00297544" w:rsidP="00297544">
      <w:pPr>
        <w:pStyle w:val="Prrafodelista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297544">
        <w:rPr>
          <w:rFonts w:asciiTheme="minorHAnsi" w:hAnsiTheme="minorHAnsi" w:cstheme="minorHAnsi"/>
        </w:rPr>
        <w:lastRenderedPageBreak/>
        <w:t>Las memorias e informes que conformen los expedientes de elaboración de los textos normativos, en particular, la memoria del análisis de impacto normativo</w:t>
      </w:r>
      <w:r w:rsidR="003C2D19">
        <w:rPr>
          <w:rFonts w:asciiTheme="minorHAnsi" w:hAnsiTheme="minorHAnsi" w:cstheme="minorHAnsi"/>
        </w:rPr>
        <w:t>.</w:t>
      </w:r>
    </w:p>
    <w:p w:rsidR="00297544" w:rsidRDefault="00F270A6" w:rsidP="00F270A6">
      <w:pPr>
        <w:pStyle w:val="Prrafodelista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F270A6">
        <w:rPr>
          <w:rFonts w:asciiTheme="minorHAnsi" w:hAnsiTheme="minorHAnsi" w:cstheme="minorHAnsi"/>
        </w:rPr>
        <w:t>Los documentos que, conforme a la legislación sectorial vigente, deban ser sometidos a un período de información pública durante su tramitación</w:t>
      </w:r>
      <w:r>
        <w:rPr>
          <w:rFonts w:asciiTheme="minorHAnsi" w:hAnsiTheme="minorHAnsi" w:cstheme="minorHAnsi"/>
        </w:rPr>
        <w:t>.</w:t>
      </w:r>
    </w:p>
    <w:p w:rsidR="00F270A6" w:rsidRDefault="00651A35" w:rsidP="00F270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F270A6">
        <w:rPr>
          <w:rFonts w:asciiTheme="minorHAnsi" w:hAnsiTheme="minorHAnsi" w:cstheme="minorHAnsi"/>
        </w:rPr>
        <w:t>a información de Relevancia Jurídica en el Portal de Transparencia de la AGE</w:t>
      </w:r>
      <w:r>
        <w:rPr>
          <w:rFonts w:asciiTheme="minorHAnsi" w:hAnsiTheme="minorHAnsi" w:cstheme="minorHAnsi"/>
        </w:rPr>
        <w:t xml:space="preserve"> debería estructurarse conforme a estas informaciones obligatorias</w:t>
      </w:r>
      <w:r w:rsidR="00F270A6">
        <w:rPr>
          <w:rFonts w:asciiTheme="minorHAnsi" w:hAnsiTheme="minorHAnsi" w:cstheme="minorHAnsi"/>
        </w:rPr>
        <w:t xml:space="preserve">, generando un </w:t>
      </w:r>
      <w:r w:rsidR="003C2D19">
        <w:rPr>
          <w:rFonts w:asciiTheme="minorHAnsi" w:hAnsiTheme="minorHAnsi" w:cstheme="minorHAnsi"/>
        </w:rPr>
        <w:t>apartado para cada una de ellas</w:t>
      </w:r>
      <w:r w:rsidR="00977D71">
        <w:rPr>
          <w:rFonts w:asciiTheme="minorHAnsi" w:hAnsiTheme="minorHAnsi" w:cstheme="minorHAnsi"/>
        </w:rPr>
        <w:t xml:space="preserve">, siendo </w:t>
      </w:r>
      <w:r w:rsidR="003C2D19">
        <w:rPr>
          <w:rFonts w:asciiTheme="minorHAnsi" w:hAnsiTheme="minorHAnsi" w:cstheme="minorHAnsi"/>
        </w:rPr>
        <w:t>en ese sentido la recomendación efectuada por este Consejo.</w:t>
      </w:r>
      <w:r w:rsidR="00F270A6">
        <w:rPr>
          <w:rFonts w:asciiTheme="minorHAnsi" w:hAnsiTheme="minorHAnsi" w:cstheme="minorHAnsi"/>
        </w:rPr>
        <w:t xml:space="preserve"> </w:t>
      </w:r>
    </w:p>
    <w:p w:rsidR="00F270A6" w:rsidRPr="00F270A6" w:rsidRDefault="00F270A6" w:rsidP="00F270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Por otra parte, en su informe de </w:t>
      </w:r>
      <w:r w:rsidR="00977D71">
        <w:rPr>
          <w:rFonts w:asciiTheme="minorHAnsi" w:hAnsiTheme="minorHAnsi" w:cstheme="minorHAnsi"/>
        </w:rPr>
        <w:t>contestación</w:t>
      </w:r>
      <w:r>
        <w:rPr>
          <w:rFonts w:asciiTheme="minorHAnsi" w:hAnsiTheme="minorHAnsi" w:cstheme="minorHAnsi"/>
        </w:rPr>
        <w:t xml:space="preserve">, </w:t>
      </w:r>
      <w:r w:rsidR="00651A35">
        <w:rPr>
          <w:rFonts w:asciiTheme="minorHAnsi" w:hAnsiTheme="minorHAnsi" w:cstheme="minorHAnsi"/>
        </w:rPr>
        <w:t xml:space="preserve">se </w:t>
      </w:r>
      <w:r>
        <w:rPr>
          <w:rFonts w:asciiTheme="minorHAnsi" w:hAnsiTheme="minorHAnsi" w:cstheme="minorHAnsi"/>
        </w:rPr>
        <w:t xml:space="preserve">indica que para llevar a cabo esta reestructuración </w:t>
      </w:r>
      <w:r w:rsidR="00651A35">
        <w:rPr>
          <w:rFonts w:asciiTheme="minorHAnsi" w:hAnsiTheme="minorHAnsi" w:cstheme="minorHAnsi"/>
        </w:rPr>
        <w:t xml:space="preserve">se </w:t>
      </w:r>
      <w:r>
        <w:rPr>
          <w:rFonts w:asciiTheme="minorHAnsi" w:hAnsiTheme="minorHAnsi" w:cstheme="minorHAnsi"/>
        </w:rPr>
        <w:t>está a la espera del criterio interpretativo del Consejo relativo a la información de relevancia jurídica. Sin embargo este criterio</w:t>
      </w:r>
      <w:r>
        <w:rPr>
          <w:rFonts w:asciiTheme="minorHAnsi" w:hAnsiTheme="minorHAnsi" w:cstheme="minorHAnsi"/>
        </w:rPr>
        <w:t xml:space="preserve"> no </w:t>
      </w:r>
      <w:r w:rsidR="003C2D19">
        <w:rPr>
          <w:rFonts w:asciiTheme="minorHAnsi" w:hAnsiTheme="minorHAnsi" w:cstheme="minorHAnsi"/>
        </w:rPr>
        <w:t>hará</w:t>
      </w:r>
      <w:r>
        <w:rPr>
          <w:rFonts w:asciiTheme="minorHAnsi" w:hAnsiTheme="minorHAnsi" w:cstheme="minorHAnsi"/>
        </w:rPr>
        <w:t xml:space="preserve"> ningún tipo de referencia a la manera en que debería organizarse esta información sino que</w:t>
      </w:r>
      <w:r w:rsidR="003C2D19">
        <w:rPr>
          <w:rFonts w:asciiTheme="minorHAnsi" w:hAnsiTheme="minorHAnsi" w:cstheme="minorHAnsi"/>
        </w:rPr>
        <w:t xml:space="preserve">, como es conocido, </w:t>
      </w:r>
      <w:r>
        <w:rPr>
          <w:rFonts w:asciiTheme="minorHAnsi" w:hAnsiTheme="minorHAnsi" w:cstheme="minorHAnsi"/>
        </w:rPr>
        <w:t>se centra</w:t>
      </w:r>
      <w:r w:rsidR="003C2D19">
        <w:rPr>
          <w:rFonts w:asciiTheme="minorHAnsi" w:hAnsiTheme="minorHAnsi" w:cstheme="minorHAnsi"/>
        </w:rPr>
        <w:t>rá</w:t>
      </w:r>
      <w:r>
        <w:rPr>
          <w:rFonts w:asciiTheme="minorHAnsi" w:hAnsiTheme="minorHAnsi" w:cstheme="minorHAnsi"/>
        </w:rPr>
        <w:t xml:space="preserve"> en la </w:t>
      </w:r>
      <w:r>
        <w:rPr>
          <w:rFonts w:asciiTheme="minorHAnsi" w:hAnsiTheme="minorHAnsi" w:cstheme="minorHAnsi"/>
        </w:rPr>
        <w:t xml:space="preserve">delimitación del contenido material de la información contemplada en el artículo 7.a) de la LTAIBG, </w:t>
      </w:r>
      <w:r w:rsidR="00977D71">
        <w:rPr>
          <w:rFonts w:asciiTheme="minorHAnsi" w:hAnsiTheme="minorHAnsi" w:cstheme="minorHAnsi"/>
        </w:rPr>
        <w:t xml:space="preserve">no existiendo </w:t>
      </w:r>
      <w:r>
        <w:rPr>
          <w:rFonts w:asciiTheme="minorHAnsi" w:hAnsiTheme="minorHAnsi" w:cstheme="minorHAnsi"/>
        </w:rPr>
        <w:t xml:space="preserve"> impedimento para que la información del Portal en esta materia se organice conforme al artículo 7 de la Ley.</w:t>
      </w:r>
    </w:p>
    <w:p w:rsidR="00465EAD" w:rsidRDefault="00465EAD" w:rsidP="00563923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color w:val="31849B" w:themeColor="accent5" w:themeShade="BF"/>
          <w:szCs w:val="24"/>
        </w:rPr>
      </w:pPr>
    </w:p>
    <w:p w:rsidR="00210111" w:rsidRPr="00F270A6" w:rsidRDefault="00210111" w:rsidP="00563923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color w:val="31849B" w:themeColor="accent5" w:themeShade="BF"/>
          <w:szCs w:val="24"/>
        </w:rPr>
      </w:pPr>
      <w:r w:rsidRPr="00F270A6">
        <w:rPr>
          <w:rFonts w:asciiTheme="minorHAnsi" w:hAnsiTheme="minorHAnsi" w:cstheme="minorHAnsi"/>
          <w:b/>
          <w:color w:val="31849B" w:themeColor="accent5" w:themeShade="BF"/>
          <w:szCs w:val="24"/>
        </w:rPr>
        <w:t>Información institucional, organizativa y de planificación. Registro de actividades de tratamiento.</w:t>
      </w:r>
    </w:p>
    <w:p w:rsidR="00855ECA" w:rsidRPr="00563923" w:rsidRDefault="00855ECA" w:rsidP="00563923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 w:val="22"/>
        </w:rPr>
      </w:pPr>
    </w:p>
    <w:p w:rsidR="00665BA1" w:rsidRPr="00563923" w:rsidRDefault="00F270A6" w:rsidP="00B21038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</w:rPr>
      </w:pPr>
      <w:r w:rsidRPr="00F270A6">
        <w:rPr>
          <w:rFonts w:asciiTheme="minorHAnsi" w:hAnsiTheme="minorHAnsi" w:cstheme="minorHAnsi"/>
        </w:rPr>
        <w:t xml:space="preserve">En relación con el </w:t>
      </w:r>
      <w:r w:rsidRPr="00B21038">
        <w:rPr>
          <w:rFonts w:asciiTheme="minorHAnsi" w:hAnsiTheme="minorHAnsi" w:cstheme="minorHAnsi"/>
          <w:b/>
        </w:rPr>
        <w:t>grado de cumplimiento y resultados de los p</w:t>
      </w:r>
      <w:r w:rsidR="00665BA1" w:rsidRPr="00B21038">
        <w:rPr>
          <w:rFonts w:asciiTheme="minorHAnsi" w:hAnsiTheme="minorHAnsi" w:cstheme="minorHAnsi"/>
          <w:b/>
        </w:rPr>
        <w:t>lanes y programas</w:t>
      </w:r>
      <w:r>
        <w:rPr>
          <w:rFonts w:asciiTheme="minorHAnsi" w:hAnsiTheme="minorHAnsi" w:cstheme="minorHAnsi"/>
        </w:rPr>
        <w:t xml:space="preserve">, se indica en el informe de observaciones que esta información no debería relacionarse </w:t>
      </w:r>
      <w:r w:rsidR="00593405">
        <w:rPr>
          <w:rFonts w:asciiTheme="minorHAnsi" w:hAnsiTheme="minorHAnsi" w:cstheme="minorHAnsi"/>
        </w:rPr>
        <w:t xml:space="preserve">– por parte del Consejo - </w:t>
      </w:r>
      <w:r>
        <w:rPr>
          <w:rFonts w:asciiTheme="minorHAnsi" w:hAnsiTheme="minorHAnsi" w:cstheme="minorHAnsi"/>
        </w:rPr>
        <w:t xml:space="preserve">con </w:t>
      </w:r>
      <w:r w:rsidR="00593405">
        <w:rPr>
          <w:rFonts w:asciiTheme="minorHAnsi" w:hAnsiTheme="minorHAnsi" w:cstheme="minorHAnsi"/>
        </w:rPr>
        <w:t xml:space="preserve"> la contenida en el elemento informativo “Otros informes y estadísticas”.  La cuestión es que la única información que ha podido ser localizada relacionada con esta obligación se localiza en este último apartado</w:t>
      </w:r>
      <w:r w:rsidR="00B21038">
        <w:rPr>
          <w:rFonts w:asciiTheme="minorHAnsi" w:hAnsiTheme="minorHAnsi" w:cstheme="minorHAnsi"/>
        </w:rPr>
        <w:t xml:space="preserve"> tal y como se indica en el informe provisional de revisión. Por otra parte </w:t>
      </w:r>
      <w:r w:rsidR="00651A35">
        <w:rPr>
          <w:rFonts w:asciiTheme="minorHAnsi" w:hAnsiTheme="minorHAnsi" w:cstheme="minorHAnsi"/>
        </w:rPr>
        <w:t xml:space="preserve">la posible mejora detectada, además de la </w:t>
      </w:r>
      <w:r w:rsidR="00B21038">
        <w:rPr>
          <w:rFonts w:asciiTheme="minorHAnsi" w:hAnsiTheme="minorHAnsi" w:cstheme="minorHAnsi"/>
        </w:rPr>
        <w:t xml:space="preserve">ubicación, </w:t>
      </w:r>
      <w:r w:rsidR="00651A35">
        <w:rPr>
          <w:rFonts w:asciiTheme="minorHAnsi" w:hAnsiTheme="minorHAnsi" w:cstheme="minorHAnsi"/>
        </w:rPr>
        <w:t xml:space="preserve">se refiere principalmente a </w:t>
      </w:r>
      <w:r w:rsidR="00B21038">
        <w:rPr>
          <w:rFonts w:asciiTheme="minorHAnsi" w:hAnsiTheme="minorHAnsi" w:cstheme="minorHAnsi"/>
        </w:rPr>
        <w:t>los contenidos publicados: 21 informaciones relacionadas con esta obligación de las cuales 15 han perdido vigencia.</w:t>
      </w:r>
      <w:r w:rsidR="00593405">
        <w:rPr>
          <w:rFonts w:asciiTheme="minorHAnsi" w:hAnsiTheme="minorHAnsi" w:cstheme="minorHAnsi"/>
        </w:rPr>
        <w:t xml:space="preserve"> </w:t>
      </w:r>
      <w:r w:rsidR="00665BA1" w:rsidRPr="00F270A6">
        <w:rPr>
          <w:rFonts w:asciiTheme="minorHAnsi" w:hAnsiTheme="minorHAnsi" w:cstheme="minorHAnsi"/>
        </w:rPr>
        <w:t xml:space="preserve"> </w:t>
      </w:r>
    </w:p>
    <w:p w:rsidR="00B21038" w:rsidRDefault="00B21038" w:rsidP="00563923">
      <w:pPr>
        <w:spacing w:before="120" w:after="120" w:line="312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En relación con los </w:t>
      </w:r>
      <w:r w:rsidRPr="00B21038">
        <w:rPr>
          <w:rFonts w:asciiTheme="minorHAnsi" w:hAnsiTheme="minorHAnsi" w:cstheme="minorHAnsi"/>
          <w:b/>
          <w:sz w:val="22"/>
        </w:rPr>
        <w:t>indicadores de medida y valoración</w:t>
      </w:r>
      <w:r w:rsidR="00E765D0">
        <w:rPr>
          <w:rFonts w:asciiTheme="minorHAnsi" w:hAnsiTheme="minorHAnsi" w:cstheme="minorHAnsi"/>
          <w:sz w:val="22"/>
        </w:rPr>
        <w:t xml:space="preserve">, se indica en el informe </w:t>
      </w:r>
      <w:r w:rsidR="00345F4B">
        <w:rPr>
          <w:rFonts w:asciiTheme="minorHAnsi" w:hAnsiTheme="minorHAnsi" w:cstheme="minorHAnsi"/>
          <w:sz w:val="22"/>
        </w:rPr>
        <w:t xml:space="preserve">de los responsables del Portal de Transparencia </w:t>
      </w:r>
      <w:r w:rsidR="00E765D0">
        <w:rPr>
          <w:rFonts w:asciiTheme="minorHAnsi" w:hAnsiTheme="minorHAnsi" w:cstheme="minorHAnsi"/>
          <w:sz w:val="22"/>
        </w:rPr>
        <w:t xml:space="preserve">que </w:t>
      </w:r>
      <w:r>
        <w:rPr>
          <w:rFonts w:asciiTheme="minorHAnsi" w:hAnsiTheme="minorHAnsi" w:cstheme="minorHAnsi"/>
          <w:sz w:val="22"/>
        </w:rPr>
        <w:t>“</w:t>
      </w:r>
      <w:r w:rsidRPr="00B21038">
        <w:rPr>
          <w:rFonts w:asciiTheme="minorHAnsi" w:hAnsiTheme="minorHAnsi" w:cstheme="minorHAnsi"/>
          <w:sz w:val="22"/>
        </w:rPr>
        <w:t>El</w:t>
      </w:r>
      <w:r>
        <w:rPr>
          <w:rFonts w:asciiTheme="minorHAnsi" w:hAnsiTheme="minorHAnsi" w:cstheme="minorHAnsi"/>
          <w:sz w:val="22"/>
        </w:rPr>
        <w:t xml:space="preserve"> </w:t>
      </w:r>
      <w:r w:rsidRPr="00B21038">
        <w:rPr>
          <w:rFonts w:asciiTheme="minorHAnsi" w:hAnsiTheme="minorHAnsi" w:cstheme="minorHAnsi"/>
          <w:sz w:val="22"/>
        </w:rPr>
        <w:t>CTBG</w:t>
      </w:r>
      <w:r>
        <w:rPr>
          <w:rFonts w:asciiTheme="minorHAnsi" w:hAnsiTheme="minorHAnsi" w:cstheme="minorHAnsi"/>
          <w:sz w:val="22"/>
        </w:rPr>
        <w:t xml:space="preserve"> </w:t>
      </w:r>
      <w:r w:rsidR="00E765D0">
        <w:rPr>
          <w:rFonts w:asciiTheme="minorHAnsi" w:hAnsiTheme="minorHAnsi" w:cstheme="minorHAnsi"/>
          <w:sz w:val="22"/>
        </w:rPr>
        <w:t>c</w:t>
      </w:r>
      <w:r w:rsidRPr="00B21038">
        <w:rPr>
          <w:rFonts w:asciiTheme="minorHAnsi" w:hAnsiTheme="minorHAnsi" w:cstheme="minorHAnsi"/>
          <w:sz w:val="22"/>
        </w:rPr>
        <w:t>onsidera que hay separar los indicadores de medida y la valoración del grado de cumplimiento</w:t>
      </w:r>
      <w:r w:rsidR="00E765D0">
        <w:rPr>
          <w:rFonts w:asciiTheme="minorHAnsi" w:hAnsiTheme="minorHAnsi" w:cstheme="minorHAnsi"/>
          <w:sz w:val="22"/>
        </w:rPr>
        <w:t xml:space="preserve">”. </w:t>
      </w:r>
      <w:r w:rsidR="00345F4B">
        <w:rPr>
          <w:rFonts w:asciiTheme="minorHAnsi" w:hAnsiTheme="minorHAnsi" w:cstheme="minorHAnsi"/>
          <w:sz w:val="22"/>
        </w:rPr>
        <w:t>Sin embargo, d</w:t>
      </w:r>
      <w:r w:rsidR="00E765D0">
        <w:rPr>
          <w:rFonts w:asciiTheme="minorHAnsi" w:hAnsiTheme="minorHAnsi" w:cstheme="minorHAnsi"/>
          <w:sz w:val="22"/>
        </w:rPr>
        <w:t xml:space="preserve">esde este  Consejo </w:t>
      </w:r>
      <w:r w:rsidR="00345F4B">
        <w:rPr>
          <w:rFonts w:asciiTheme="minorHAnsi" w:hAnsiTheme="minorHAnsi" w:cstheme="minorHAnsi"/>
          <w:sz w:val="22"/>
        </w:rPr>
        <w:t xml:space="preserve">no </w:t>
      </w:r>
      <w:r w:rsidR="00E765D0">
        <w:rPr>
          <w:rFonts w:asciiTheme="minorHAnsi" w:hAnsiTheme="minorHAnsi" w:cstheme="minorHAnsi"/>
          <w:sz w:val="22"/>
        </w:rPr>
        <w:t xml:space="preserve">se considera </w:t>
      </w:r>
      <w:r w:rsidR="00345F4B">
        <w:rPr>
          <w:rFonts w:asciiTheme="minorHAnsi" w:hAnsiTheme="minorHAnsi" w:cstheme="minorHAnsi"/>
          <w:sz w:val="22"/>
        </w:rPr>
        <w:t xml:space="preserve">dicha </w:t>
      </w:r>
      <w:r w:rsidR="00E765D0">
        <w:rPr>
          <w:rFonts w:asciiTheme="minorHAnsi" w:hAnsiTheme="minorHAnsi" w:cstheme="minorHAnsi"/>
          <w:sz w:val="22"/>
        </w:rPr>
        <w:t xml:space="preserve"> apreciación dado que los indicadores de medida y valoración </w:t>
      </w:r>
      <w:r w:rsidR="00345F4B">
        <w:rPr>
          <w:rFonts w:asciiTheme="minorHAnsi" w:hAnsiTheme="minorHAnsi" w:cstheme="minorHAnsi"/>
          <w:sz w:val="22"/>
        </w:rPr>
        <w:t xml:space="preserve">no </w:t>
      </w:r>
      <w:r w:rsidR="00E765D0">
        <w:rPr>
          <w:rFonts w:asciiTheme="minorHAnsi" w:hAnsiTheme="minorHAnsi" w:cstheme="minorHAnsi"/>
          <w:sz w:val="22"/>
        </w:rPr>
        <w:t xml:space="preserve"> se</w:t>
      </w:r>
      <w:r w:rsidR="00651A35">
        <w:rPr>
          <w:rFonts w:asciiTheme="minorHAnsi" w:hAnsiTheme="minorHAnsi" w:cstheme="minorHAnsi"/>
          <w:sz w:val="22"/>
        </w:rPr>
        <w:t xml:space="preserve"> suelen </w:t>
      </w:r>
      <w:r w:rsidR="00E765D0">
        <w:rPr>
          <w:rFonts w:asciiTheme="minorHAnsi" w:hAnsiTheme="minorHAnsi" w:cstheme="minorHAnsi"/>
          <w:sz w:val="22"/>
        </w:rPr>
        <w:t>publica</w:t>
      </w:r>
      <w:r w:rsidR="00651A35">
        <w:rPr>
          <w:rFonts w:asciiTheme="minorHAnsi" w:hAnsiTheme="minorHAnsi" w:cstheme="minorHAnsi"/>
          <w:sz w:val="22"/>
        </w:rPr>
        <w:t>r</w:t>
      </w:r>
      <w:r w:rsidR="00E765D0">
        <w:rPr>
          <w:rFonts w:asciiTheme="minorHAnsi" w:hAnsiTheme="minorHAnsi" w:cstheme="minorHAnsi"/>
          <w:sz w:val="22"/>
        </w:rPr>
        <w:t xml:space="preserve"> de manera independiente del Plan o Programa al que se refieren – que sería lo ideal – o de los informes de seguimiento o evaluación. </w:t>
      </w:r>
      <w:r w:rsidR="00345F4B">
        <w:rPr>
          <w:rFonts w:asciiTheme="minorHAnsi" w:hAnsiTheme="minorHAnsi" w:cstheme="minorHAnsi"/>
          <w:sz w:val="22"/>
        </w:rPr>
        <w:t>Con el objetivo de clarificar este punto, se manifiesta que e</w:t>
      </w:r>
      <w:r w:rsidR="00E765D0">
        <w:rPr>
          <w:rFonts w:asciiTheme="minorHAnsi" w:hAnsiTheme="minorHAnsi" w:cstheme="minorHAnsi"/>
          <w:sz w:val="22"/>
        </w:rPr>
        <w:t xml:space="preserve">n el informe provisional de revisión este Consejo </w:t>
      </w:r>
      <w:r w:rsidR="007C449F">
        <w:rPr>
          <w:rFonts w:asciiTheme="minorHAnsi" w:hAnsiTheme="minorHAnsi" w:cstheme="minorHAnsi"/>
          <w:sz w:val="22"/>
        </w:rPr>
        <w:t>describían</w:t>
      </w:r>
      <w:r w:rsidR="00011767">
        <w:rPr>
          <w:rFonts w:asciiTheme="minorHAnsi" w:hAnsiTheme="minorHAnsi" w:cstheme="minorHAnsi"/>
          <w:sz w:val="22"/>
        </w:rPr>
        <w:t xml:space="preserve"> los </w:t>
      </w:r>
      <w:r w:rsidR="00E765D0">
        <w:rPr>
          <w:rFonts w:asciiTheme="minorHAnsi" w:hAnsiTheme="minorHAnsi" w:cstheme="minorHAnsi"/>
          <w:sz w:val="22"/>
        </w:rPr>
        <w:t xml:space="preserve">documentos  </w:t>
      </w:r>
      <w:r w:rsidR="00011767">
        <w:rPr>
          <w:rFonts w:asciiTheme="minorHAnsi" w:hAnsiTheme="minorHAnsi" w:cstheme="minorHAnsi"/>
          <w:sz w:val="22"/>
        </w:rPr>
        <w:t xml:space="preserve">en los que </w:t>
      </w:r>
      <w:r w:rsidR="00E765D0">
        <w:rPr>
          <w:rFonts w:asciiTheme="minorHAnsi" w:hAnsiTheme="minorHAnsi" w:cstheme="minorHAnsi"/>
          <w:sz w:val="22"/>
        </w:rPr>
        <w:t xml:space="preserve">se había localizado esta </w:t>
      </w:r>
      <w:r w:rsidR="00E765D0">
        <w:rPr>
          <w:rFonts w:asciiTheme="minorHAnsi" w:hAnsiTheme="minorHAnsi" w:cstheme="minorHAnsi"/>
          <w:sz w:val="22"/>
        </w:rPr>
        <w:lastRenderedPageBreak/>
        <w:t>información</w:t>
      </w:r>
      <w:r w:rsidR="00011767">
        <w:rPr>
          <w:rFonts w:asciiTheme="minorHAnsi" w:hAnsiTheme="minorHAnsi" w:cstheme="minorHAnsi"/>
          <w:sz w:val="22"/>
        </w:rPr>
        <w:t xml:space="preserve">, sin que se considerase la necesidad de separar los indicadores de la valoración del cumplimiento. </w:t>
      </w:r>
      <w:r w:rsidR="00E765D0">
        <w:rPr>
          <w:rFonts w:asciiTheme="minorHAnsi" w:hAnsiTheme="minorHAnsi" w:cstheme="minorHAnsi"/>
          <w:sz w:val="22"/>
        </w:rPr>
        <w:t xml:space="preserve"> Este Consejo por lo tanto, no considera que deban generarse documentos </w:t>
      </w:r>
      <w:r w:rsidR="00E765D0" w:rsidRPr="00E765D0">
        <w:rPr>
          <w:rFonts w:asciiTheme="minorHAnsi" w:hAnsiTheme="minorHAnsi" w:cstheme="minorHAnsi"/>
          <w:i/>
          <w:sz w:val="22"/>
        </w:rPr>
        <w:t>ad hoc</w:t>
      </w:r>
      <w:r w:rsidR="00E765D0">
        <w:rPr>
          <w:rFonts w:asciiTheme="minorHAnsi" w:hAnsiTheme="minorHAnsi" w:cstheme="minorHAnsi"/>
          <w:sz w:val="22"/>
        </w:rPr>
        <w:t xml:space="preserve"> para el cumplimiento de esta obligación. </w:t>
      </w:r>
    </w:p>
    <w:p w:rsidR="0021064D" w:rsidRDefault="0021064D" w:rsidP="00563923">
      <w:pPr>
        <w:spacing w:before="120" w:after="120" w:line="312" w:lineRule="auto"/>
        <w:jc w:val="both"/>
        <w:rPr>
          <w:rFonts w:asciiTheme="minorHAnsi" w:hAnsiTheme="minorHAnsi" w:cstheme="minorHAnsi"/>
          <w:sz w:val="22"/>
        </w:rPr>
      </w:pPr>
    </w:p>
    <w:p w:rsidR="0021064D" w:rsidRPr="00563923" w:rsidRDefault="0021064D" w:rsidP="0021064D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color w:val="365F91" w:themeColor="accent1" w:themeShade="BF"/>
          <w:szCs w:val="24"/>
        </w:rPr>
      </w:pPr>
      <w:r w:rsidRPr="00563923">
        <w:rPr>
          <w:rFonts w:asciiTheme="minorHAnsi" w:hAnsiTheme="minorHAnsi" w:cstheme="minorHAnsi"/>
          <w:b/>
          <w:color w:val="365F91" w:themeColor="accent1" w:themeShade="BF"/>
          <w:szCs w:val="24"/>
        </w:rPr>
        <w:t xml:space="preserve">Información de relevancia jurídica </w:t>
      </w:r>
    </w:p>
    <w:p w:rsidR="0021064D" w:rsidRDefault="0021064D" w:rsidP="00563923">
      <w:pPr>
        <w:spacing w:before="120" w:after="120" w:line="312" w:lineRule="auto"/>
        <w:jc w:val="both"/>
        <w:rPr>
          <w:rFonts w:asciiTheme="minorHAnsi" w:hAnsiTheme="minorHAnsi" w:cstheme="minorHAnsi"/>
          <w:sz w:val="22"/>
        </w:rPr>
      </w:pPr>
    </w:p>
    <w:p w:rsidR="00E765D0" w:rsidRPr="00E765D0" w:rsidRDefault="00E765D0" w:rsidP="00563923">
      <w:pPr>
        <w:spacing w:before="120" w:after="120" w:line="312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En cuanto a las </w:t>
      </w:r>
      <w:r w:rsidRPr="00C9374A">
        <w:rPr>
          <w:rFonts w:asciiTheme="minorHAnsi" w:hAnsiTheme="minorHAnsi" w:cstheme="minorHAnsi"/>
          <w:b/>
          <w:sz w:val="22"/>
        </w:rPr>
        <w:t>directrices, instrucciones, circulares, acuerdos o respuestas a consultas</w:t>
      </w:r>
      <w:r>
        <w:rPr>
          <w:rFonts w:asciiTheme="minorHAnsi" w:hAnsiTheme="minorHAnsi" w:cstheme="minorHAnsi"/>
          <w:sz w:val="22"/>
        </w:rPr>
        <w:t xml:space="preserve">, efectivamente tal como se indica en el informe de </w:t>
      </w:r>
      <w:r w:rsidR="0077553A">
        <w:rPr>
          <w:rFonts w:asciiTheme="minorHAnsi" w:hAnsiTheme="minorHAnsi" w:cstheme="minorHAnsi"/>
          <w:sz w:val="22"/>
        </w:rPr>
        <w:t>contestación</w:t>
      </w:r>
      <w:r>
        <w:rPr>
          <w:rFonts w:asciiTheme="minorHAnsi" w:hAnsiTheme="minorHAnsi" w:cstheme="minorHAnsi"/>
          <w:sz w:val="22"/>
        </w:rPr>
        <w:t>, la revisión de los contenidos de esta obligación está supeditada a la publicación del criterio interpretativo del Consejo. Sin embargo, s</w:t>
      </w:r>
      <w:r w:rsidR="007D2A3F">
        <w:rPr>
          <w:rFonts w:asciiTheme="minorHAnsi" w:hAnsiTheme="minorHAnsi" w:cstheme="minorHAnsi"/>
          <w:sz w:val="22"/>
        </w:rPr>
        <w:t xml:space="preserve">e </w:t>
      </w:r>
      <w:r>
        <w:rPr>
          <w:rFonts w:asciiTheme="minorHAnsi" w:hAnsiTheme="minorHAnsi" w:cstheme="minorHAnsi"/>
          <w:sz w:val="22"/>
        </w:rPr>
        <w:t>podría abordar una depuración de la información publicada que no está relacionada con esta obligación</w:t>
      </w:r>
      <w:r w:rsidR="0077553A">
        <w:rPr>
          <w:rFonts w:asciiTheme="minorHAnsi" w:hAnsiTheme="minorHAnsi" w:cstheme="minorHAnsi"/>
          <w:sz w:val="22"/>
        </w:rPr>
        <w:t>,</w:t>
      </w:r>
      <w:r>
        <w:rPr>
          <w:rFonts w:asciiTheme="minorHAnsi" w:hAnsiTheme="minorHAnsi" w:cstheme="minorHAnsi"/>
          <w:sz w:val="22"/>
        </w:rPr>
        <w:t xml:space="preserve"> como es el caso de las órdenes ministeriales</w:t>
      </w:r>
      <w:r w:rsidR="0077553A">
        <w:rPr>
          <w:rFonts w:asciiTheme="minorHAnsi" w:hAnsiTheme="minorHAnsi" w:cstheme="minorHAnsi"/>
          <w:sz w:val="22"/>
        </w:rPr>
        <w:t xml:space="preserve"> (que representan </w:t>
      </w:r>
      <w:r>
        <w:rPr>
          <w:rFonts w:asciiTheme="minorHAnsi" w:hAnsiTheme="minorHAnsi" w:cstheme="minorHAnsi"/>
          <w:sz w:val="22"/>
        </w:rPr>
        <w:t>más del 50% de los contenidos publicados en el Portal</w:t>
      </w:r>
      <w:r w:rsidR="003C2D19">
        <w:rPr>
          <w:rFonts w:asciiTheme="minorHAnsi" w:hAnsiTheme="minorHAnsi" w:cstheme="minorHAnsi"/>
          <w:sz w:val="22"/>
        </w:rPr>
        <w:t xml:space="preserve"> relativos a esta obligación</w:t>
      </w:r>
      <w:r w:rsidR="0077553A">
        <w:rPr>
          <w:rFonts w:asciiTheme="minorHAnsi" w:hAnsiTheme="minorHAnsi" w:cstheme="minorHAnsi"/>
          <w:sz w:val="22"/>
        </w:rPr>
        <w:t>)</w:t>
      </w:r>
      <w:r>
        <w:rPr>
          <w:rFonts w:asciiTheme="minorHAnsi" w:hAnsiTheme="minorHAnsi" w:cstheme="minorHAnsi"/>
          <w:sz w:val="22"/>
        </w:rPr>
        <w:t xml:space="preserve">.   </w:t>
      </w:r>
    </w:p>
    <w:p w:rsidR="001C214A" w:rsidRDefault="00C9374A" w:rsidP="00563923">
      <w:pPr>
        <w:pStyle w:val="Textocomentario"/>
        <w:spacing w:before="120" w:after="120" w:line="312" w:lineRule="auto"/>
        <w:rPr>
          <w:rFonts w:eastAsiaTheme="minorHAnsi" w:cstheme="minorHAnsi"/>
          <w:sz w:val="22"/>
          <w:szCs w:val="22"/>
          <w:lang w:eastAsia="en-US"/>
        </w:rPr>
      </w:pPr>
      <w:r>
        <w:rPr>
          <w:rFonts w:eastAsiaTheme="minorHAnsi" w:cstheme="minorHAnsi"/>
          <w:sz w:val="22"/>
          <w:szCs w:val="22"/>
          <w:lang w:eastAsia="en-US"/>
        </w:rPr>
        <w:t xml:space="preserve">Por otra parte, se indica en el informe de observaciones en relación con la publicación de los </w:t>
      </w:r>
      <w:r w:rsidRPr="00C9374A">
        <w:rPr>
          <w:rFonts w:eastAsiaTheme="minorHAnsi" w:cstheme="minorHAnsi"/>
          <w:b/>
          <w:sz w:val="22"/>
          <w:szCs w:val="22"/>
          <w:lang w:eastAsia="en-US"/>
        </w:rPr>
        <w:t>proyectos de Reglamentos</w:t>
      </w:r>
      <w:r>
        <w:rPr>
          <w:rFonts w:eastAsiaTheme="minorHAnsi" w:cstheme="minorHAnsi"/>
          <w:sz w:val="22"/>
          <w:szCs w:val="22"/>
          <w:lang w:eastAsia="en-US"/>
        </w:rPr>
        <w:t xml:space="preserve">, que </w:t>
      </w:r>
      <w:r w:rsidR="00413300">
        <w:rPr>
          <w:rFonts w:eastAsiaTheme="minorHAnsi" w:cstheme="minorHAnsi"/>
          <w:sz w:val="22"/>
          <w:szCs w:val="22"/>
          <w:lang w:eastAsia="en-US"/>
        </w:rPr>
        <w:t xml:space="preserve">se ha </w:t>
      </w:r>
      <w:r>
        <w:rPr>
          <w:rFonts w:eastAsiaTheme="minorHAnsi" w:cstheme="minorHAnsi"/>
          <w:sz w:val="22"/>
          <w:szCs w:val="22"/>
          <w:lang w:eastAsia="en-US"/>
        </w:rPr>
        <w:t xml:space="preserve"> resuelto el problema de funcionamiento de los enlaces a esta información,</w:t>
      </w:r>
      <w:r w:rsidR="00413300">
        <w:rPr>
          <w:rFonts w:eastAsiaTheme="minorHAnsi" w:cstheme="minorHAnsi"/>
          <w:sz w:val="22"/>
          <w:szCs w:val="22"/>
          <w:lang w:eastAsia="en-US"/>
        </w:rPr>
        <w:t xml:space="preserve"> y,</w:t>
      </w:r>
      <w:r w:rsidR="007D2A3F">
        <w:rPr>
          <w:rFonts w:eastAsiaTheme="minorHAnsi" w:cstheme="minorHAnsi"/>
          <w:sz w:val="22"/>
          <w:szCs w:val="22"/>
          <w:lang w:eastAsia="en-US"/>
        </w:rPr>
        <w:t xml:space="preserve"> </w:t>
      </w:r>
      <w:r>
        <w:rPr>
          <w:rFonts w:eastAsiaTheme="minorHAnsi" w:cstheme="minorHAnsi"/>
          <w:sz w:val="22"/>
          <w:szCs w:val="22"/>
          <w:lang w:eastAsia="en-US"/>
        </w:rPr>
        <w:t>que actualmente están publicados 98 proyectos de Reales-Decretos.</w:t>
      </w:r>
      <w:r w:rsidR="00413300">
        <w:rPr>
          <w:rFonts w:eastAsiaTheme="minorHAnsi" w:cstheme="minorHAnsi"/>
          <w:sz w:val="22"/>
          <w:szCs w:val="22"/>
          <w:lang w:eastAsia="en-US"/>
        </w:rPr>
        <w:t xml:space="preserve"> Siendo un avance importante lo anterior, l</w:t>
      </w:r>
      <w:r>
        <w:rPr>
          <w:rFonts w:eastAsiaTheme="minorHAnsi" w:cstheme="minorHAnsi"/>
          <w:sz w:val="22"/>
          <w:szCs w:val="22"/>
          <w:lang w:eastAsia="en-US"/>
        </w:rPr>
        <w:t xml:space="preserve">a cuestión </w:t>
      </w:r>
      <w:r w:rsidR="00413300">
        <w:rPr>
          <w:rFonts w:eastAsiaTheme="minorHAnsi" w:cstheme="minorHAnsi"/>
          <w:sz w:val="22"/>
          <w:szCs w:val="22"/>
          <w:lang w:eastAsia="en-US"/>
        </w:rPr>
        <w:t>también planteada respecto a</w:t>
      </w:r>
      <w:r>
        <w:rPr>
          <w:rFonts w:eastAsiaTheme="minorHAnsi" w:cstheme="minorHAnsi"/>
          <w:sz w:val="22"/>
          <w:szCs w:val="22"/>
          <w:lang w:eastAsia="en-US"/>
        </w:rPr>
        <w:t>l contenido de esta obligación</w:t>
      </w:r>
      <w:r w:rsidR="00413300">
        <w:rPr>
          <w:rFonts w:eastAsiaTheme="minorHAnsi" w:cstheme="minorHAnsi"/>
          <w:sz w:val="22"/>
          <w:szCs w:val="22"/>
          <w:lang w:eastAsia="en-US"/>
        </w:rPr>
        <w:t xml:space="preserve"> es que la misma </w:t>
      </w:r>
      <w:r>
        <w:rPr>
          <w:rFonts w:eastAsiaTheme="minorHAnsi" w:cstheme="minorHAnsi"/>
          <w:sz w:val="22"/>
          <w:szCs w:val="22"/>
          <w:lang w:eastAsia="en-US"/>
        </w:rPr>
        <w:t xml:space="preserve"> no hace referencia a los proyectos de Reales Decretos de manera genérica sino a aquellos mediante los que se aprueban o reforman Reglamentos. De hecho de los 98 proyectos de Reales Decretos</w:t>
      </w:r>
      <w:r w:rsidR="003C2D19">
        <w:rPr>
          <w:rFonts w:eastAsiaTheme="minorHAnsi" w:cstheme="minorHAnsi"/>
          <w:sz w:val="22"/>
          <w:szCs w:val="22"/>
          <w:lang w:eastAsia="en-US"/>
        </w:rPr>
        <w:t xml:space="preserve"> a los que se alude en el informe</w:t>
      </w:r>
      <w:r>
        <w:rPr>
          <w:rFonts w:eastAsiaTheme="minorHAnsi" w:cstheme="minorHAnsi"/>
          <w:sz w:val="22"/>
          <w:szCs w:val="22"/>
          <w:lang w:eastAsia="en-US"/>
        </w:rPr>
        <w:t xml:space="preserve">, sólo 16 corresponden a proyectos de Reglamentos. </w:t>
      </w:r>
    </w:p>
    <w:p w:rsidR="00B2640A" w:rsidRDefault="00C9374A" w:rsidP="00563923">
      <w:pPr>
        <w:pStyle w:val="Textocomentario"/>
        <w:spacing w:before="120" w:after="120" w:line="312" w:lineRule="auto"/>
        <w:rPr>
          <w:rFonts w:eastAsiaTheme="minorHAnsi" w:cstheme="minorHAnsi"/>
          <w:sz w:val="22"/>
          <w:szCs w:val="22"/>
          <w:lang w:eastAsia="en-US"/>
        </w:rPr>
      </w:pPr>
      <w:r>
        <w:rPr>
          <w:rFonts w:eastAsiaTheme="minorHAnsi" w:cstheme="minorHAnsi"/>
          <w:sz w:val="22"/>
          <w:szCs w:val="22"/>
          <w:lang w:eastAsia="en-US"/>
        </w:rPr>
        <w:t xml:space="preserve">Este Consejo coincide con el informe </w:t>
      </w:r>
      <w:r w:rsidR="00413300">
        <w:rPr>
          <w:rFonts w:eastAsiaTheme="minorHAnsi" w:cstheme="minorHAnsi"/>
          <w:sz w:val="22"/>
          <w:szCs w:val="22"/>
          <w:lang w:eastAsia="en-US"/>
        </w:rPr>
        <w:t xml:space="preserve">recibido </w:t>
      </w:r>
      <w:r>
        <w:rPr>
          <w:rFonts w:eastAsiaTheme="minorHAnsi" w:cstheme="minorHAnsi"/>
          <w:sz w:val="22"/>
          <w:szCs w:val="22"/>
          <w:lang w:eastAsia="en-US"/>
        </w:rPr>
        <w:t xml:space="preserve"> en que la información relativa a las </w:t>
      </w:r>
      <w:r w:rsidRPr="0021064D">
        <w:rPr>
          <w:rFonts w:eastAsiaTheme="minorHAnsi" w:cstheme="minorHAnsi"/>
          <w:b/>
          <w:sz w:val="22"/>
          <w:szCs w:val="22"/>
          <w:lang w:eastAsia="en-US"/>
        </w:rPr>
        <w:t>Memorias e Informes que conforman  los expedientes de elaboración de los textos normativos</w:t>
      </w:r>
      <w:r>
        <w:rPr>
          <w:rFonts w:eastAsiaTheme="minorHAnsi" w:cstheme="minorHAnsi"/>
          <w:sz w:val="22"/>
          <w:szCs w:val="22"/>
          <w:lang w:eastAsia="en-US"/>
        </w:rPr>
        <w:t>, debe publicarse conjuntamente con el anteproyecto o proyecto de norma</w:t>
      </w:r>
      <w:r w:rsidR="00BC3D8E">
        <w:rPr>
          <w:rFonts w:eastAsiaTheme="minorHAnsi" w:cstheme="minorHAnsi"/>
          <w:sz w:val="22"/>
          <w:szCs w:val="22"/>
          <w:lang w:eastAsia="en-US"/>
        </w:rPr>
        <w:t>, por lo que s</w:t>
      </w:r>
      <w:r w:rsidR="0021064D">
        <w:rPr>
          <w:rFonts w:eastAsiaTheme="minorHAnsi" w:cstheme="minorHAnsi"/>
          <w:sz w:val="22"/>
          <w:szCs w:val="22"/>
          <w:lang w:eastAsia="en-US"/>
        </w:rPr>
        <w:t>e revisa</w:t>
      </w:r>
      <w:r w:rsidR="00BC3D8E">
        <w:rPr>
          <w:rFonts w:eastAsiaTheme="minorHAnsi" w:cstheme="minorHAnsi"/>
          <w:sz w:val="22"/>
          <w:szCs w:val="22"/>
          <w:lang w:eastAsia="en-US"/>
        </w:rPr>
        <w:t xml:space="preserve">rá, </w:t>
      </w:r>
      <w:r w:rsidR="0021064D">
        <w:rPr>
          <w:rFonts w:eastAsiaTheme="minorHAnsi" w:cstheme="minorHAnsi"/>
          <w:sz w:val="22"/>
          <w:szCs w:val="22"/>
          <w:lang w:eastAsia="en-US"/>
        </w:rPr>
        <w:t xml:space="preserve"> en consecuencia</w:t>
      </w:r>
      <w:r w:rsidR="00BC3D8E">
        <w:rPr>
          <w:rFonts w:eastAsiaTheme="minorHAnsi" w:cstheme="minorHAnsi"/>
          <w:sz w:val="22"/>
          <w:szCs w:val="22"/>
          <w:lang w:eastAsia="en-US"/>
        </w:rPr>
        <w:t xml:space="preserve">, </w:t>
      </w:r>
      <w:r w:rsidR="0021064D">
        <w:rPr>
          <w:rFonts w:eastAsiaTheme="minorHAnsi" w:cstheme="minorHAnsi"/>
          <w:sz w:val="22"/>
          <w:szCs w:val="22"/>
          <w:lang w:eastAsia="en-US"/>
        </w:rPr>
        <w:t xml:space="preserve"> la redacción del informe </w:t>
      </w:r>
      <w:r w:rsidR="003C2D19">
        <w:rPr>
          <w:rFonts w:eastAsiaTheme="minorHAnsi" w:cstheme="minorHAnsi"/>
          <w:sz w:val="22"/>
          <w:szCs w:val="22"/>
          <w:lang w:eastAsia="en-US"/>
        </w:rPr>
        <w:t>de revisión</w:t>
      </w:r>
      <w:r w:rsidR="0021064D">
        <w:rPr>
          <w:rFonts w:eastAsiaTheme="minorHAnsi" w:cstheme="minorHAnsi"/>
          <w:sz w:val="22"/>
          <w:szCs w:val="22"/>
          <w:lang w:eastAsia="en-US"/>
        </w:rPr>
        <w:t xml:space="preserve">. </w:t>
      </w:r>
      <w:r>
        <w:rPr>
          <w:rFonts w:eastAsiaTheme="minorHAnsi" w:cstheme="minorHAnsi"/>
          <w:sz w:val="22"/>
          <w:szCs w:val="22"/>
          <w:lang w:eastAsia="en-US"/>
        </w:rPr>
        <w:t xml:space="preserve">  </w:t>
      </w:r>
    </w:p>
    <w:p w:rsidR="0021064D" w:rsidRPr="00563923" w:rsidRDefault="0021064D" w:rsidP="00563923">
      <w:pPr>
        <w:pStyle w:val="Textocomentario"/>
        <w:spacing w:before="120" w:after="120" w:line="312" w:lineRule="auto"/>
        <w:rPr>
          <w:rFonts w:eastAsiaTheme="minorHAnsi" w:cstheme="minorHAnsi"/>
          <w:sz w:val="22"/>
          <w:szCs w:val="22"/>
          <w:lang w:eastAsia="en-US"/>
        </w:rPr>
      </w:pPr>
    </w:p>
    <w:p w:rsidR="00BC4E68" w:rsidRDefault="00BC4E68" w:rsidP="00BC4E68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color w:val="365F91" w:themeColor="accent1" w:themeShade="BF"/>
          <w:szCs w:val="24"/>
        </w:rPr>
      </w:pPr>
      <w:r w:rsidRPr="00563923">
        <w:rPr>
          <w:rFonts w:asciiTheme="minorHAnsi" w:hAnsiTheme="minorHAnsi" w:cstheme="minorHAnsi"/>
          <w:b/>
          <w:color w:val="365F91" w:themeColor="accent1" w:themeShade="BF"/>
          <w:szCs w:val="24"/>
        </w:rPr>
        <w:t xml:space="preserve">Información </w:t>
      </w:r>
      <w:r>
        <w:rPr>
          <w:rFonts w:asciiTheme="minorHAnsi" w:hAnsiTheme="minorHAnsi" w:cstheme="minorHAnsi"/>
          <w:b/>
          <w:color w:val="365F91" w:themeColor="accent1" w:themeShade="BF"/>
          <w:szCs w:val="24"/>
        </w:rPr>
        <w:t xml:space="preserve">económica, presupuestaria y estadística </w:t>
      </w:r>
    </w:p>
    <w:p w:rsidR="00BC5ADA" w:rsidRDefault="0021064D" w:rsidP="00BC4E68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 w:rsidRPr="0021064D">
        <w:rPr>
          <w:rFonts w:asciiTheme="minorHAnsi" w:hAnsiTheme="minorHAnsi" w:cstheme="minorHAnsi"/>
          <w:szCs w:val="24"/>
        </w:rPr>
        <w:t>En relación con</w:t>
      </w:r>
      <w:r>
        <w:rPr>
          <w:rFonts w:asciiTheme="minorHAnsi" w:hAnsiTheme="minorHAnsi" w:cstheme="minorHAnsi"/>
          <w:b/>
          <w:szCs w:val="24"/>
        </w:rPr>
        <w:t xml:space="preserve"> los datos estadísticos sobre contratación </w:t>
      </w:r>
      <w:r w:rsidR="00BC5ADA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se indica que la información publicada procede del Registro </w:t>
      </w:r>
      <w:r w:rsidRPr="0021064D">
        <w:rPr>
          <w:rFonts w:eastAsia="Times New Roman" w:cs="Times New Roman"/>
          <w:sz w:val="22"/>
          <w:lang w:eastAsia="es-ES"/>
        </w:rPr>
        <w:t>de Contratos del Sector Público de la Junta Consultiva de Contratación Pública del Estado</w:t>
      </w:r>
      <w:r w:rsidR="00FA6AF8">
        <w:rPr>
          <w:rFonts w:asciiTheme="minorHAnsi" w:hAnsiTheme="minorHAnsi" w:cstheme="minorHAnsi"/>
          <w:szCs w:val="24"/>
        </w:rPr>
        <w:t xml:space="preserve">. </w:t>
      </w:r>
      <w:r>
        <w:rPr>
          <w:rFonts w:asciiTheme="minorHAnsi" w:hAnsiTheme="minorHAnsi" w:cstheme="minorHAnsi"/>
          <w:szCs w:val="24"/>
        </w:rPr>
        <w:t>Este Consejo entiende las dificultades que implica la publicación de información obligatoria mediante el recurso a fuentes externa al propio Portal. El problema es que en algunos casos esto implica un gran desfase temporal en la información publicada</w:t>
      </w:r>
      <w:r w:rsidR="00310FA2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dado que la fuente externa la genera y utiliza para fines distintos del cumplimiento  de las </w:t>
      </w:r>
      <w:r>
        <w:rPr>
          <w:rFonts w:asciiTheme="minorHAnsi" w:hAnsiTheme="minorHAnsi" w:cstheme="minorHAnsi"/>
          <w:szCs w:val="24"/>
        </w:rPr>
        <w:lastRenderedPageBreak/>
        <w:t xml:space="preserve">obligaciones de publicidad </w:t>
      </w:r>
      <w:r w:rsidR="00310FA2">
        <w:rPr>
          <w:rFonts w:asciiTheme="minorHAnsi" w:hAnsiTheme="minorHAnsi" w:cstheme="minorHAnsi"/>
          <w:szCs w:val="24"/>
        </w:rPr>
        <w:t xml:space="preserve">activa,  y una información obsoleta no tiene ninguna validez desde el </w:t>
      </w:r>
      <w:r w:rsidR="00CD147D">
        <w:rPr>
          <w:rFonts w:asciiTheme="minorHAnsi" w:hAnsiTheme="minorHAnsi" w:cstheme="minorHAnsi"/>
          <w:szCs w:val="24"/>
        </w:rPr>
        <w:t xml:space="preserve">punto de vista de la transparencia y la rendición de cuentas. </w:t>
      </w:r>
    </w:p>
    <w:p w:rsidR="00CD147D" w:rsidRDefault="00CD147D" w:rsidP="00BC4E68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Una alternativa </w:t>
      </w:r>
      <w:r w:rsidR="00BC3D8E">
        <w:rPr>
          <w:rFonts w:asciiTheme="minorHAnsi" w:hAnsiTheme="minorHAnsi" w:cstheme="minorHAnsi"/>
          <w:szCs w:val="24"/>
        </w:rPr>
        <w:t xml:space="preserve">que </w:t>
      </w:r>
      <w:r>
        <w:rPr>
          <w:rFonts w:asciiTheme="minorHAnsi" w:hAnsiTheme="minorHAnsi" w:cstheme="minorHAnsi"/>
          <w:szCs w:val="24"/>
        </w:rPr>
        <w:t xml:space="preserve">podría </w:t>
      </w:r>
      <w:r w:rsidR="00BC3D8E">
        <w:rPr>
          <w:rFonts w:asciiTheme="minorHAnsi" w:hAnsiTheme="minorHAnsi" w:cstheme="minorHAnsi"/>
          <w:szCs w:val="24"/>
        </w:rPr>
        <w:t xml:space="preserve">considerarse </w:t>
      </w:r>
      <w:r>
        <w:rPr>
          <w:rFonts w:asciiTheme="minorHAnsi" w:hAnsiTheme="minorHAnsi" w:cstheme="minorHAnsi"/>
          <w:szCs w:val="24"/>
        </w:rPr>
        <w:t>ser</w:t>
      </w:r>
      <w:r w:rsidR="00BC3D8E">
        <w:rPr>
          <w:rFonts w:asciiTheme="minorHAnsi" w:hAnsiTheme="minorHAnsi" w:cstheme="minorHAnsi"/>
          <w:szCs w:val="24"/>
        </w:rPr>
        <w:t>ía</w:t>
      </w:r>
      <w:r>
        <w:rPr>
          <w:rFonts w:asciiTheme="minorHAnsi" w:hAnsiTheme="minorHAnsi" w:cstheme="minorHAnsi"/>
          <w:szCs w:val="24"/>
        </w:rPr>
        <w:t xml:space="preserve"> solicitar esta información directamente a los Ministerios</w:t>
      </w:r>
      <w:r w:rsidR="00BC3D8E">
        <w:rPr>
          <w:rFonts w:asciiTheme="minorHAnsi" w:hAnsiTheme="minorHAnsi" w:cstheme="minorHAnsi"/>
          <w:szCs w:val="24"/>
        </w:rPr>
        <w:t xml:space="preserve">, </w:t>
      </w:r>
      <w:r>
        <w:rPr>
          <w:rFonts w:asciiTheme="minorHAnsi" w:hAnsiTheme="minorHAnsi" w:cstheme="minorHAnsi"/>
          <w:szCs w:val="24"/>
        </w:rPr>
        <w:t>ya que se trata de información de la que deberían disponer.</w:t>
      </w:r>
      <w:r w:rsidR="007D2A3F">
        <w:rPr>
          <w:rFonts w:asciiTheme="minorHAnsi" w:hAnsiTheme="minorHAnsi" w:cstheme="minorHAnsi"/>
          <w:szCs w:val="24"/>
        </w:rPr>
        <w:t xml:space="preserve"> </w:t>
      </w:r>
      <w:r w:rsidR="00BC3D8E">
        <w:rPr>
          <w:rFonts w:asciiTheme="minorHAnsi" w:hAnsiTheme="minorHAnsi" w:cstheme="minorHAnsi"/>
          <w:szCs w:val="24"/>
        </w:rPr>
        <w:t xml:space="preserve">Esta alternativa debería valorarse en términos de cargas de trabajo, y actualización homogénea por parte de todos los Departamentos. </w:t>
      </w:r>
    </w:p>
    <w:p w:rsidR="00CD147D" w:rsidRDefault="00BC3D8E" w:rsidP="00BC4E68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Asimismo, se informa que </w:t>
      </w:r>
      <w:r w:rsidR="00CD147D">
        <w:rPr>
          <w:rFonts w:asciiTheme="minorHAnsi" w:hAnsiTheme="minorHAnsi" w:cstheme="minorHAnsi"/>
          <w:szCs w:val="24"/>
        </w:rPr>
        <w:t>consultad</w:t>
      </w:r>
      <w:r>
        <w:rPr>
          <w:rFonts w:asciiTheme="minorHAnsi" w:hAnsiTheme="minorHAnsi" w:cstheme="minorHAnsi"/>
          <w:szCs w:val="24"/>
        </w:rPr>
        <w:t>a</w:t>
      </w:r>
      <w:r w:rsidR="00CD147D">
        <w:rPr>
          <w:rFonts w:asciiTheme="minorHAnsi" w:hAnsiTheme="minorHAnsi" w:cstheme="minorHAnsi"/>
          <w:szCs w:val="24"/>
        </w:rPr>
        <w:t xml:space="preserve"> la web de la Junta Consultiva de Contratación</w:t>
      </w:r>
      <w:r>
        <w:rPr>
          <w:rFonts w:asciiTheme="minorHAnsi" w:hAnsiTheme="minorHAnsi" w:cstheme="minorHAnsi"/>
          <w:szCs w:val="24"/>
        </w:rPr>
        <w:t>,</w:t>
      </w:r>
      <w:r w:rsidR="00CD147D">
        <w:rPr>
          <w:rFonts w:asciiTheme="minorHAnsi" w:hAnsiTheme="minorHAnsi" w:cstheme="minorHAnsi"/>
          <w:szCs w:val="24"/>
        </w:rPr>
        <w:t xml:space="preserve"> se ha constatado que ya está publicada la información correspondiente al ejercicio 2020.  </w:t>
      </w:r>
    </w:p>
    <w:p w:rsidR="00CD147D" w:rsidRDefault="00CD147D" w:rsidP="009B5024">
      <w:pPr>
        <w:pStyle w:val="Prrafodelista"/>
        <w:spacing w:before="120" w:after="120" w:line="312" w:lineRule="auto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:rsidR="009B5024" w:rsidRPr="00563923" w:rsidRDefault="009B5024" w:rsidP="009B5024">
      <w:pPr>
        <w:pStyle w:val="Prrafodelista"/>
        <w:spacing w:before="120" w:after="120" w:line="312" w:lineRule="auto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63923">
        <w:rPr>
          <w:rFonts w:asciiTheme="minorHAnsi" w:hAnsiTheme="minorHAnsi" w:cstheme="minorHAnsi"/>
          <w:sz w:val="24"/>
          <w:szCs w:val="24"/>
        </w:rPr>
        <w:t xml:space="preserve">Este Consejo valora muy positivamente la </w:t>
      </w:r>
      <w:r w:rsidR="000E1EA9">
        <w:rPr>
          <w:rFonts w:asciiTheme="minorHAnsi" w:hAnsiTheme="minorHAnsi" w:cstheme="minorHAnsi"/>
          <w:sz w:val="24"/>
          <w:szCs w:val="24"/>
        </w:rPr>
        <w:t>disposición</w:t>
      </w:r>
      <w:r>
        <w:rPr>
          <w:rFonts w:asciiTheme="minorHAnsi" w:hAnsiTheme="minorHAnsi" w:cstheme="minorHAnsi"/>
          <w:sz w:val="24"/>
          <w:szCs w:val="24"/>
        </w:rPr>
        <w:t xml:space="preserve"> de los responsables del Portal de Transparencia de la AGE </w:t>
      </w:r>
      <w:r w:rsidR="007D2A3F">
        <w:rPr>
          <w:rFonts w:asciiTheme="minorHAnsi" w:hAnsiTheme="minorHAnsi" w:cstheme="minorHAnsi"/>
          <w:sz w:val="24"/>
          <w:szCs w:val="24"/>
        </w:rPr>
        <w:t xml:space="preserve">en la aplicación de </w:t>
      </w:r>
      <w:r w:rsidRPr="00563923">
        <w:rPr>
          <w:rFonts w:asciiTheme="minorHAnsi" w:hAnsiTheme="minorHAnsi" w:cstheme="minorHAnsi"/>
          <w:sz w:val="24"/>
          <w:szCs w:val="24"/>
        </w:rPr>
        <w:t xml:space="preserve">las recomendaciones </w:t>
      </w:r>
      <w:r>
        <w:rPr>
          <w:rFonts w:asciiTheme="minorHAnsi" w:hAnsiTheme="minorHAnsi" w:cstheme="minorHAnsi"/>
          <w:sz w:val="24"/>
          <w:szCs w:val="24"/>
        </w:rPr>
        <w:t>derivadas de la evaluación</w:t>
      </w:r>
      <w:r w:rsidR="00CD147D">
        <w:rPr>
          <w:rFonts w:asciiTheme="minorHAnsi" w:hAnsiTheme="minorHAnsi" w:cstheme="minorHAnsi"/>
          <w:sz w:val="24"/>
          <w:szCs w:val="24"/>
        </w:rPr>
        <w:t xml:space="preserve">, </w:t>
      </w:r>
      <w:r w:rsidR="007A77F8">
        <w:rPr>
          <w:rFonts w:asciiTheme="minorHAnsi" w:hAnsiTheme="minorHAnsi" w:cstheme="minorHAnsi"/>
          <w:sz w:val="24"/>
          <w:szCs w:val="24"/>
        </w:rPr>
        <w:t xml:space="preserve">habiéndose </w:t>
      </w:r>
      <w:r w:rsidR="00CD147D">
        <w:rPr>
          <w:rFonts w:asciiTheme="minorHAnsi" w:hAnsiTheme="minorHAnsi" w:cstheme="minorHAnsi"/>
          <w:sz w:val="24"/>
          <w:szCs w:val="24"/>
        </w:rPr>
        <w:t xml:space="preserve"> ya procedido a la implantación de </w:t>
      </w:r>
      <w:r w:rsidR="003C2D19">
        <w:rPr>
          <w:rFonts w:asciiTheme="minorHAnsi" w:hAnsiTheme="minorHAnsi" w:cstheme="minorHAnsi"/>
          <w:sz w:val="24"/>
          <w:szCs w:val="24"/>
        </w:rPr>
        <w:t>algunas</w:t>
      </w:r>
      <w:r w:rsidR="00CD147D">
        <w:rPr>
          <w:rFonts w:asciiTheme="minorHAnsi" w:hAnsiTheme="minorHAnsi" w:cstheme="minorHAnsi"/>
          <w:sz w:val="24"/>
          <w:szCs w:val="24"/>
        </w:rPr>
        <w:t xml:space="preserve"> recomendaciones durante el periodo de alegaciones</w:t>
      </w:r>
      <w:r w:rsidRPr="00563923">
        <w:rPr>
          <w:rFonts w:asciiTheme="minorHAnsi" w:hAnsiTheme="minorHAnsi" w:cstheme="minorHAnsi"/>
          <w:sz w:val="24"/>
          <w:szCs w:val="24"/>
        </w:rPr>
        <w:t xml:space="preserve">. </w:t>
      </w:r>
      <w:r w:rsidR="007A77F8">
        <w:rPr>
          <w:rFonts w:asciiTheme="minorHAnsi" w:hAnsiTheme="minorHAnsi" w:cstheme="minorHAnsi"/>
          <w:sz w:val="24"/>
          <w:szCs w:val="24"/>
        </w:rPr>
        <w:t>Asimismo, e</w:t>
      </w:r>
      <w:r w:rsidRPr="00563923">
        <w:rPr>
          <w:rFonts w:asciiTheme="minorHAnsi" w:hAnsiTheme="minorHAnsi" w:cstheme="minorHAnsi"/>
          <w:sz w:val="24"/>
          <w:szCs w:val="24"/>
        </w:rPr>
        <w:t>ste Consejo es consciente de la dificultad que entraña acometer una revisión del Portal de la Transparencia de la AGE con el fin de incorporar todas las recomendaciones efectu</w:t>
      </w:r>
      <w:bookmarkStart w:id="0" w:name="_GoBack"/>
      <w:bookmarkEnd w:id="0"/>
      <w:r w:rsidRPr="00563923">
        <w:rPr>
          <w:rFonts w:asciiTheme="minorHAnsi" w:hAnsiTheme="minorHAnsi" w:cstheme="minorHAnsi"/>
          <w:sz w:val="24"/>
          <w:szCs w:val="24"/>
        </w:rPr>
        <w:t xml:space="preserve">adas, dado </w:t>
      </w:r>
      <w:r w:rsidR="007A77F8">
        <w:rPr>
          <w:rFonts w:asciiTheme="minorHAnsi" w:hAnsiTheme="minorHAnsi" w:cstheme="minorHAnsi"/>
          <w:sz w:val="24"/>
          <w:szCs w:val="24"/>
        </w:rPr>
        <w:t xml:space="preserve">que </w:t>
      </w:r>
      <w:r w:rsidRPr="00563923">
        <w:rPr>
          <w:rFonts w:asciiTheme="minorHAnsi" w:hAnsiTheme="minorHAnsi" w:cstheme="minorHAnsi"/>
          <w:sz w:val="24"/>
          <w:szCs w:val="24"/>
        </w:rPr>
        <w:t xml:space="preserve">el ingente </w:t>
      </w:r>
      <w:r w:rsidR="003C2D19">
        <w:rPr>
          <w:rFonts w:asciiTheme="minorHAnsi" w:hAnsiTheme="minorHAnsi" w:cstheme="minorHAnsi"/>
          <w:sz w:val="24"/>
          <w:szCs w:val="24"/>
        </w:rPr>
        <w:t>volumen</w:t>
      </w:r>
      <w:r w:rsidRPr="00563923">
        <w:rPr>
          <w:rFonts w:asciiTheme="minorHAnsi" w:hAnsiTheme="minorHAnsi" w:cstheme="minorHAnsi"/>
          <w:sz w:val="24"/>
          <w:szCs w:val="24"/>
        </w:rPr>
        <w:t xml:space="preserve"> de información y de actores implicados, exige un alto nivel de cooperación y consenso. </w:t>
      </w:r>
      <w:r w:rsidR="00CD147D">
        <w:rPr>
          <w:rFonts w:asciiTheme="minorHAnsi" w:hAnsiTheme="minorHAnsi" w:cstheme="minorHAnsi"/>
          <w:sz w:val="24"/>
          <w:szCs w:val="24"/>
        </w:rPr>
        <w:t xml:space="preserve">Las previsiones </w:t>
      </w:r>
      <w:r w:rsidR="007A77F8">
        <w:rPr>
          <w:rFonts w:asciiTheme="minorHAnsi" w:hAnsiTheme="minorHAnsi" w:cstheme="minorHAnsi"/>
          <w:sz w:val="24"/>
          <w:szCs w:val="24"/>
        </w:rPr>
        <w:t xml:space="preserve">señaladas </w:t>
      </w:r>
      <w:r w:rsidR="00CD147D">
        <w:rPr>
          <w:rFonts w:asciiTheme="minorHAnsi" w:hAnsiTheme="minorHAnsi" w:cstheme="minorHAnsi"/>
          <w:sz w:val="24"/>
          <w:szCs w:val="24"/>
        </w:rPr>
        <w:t xml:space="preserve">en cuanto a la implantación de mejoras en la organización y contenidos de la información publicada </w:t>
      </w:r>
      <w:r>
        <w:rPr>
          <w:rFonts w:asciiTheme="minorHAnsi" w:hAnsiTheme="minorHAnsi" w:cstheme="minorHAnsi"/>
          <w:sz w:val="24"/>
          <w:szCs w:val="24"/>
        </w:rPr>
        <w:t xml:space="preserve">sin duda </w:t>
      </w:r>
      <w:r w:rsidR="003C2D19">
        <w:rPr>
          <w:rFonts w:asciiTheme="minorHAnsi" w:hAnsiTheme="minorHAnsi" w:cstheme="minorHAnsi"/>
          <w:sz w:val="24"/>
          <w:szCs w:val="24"/>
        </w:rPr>
        <w:t>redundarán</w:t>
      </w:r>
      <w:r>
        <w:rPr>
          <w:rFonts w:asciiTheme="minorHAnsi" w:hAnsiTheme="minorHAnsi" w:cstheme="minorHAnsi"/>
          <w:sz w:val="24"/>
          <w:szCs w:val="24"/>
        </w:rPr>
        <w:t xml:space="preserve"> en un mayor grado de cumplimiento </w:t>
      </w:r>
      <w:r w:rsidR="00CD147D">
        <w:rPr>
          <w:rFonts w:asciiTheme="minorHAnsi" w:hAnsiTheme="minorHAnsi" w:cstheme="minorHAnsi"/>
          <w:sz w:val="24"/>
          <w:szCs w:val="24"/>
        </w:rPr>
        <w:t>de las obligaciones de publicidad activa por parte del Portal de Transparencia de la AGE</w:t>
      </w:r>
      <w:r w:rsidRPr="00563923">
        <w:rPr>
          <w:rFonts w:asciiTheme="minorHAnsi" w:hAnsiTheme="minorHAnsi" w:cstheme="minorHAnsi"/>
          <w:sz w:val="24"/>
          <w:szCs w:val="24"/>
        </w:rPr>
        <w:t>.</w:t>
      </w:r>
    </w:p>
    <w:p w:rsidR="009B5024" w:rsidRDefault="009B5024" w:rsidP="00BC4E68">
      <w:pPr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9B5024" w:rsidRPr="00563923" w:rsidRDefault="009B5024" w:rsidP="00BC4E68">
      <w:pPr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F17B00" w:rsidRDefault="00F17B00" w:rsidP="00F17B00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45134F" w:rsidRPr="00855ECA" w:rsidRDefault="00CD147D" w:rsidP="00E851A5">
      <w:pPr>
        <w:pStyle w:val="Prrafodelista"/>
        <w:tabs>
          <w:tab w:val="left" w:pos="284"/>
        </w:tabs>
        <w:spacing w:before="120" w:after="120" w:line="312" w:lineRule="auto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Abril de 2022</w:t>
      </w:r>
    </w:p>
    <w:sectPr w:rsidR="0045134F" w:rsidRPr="00855ECA" w:rsidSect="002F4D5B">
      <w:headerReference w:type="default" r:id="rId8"/>
      <w:footerReference w:type="default" r:id="rId9"/>
      <w:headerReference w:type="first" r:id="rId10"/>
      <w:pgSz w:w="11906" w:h="16838" w:code="9"/>
      <w:pgMar w:top="2242" w:right="1134" w:bottom="184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AFB" w:rsidRDefault="002E2AFB" w:rsidP="00344FE7">
      <w:pPr>
        <w:spacing w:after="0" w:line="240" w:lineRule="auto"/>
      </w:pPr>
      <w:r>
        <w:separator/>
      </w:r>
    </w:p>
  </w:endnote>
  <w:endnote w:type="continuationSeparator" w:id="0">
    <w:p w:rsidR="002E2AFB" w:rsidRDefault="002E2AFB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D147D" w:rsidRPr="00C23F36" w:rsidRDefault="00CD147D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E5554E">
          <w:rPr>
            <w:noProof/>
            <w:sz w:val="20"/>
            <w:szCs w:val="20"/>
          </w:rPr>
          <w:t>4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AFB" w:rsidRDefault="002E2AFB" w:rsidP="00344FE7">
      <w:pPr>
        <w:spacing w:after="0" w:line="240" w:lineRule="auto"/>
      </w:pPr>
      <w:r>
        <w:separator/>
      </w:r>
    </w:p>
  </w:footnote>
  <w:footnote w:type="continuationSeparator" w:id="0">
    <w:p w:rsidR="002E2AFB" w:rsidRDefault="002E2AFB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47D" w:rsidRDefault="00CD147D" w:rsidP="00344FE7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3BB0E487" wp14:editId="0C3BE06B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47D" w:rsidRDefault="00CD147D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701D2662" wp14:editId="295682AD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76DFF119" wp14:editId="08314C83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29_"/>
      </v:shape>
    </w:pict>
  </w:numPicBullet>
  <w:abstractNum w:abstractNumId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C676F"/>
    <w:multiLevelType w:val="hybridMultilevel"/>
    <w:tmpl w:val="C6B826F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CF45AD"/>
    <w:multiLevelType w:val="hybridMultilevel"/>
    <w:tmpl w:val="834A37EE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EC4D92"/>
    <w:multiLevelType w:val="hybridMultilevel"/>
    <w:tmpl w:val="5F3876E2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30B5118"/>
    <w:multiLevelType w:val="hybridMultilevel"/>
    <w:tmpl w:val="BBBE154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5D3CC7"/>
    <w:multiLevelType w:val="hybridMultilevel"/>
    <w:tmpl w:val="4680218E"/>
    <w:lvl w:ilvl="0" w:tplc="0C0A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>
    <w:nsid w:val="4FD15650"/>
    <w:multiLevelType w:val="hybridMultilevel"/>
    <w:tmpl w:val="7826A50C"/>
    <w:lvl w:ilvl="0" w:tplc="60CCF72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F7555E"/>
    <w:multiLevelType w:val="hybridMultilevel"/>
    <w:tmpl w:val="59847D26"/>
    <w:lvl w:ilvl="0" w:tplc="BE98590E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510F35"/>
    <w:multiLevelType w:val="hybridMultilevel"/>
    <w:tmpl w:val="FDF685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7">
    <w:nsid w:val="71F17DC0"/>
    <w:multiLevelType w:val="hybridMultilevel"/>
    <w:tmpl w:val="E93AEA8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3316104"/>
    <w:multiLevelType w:val="hybridMultilevel"/>
    <w:tmpl w:val="DF2E841A"/>
    <w:lvl w:ilvl="0" w:tplc="AD02D5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E13715"/>
    <w:multiLevelType w:val="hybridMultilevel"/>
    <w:tmpl w:val="CAC0CF0A"/>
    <w:lvl w:ilvl="0" w:tplc="BE98590E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6"/>
  </w:num>
  <w:num w:numId="5">
    <w:abstractNumId w:val="6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0"/>
  </w:num>
  <w:num w:numId="11">
    <w:abstractNumId w:val="18"/>
  </w:num>
  <w:num w:numId="12">
    <w:abstractNumId w:val="15"/>
  </w:num>
  <w:num w:numId="13">
    <w:abstractNumId w:val="4"/>
  </w:num>
  <w:num w:numId="14">
    <w:abstractNumId w:val="11"/>
  </w:num>
  <w:num w:numId="15">
    <w:abstractNumId w:val="10"/>
  </w:num>
  <w:num w:numId="16">
    <w:abstractNumId w:val="19"/>
  </w:num>
  <w:num w:numId="17">
    <w:abstractNumId w:val="14"/>
  </w:num>
  <w:num w:numId="18">
    <w:abstractNumId w:val="9"/>
  </w:num>
  <w:num w:numId="19">
    <w:abstractNumId w:val="5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11767"/>
    <w:rsid w:val="000234B9"/>
    <w:rsid w:val="00033E75"/>
    <w:rsid w:val="000340C6"/>
    <w:rsid w:val="00036A5D"/>
    <w:rsid w:val="00074030"/>
    <w:rsid w:val="00096C86"/>
    <w:rsid w:val="000E1EA9"/>
    <w:rsid w:val="001257F9"/>
    <w:rsid w:val="00130222"/>
    <w:rsid w:val="0014196C"/>
    <w:rsid w:val="001472B9"/>
    <w:rsid w:val="001620F0"/>
    <w:rsid w:val="001750A8"/>
    <w:rsid w:val="00175D6C"/>
    <w:rsid w:val="0018324C"/>
    <w:rsid w:val="00194E05"/>
    <w:rsid w:val="001B16D9"/>
    <w:rsid w:val="001C214A"/>
    <w:rsid w:val="001E44BC"/>
    <w:rsid w:val="00210111"/>
    <w:rsid w:val="0021064D"/>
    <w:rsid w:val="00235A40"/>
    <w:rsid w:val="00241D6D"/>
    <w:rsid w:val="00245DFC"/>
    <w:rsid w:val="00251194"/>
    <w:rsid w:val="00292806"/>
    <w:rsid w:val="00297544"/>
    <w:rsid w:val="002A4771"/>
    <w:rsid w:val="002C000A"/>
    <w:rsid w:val="002E2AFB"/>
    <w:rsid w:val="002F4D5B"/>
    <w:rsid w:val="002F5D0B"/>
    <w:rsid w:val="002F7779"/>
    <w:rsid w:val="00310FA2"/>
    <w:rsid w:val="003259B9"/>
    <w:rsid w:val="0034465B"/>
    <w:rsid w:val="00344FE7"/>
    <w:rsid w:val="00345F4B"/>
    <w:rsid w:val="00351475"/>
    <w:rsid w:val="003656B1"/>
    <w:rsid w:val="003B5DE7"/>
    <w:rsid w:val="003C2D19"/>
    <w:rsid w:val="003D0DAF"/>
    <w:rsid w:val="003F0972"/>
    <w:rsid w:val="003F38BD"/>
    <w:rsid w:val="004108BB"/>
    <w:rsid w:val="00413300"/>
    <w:rsid w:val="00440C9A"/>
    <w:rsid w:val="0045134F"/>
    <w:rsid w:val="00465EAD"/>
    <w:rsid w:val="004B15B8"/>
    <w:rsid w:val="004D246C"/>
    <w:rsid w:val="004D4EF1"/>
    <w:rsid w:val="00563923"/>
    <w:rsid w:val="00593405"/>
    <w:rsid w:val="005B1C12"/>
    <w:rsid w:val="005E3D42"/>
    <w:rsid w:val="00614890"/>
    <w:rsid w:val="00651A35"/>
    <w:rsid w:val="0065796D"/>
    <w:rsid w:val="00665BA1"/>
    <w:rsid w:val="006C0214"/>
    <w:rsid w:val="006D4BF3"/>
    <w:rsid w:val="006F17B5"/>
    <w:rsid w:val="006F5890"/>
    <w:rsid w:val="0071472F"/>
    <w:rsid w:val="007342F2"/>
    <w:rsid w:val="0077553A"/>
    <w:rsid w:val="00780DF9"/>
    <w:rsid w:val="007A53A8"/>
    <w:rsid w:val="007A662D"/>
    <w:rsid w:val="007A77F8"/>
    <w:rsid w:val="007B7237"/>
    <w:rsid w:val="007C00E5"/>
    <w:rsid w:val="007C0642"/>
    <w:rsid w:val="007C1C6F"/>
    <w:rsid w:val="007C449F"/>
    <w:rsid w:val="007D24E2"/>
    <w:rsid w:val="007D2A3F"/>
    <w:rsid w:val="007E1F93"/>
    <w:rsid w:val="00815DA2"/>
    <w:rsid w:val="00816D4F"/>
    <w:rsid w:val="00855ECA"/>
    <w:rsid w:val="00856637"/>
    <w:rsid w:val="00862FB0"/>
    <w:rsid w:val="0089717A"/>
    <w:rsid w:val="008B79BD"/>
    <w:rsid w:val="00901F1F"/>
    <w:rsid w:val="009029E0"/>
    <w:rsid w:val="009557B1"/>
    <w:rsid w:val="00977D71"/>
    <w:rsid w:val="00983811"/>
    <w:rsid w:val="009871C5"/>
    <w:rsid w:val="00987B3A"/>
    <w:rsid w:val="009B5024"/>
    <w:rsid w:val="009B5E4A"/>
    <w:rsid w:val="009B7ADA"/>
    <w:rsid w:val="009D2560"/>
    <w:rsid w:val="009D6677"/>
    <w:rsid w:val="009E16B5"/>
    <w:rsid w:val="009E30AA"/>
    <w:rsid w:val="00A24192"/>
    <w:rsid w:val="00A26523"/>
    <w:rsid w:val="00A603C7"/>
    <w:rsid w:val="00A62936"/>
    <w:rsid w:val="00A64FC8"/>
    <w:rsid w:val="00AE5BF4"/>
    <w:rsid w:val="00B065F8"/>
    <w:rsid w:val="00B20ABA"/>
    <w:rsid w:val="00B21038"/>
    <w:rsid w:val="00B2640A"/>
    <w:rsid w:val="00B2797F"/>
    <w:rsid w:val="00B31F84"/>
    <w:rsid w:val="00B35A53"/>
    <w:rsid w:val="00B5520E"/>
    <w:rsid w:val="00B75881"/>
    <w:rsid w:val="00B81EE6"/>
    <w:rsid w:val="00BC3D8E"/>
    <w:rsid w:val="00BC4E68"/>
    <w:rsid w:val="00BC5ADA"/>
    <w:rsid w:val="00BC7A82"/>
    <w:rsid w:val="00BF5291"/>
    <w:rsid w:val="00BF5B9B"/>
    <w:rsid w:val="00C01613"/>
    <w:rsid w:val="00C0201F"/>
    <w:rsid w:val="00C05003"/>
    <w:rsid w:val="00C119CE"/>
    <w:rsid w:val="00C23F36"/>
    <w:rsid w:val="00C305B6"/>
    <w:rsid w:val="00C3135F"/>
    <w:rsid w:val="00C736B9"/>
    <w:rsid w:val="00C82AB2"/>
    <w:rsid w:val="00C87BC3"/>
    <w:rsid w:val="00C9137E"/>
    <w:rsid w:val="00C9374A"/>
    <w:rsid w:val="00C94C61"/>
    <w:rsid w:val="00CD147D"/>
    <w:rsid w:val="00CD5AC3"/>
    <w:rsid w:val="00CF0704"/>
    <w:rsid w:val="00D23111"/>
    <w:rsid w:val="00D445A4"/>
    <w:rsid w:val="00D44E9D"/>
    <w:rsid w:val="00D72EF9"/>
    <w:rsid w:val="00DB21EC"/>
    <w:rsid w:val="00DB2CB4"/>
    <w:rsid w:val="00DB2CCC"/>
    <w:rsid w:val="00DC20E5"/>
    <w:rsid w:val="00DD07B5"/>
    <w:rsid w:val="00DD0A24"/>
    <w:rsid w:val="00DF3C90"/>
    <w:rsid w:val="00DF5982"/>
    <w:rsid w:val="00E03C82"/>
    <w:rsid w:val="00E30C4E"/>
    <w:rsid w:val="00E35741"/>
    <w:rsid w:val="00E4386D"/>
    <w:rsid w:val="00E5135F"/>
    <w:rsid w:val="00E5554E"/>
    <w:rsid w:val="00E64F85"/>
    <w:rsid w:val="00E765D0"/>
    <w:rsid w:val="00E851A5"/>
    <w:rsid w:val="00E90B21"/>
    <w:rsid w:val="00EB7058"/>
    <w:rsid w:val="00EC3AAE"/>
    <w:rsid w:val="00ED6FD3"/>
    <w:rsid w:val="00EF5F68"/>
    <w:rsid w:val="00F14500"/>
    <w:rsid w:val="00F17B00"/>
    <w:rsid w:val="00F270A6"/>
    <w:rsid w:val="00F5121D"/>
    <w:rsid w:val="00F777C2"/>
    <w:rsid w:val="00F80E8A"/>
    <w:rsid w:val="00F85353"/>
    <w:rsid w:val="00FA6AF8"/>
    <w:rsid w:val="00FC1400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1C5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65B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65B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B552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520E"/>
    <w:pPr>
      <w:spacing w:line="240" w:lineRule="auto"/>
      <w:jc w:val="both"/>
    </w:pPr>
    <w:rPr>
      <w:rFonts w:asciiTheme="minorHAnsi" w:eastAsiaTheme="minorEastAsia" w:hAnsiTheme="minorHAnsi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520E"/>
    <w:rPr>
      <w:rFonts w:asciiTheme="minorHAnsi" w:eastAsiaTheme="minorEastAsia" w:hAnsiTheme="minorHAnsi"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65B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uerpodelboletn">
    <w:name w:val="Cuerpo del boletín"/>
    <w:basedOn w:val="Normal"/>
    <w:qFormat/>
    <w:rsid w:val="00665BA1"/>
    <w:pPr>
      <w:spacing w:line="240" w:lineRule="auto"/>
      <w:jc w:val="both"/>
    </w:pPr>
    <w:rPr>
      <w:rFonts w:ascii="Century Gothic" w:eastAsiaTheme="minorEastAsia" w:hAnsi="Century Gothic"/>
      <w:color w:val="000000"/>
      <w:sz w:val="22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65B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1D6D"/>
    <w:pPr>
      <w:jc w:val="left"/>
    </w:pPr>
    <w:rPr>
      <w:rFonts w:ascii="Calibri" w:eastAsiaTheme="minorHAns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1D6D"/>
    <w:rPr>
      <w:rFonts w:asciiTheme="minorHAnsi" w:eastAsiaTheme="minorEastAsia" w:hAnsiTheme="minorHAnsi"/>
      <w:b/>
      <w:bCs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1C5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65B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65B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B552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520E"/>
    <w:pPr>
      <w:spacing w:line="240" w:lineRule="auto"/>
      <w:jc w:val="both"/>
    </w:pPr>
    <w:rPr>
      <w:rFonts w:asciiTheme="minorHAnsi" w:eastAsiaTheme="minorEastAsia" w:hAnsiTheme="minorHAnsi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520E"/>
    <w:rPr>
      <w:rFonts w:asciiTheme="minorHAnsi" w:eastAsiaTheme="minorEastAsia" w:hAnsiTheme="minorHAnsi"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65B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uerpodelboletn">
    <w:name w:val="Cuerpo del boletín"/>
    <w:basedOn w:val="Normal"/>
    <w:qFormat/>
    <w:rsid w:val="00665BA1"/>
    <w:pPr>
      <w:spacing w:line="240" w:lineRule="auto"/>
      <w:jc w:val="both"/>
    </w:pPr>
    <w:rPr>
      <w:rFonts w:ascii="Century Gothic" w:eastAsiaTheme="minorEastAsia" w:hAnsi="Century Gothic"/>
      <w:color w:val="000000"/>
      <w:sz w:val="22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65B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1D6D"/>
    <w:pPr>
      <w:jc w:val="left"/>
    </w:pPr>
    <w:rPr>
      <w:rFonts w:ascii="Calibri" w:eastAsiaTheme="minorHAns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1D6D"/>
    <w:rPr>
      <w:rFonts w:asciiTheme="minorHAnsi" w:eastAsiaTheme="minorEastAsia" w:hAnsiTheme="minorHAnsi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1338</Words>
  <Characters>7360</Characters>
  <Application>Microsoft Office Word</Application>
  <DocSecurity>4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2015-01-27T17:42:00Z</cp:lastPrinted>
  <dcterms:created xsi:type="dcterms:W3CDTF">2022-05-11T10:32:00Z</dcterms:created>
  <dcterms:modified xsi:type="dcterms:W3CDTF">2022-05-11T10:32:00Z</dcterms:modified>
</cp:coreProperties>
</file>