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3A5" w:rsidRDefault="0086761F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8423A5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8423A5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8423A5"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</w:sdtContent>
                            </w:sdt>
                            <w:r w:rsidR="008423A5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Colegio Oficial de Geólogos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p w:rsidR="008423A5" w:rsidRDefault="008423A5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</w:sdtContent>
                      </w:sdt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Colegio Oficial de Geólogos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423A5" w:rsidRDefault="008423A5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8423A5" w:rsidRDefault="008423A5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86761F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3577DD" w:rsidRDefault="00243294" w:rsidP="001C7D8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577DD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3577DD" w:rsidRDefault="00243294" w:rsidP="001C7D8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577DD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3577DD" w:rsidRDefault="00183301" w:rsidP="00183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3" w:type="dxa"/>
          </w:tcPr>
          <w:p w:rsidR="00183301" w:rsidRPr="00AA3E5D" w:rsidRDefault="00984E51" w:rsidP="00984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 efectuar la revisión, se ha constatado que el acceso inicial al Portal de Transparencia está restringido a colegiados, aunque si es posible acceder a los distintos apartados en los que se organiza.  </w:t>
            </w: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Pr="003577DD" w:rsidRDefault="001C2217" w:rsidP="00183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3" w:type="dxa"/>
          </w:tcPr>
          <w:p w:rsidR="001C2217" w:rsidRPr="00AA3E5D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3577DD" w:rsidRDefault="003577DD" w:rsidP="00183301">
            <w:pPr>
              <w:jc w:val="center"/>
              <w:rPr>
                <w:sz w:val="18"/>
                <w:szCs w:val="18"/>
              </w:rPr>
            </w:pPr>
            <w:r w:rsidRPr="003577DD">
              <w:rPr>
                <w:sz w:val="18"/>
                <w:szCs w:val="18"/>
              </w:rPr>
              <w:t>X</w:t>
            </w:r>
          </w:p>
        </w:tc>
        <w:tc>
          <w:tcPr>
            <w:tcW w:w="3203" w:type="dxa"/>
          </w:tcPr>
          <w:p w:rsidR="00183301" w:rsidRPr="00AA3E5D" w:rsidRDefault="00984E51" w:rsidP="00984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3577DD" w:rsidRPr="00AA3E5D">
              <w:rPr>
                <w:sz w:val="20"/>
                <w:szCs w:val="20"/>
              </w:rPr>
              <w:t xml:space="preserve"> 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Pr="003577DD" w:rsidRDefault="00984E51" w:rsidP="00183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3203" w:type="dxa"/>
          </w:tcPr>
          <w:p w:rsidR="00183301" w:rsidRPr="00AA3E5D" w:rsidRDefault="00984E51" w:rsidP="00984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P</w:t>
            </w:r>
            <w:r w:rsidRPr="00984E51">
              <w:rPr>
                <w:sz w:val="20"/>
                <w:szCs w:val="20"/>
              </w:rPr>
              <w:t xml:space="preserve">arte de la información se </w:t>
            </w:r>
            <w:r>
              <w:rPr>
                <w:sz w:val="20"/>
                <w:szCs w:val="20"/>
              </w:rPr>
              <w:t>localiza</w:t>
            </w:r>
            <w:r w:rsidRPr="00984E51">
              <w:rPr>
                <w:sz w:val="20"/>
                <w:szCs w:val="20"/>
              </w:rPr>
              <w:t xml:space="preserve"> dentro del </w:t>
            </w:r>
            <w:r>
              <w:rPr>
                <w:sz w:val="20"/>
                <w:szCs w:val="20"/>
              </w:rPr>
              <w:t>acceso</w:t>
            </w:r>
            <w:r w:rsidRPr="00984E51">
              <w:rPr>
                <w:sz w:val="20"/>
                <w:szCs w:val="20"/>
              </w:rPr>
              <w:t xml:space="preserve"> “El Colegio”.</w:t>
            </w:r>
          </w:p>
        </w:tc>
      </w:tr>
      <w:tr w:rsidR="00984E51" w:rsidRPr="007942B7" w:rsidTr="00984E51">
        <w:tc>
          <w:tcPr>
            <w:tcW w:w="2093" w:type="dxa"/>
            <w:vMerge w:val="restart"/>
            <w:vAlign w:val="center"/>
          </w:tcPr>
          <w:p w:rsidR="00984E51" w:rsidRPr="00C3228C" w:rsidRDefault="00984E51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984E51" w:rsidRPr="00984E51" w:rsidRDefault="00984E51" w:rsidP="00984E51">
            <w:pPr>
              <w:rPr>
                <w:sz w:val="20"/>
                <w:szCs w:val="20"/>
              </w:rPr>
            </w:pPr>
            <w:r w:rsidRPr="00984E51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</w:tcPr>
          <w:p w:rsidR="00984E51" w:rsidRPr="00984E51" w:rsidRDefault="00984E51" w:rsidP="00984E51">
            <w:pPr>
              <w:rPr>
                <w:sz w:val="20"/>
                <w:szCs w:val="20"/>
              </w:rPr>
            </w:pPr>
            <w:r w:rsidRPr="00984E5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84E51" w:rsidRPr="00984E51" w:rsidRDefault="00984E51" w:rsidP="00984E51">
            <w:pPr>
              <w:rPr>
                <w:sz w:val="20"/>
                <w:szCs w:val="20"/>
              </w:rPr>
            </w:pPr>
            <w:proofErr w:type="spellStart"/>
            <w:r w:rsidRPr="00984E51">
              <w:rPr>
                <w:sz w:val="20"/>
                <w:szCs w:val="20"/>
              </w:rPr>
              <w:t>Si</w:t>
            </w:r>
            <w:proofErr w:type="spellEnd"/>
            <w:r w:rsidRPr="00984E51">
              <w:rPr>
                <w:sz w:val="20"/>
                <w:szCs w:val="20"/>
              </w:rPr>
              <w:t>. Actualizado y reutilizable</w:t>
            </w:r>
          </w:p>
        </w:tc>
      </w:tr>
      <w:tr w:rsidR="00984E51" w:rsidRPr="007942B7" w:rsidTr="00984E51">
        <w:tc>
          <w:tcPr>
            <w:tcW w:w="2093" w:type="dxa"/>
            <w:vMerge/>
            <w:vAlign w:val="center"/>
          </w:tcPr>
          <w:p w:rsidR="00984E51" w:rsidRPr="00C3228C" w:rsidRDefault="00984E51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84E51" w:rsidRPr="00984E51" w:rsidRDefault="00984E51" w:rsidP="00984E51">
            <w:pPr>
              <w:rPr>
                <w:sz w:val="20"/>
                <w:szCs w:val="20"/>
              </w:rPr>
            </w:pPr>
            <w:r w:rsidRPr="00984E51"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984E51" w:rsidRPr="00984E51" w:rsidRDefault="00984E51" w:rsidP="00984E51">
            <w:pPr>
              <w:rPr>
                <w:sz w:val="20"/>
                <w:szCs w:val="20"/>
              </w:rPr>
            </w:pPr>
            <w:r w:rsidRPr="00984E5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84E51" w:rsidRPr="00984E51" w:rsidRDefault="00984E51" w:rsidP="00984E51">
            <w:pPr>
              <w:rPr>
                <w:sz w:val="20"/>
                <w:szCs w:val="20"/>
              </w:rPr>
            </w:pPr>
            <w:proofErr w:type="spellStart"/>
            <w:r w:rsidRPr="00984E51">
              <w:rPr>
                <w:sz w:val="20"/>
                <w:szCs w:val="20"/>
              </w:rPr>
              <w:t>Si</w:t>
            </w:r>
            <w:proofErr w:type="spellEnd"/>
            <w:r w:rsidRPr="00984E51">
              <w:rPr>
                <w:sz w:val="20"/>
                <w:szCs w:val="20"/>
              </w:rPr>
              <w:t>. Actualizado a octubre 2021. No reutilizable.</w:t>
            </w:r>
          </w:p>
        </w:tc>
      </w:tr>
      <w:tr w:rsidR="00984E51" w:rsidRPr="007942B7" w:rsidTr="00984E51">
        <w:tc>
          <w:tcPr>
            <w:tcW w:w="2093" w:type="dxa"/>
            <w:vMerge/>
            <w:vAlign w:val="center"/>
          </w:tcPr>
          <w:p w:rsidR="00984E51" w:rsidRPr="00C3228C" w:rsidRDefault="00984E51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84E51" w:rsidRPr="00984E51" w:rsidRDefault="00984E51" w:rsidP="00984E51">
            <w:pPr>
              <w:rPr>
                <w:sz w:val="20"/>
                <w:szCs w:val="20"/>
              </w:rPr>
            </w:pPr>
            <w:r w:rsidRPr="00984E51"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</w:tcPr>
          <w:p w:rsidR="00984E51" w:rsidRPr="00984E51" w:rsidRDefault="00984E51" w:rsidP="00984E51">
            <w:pPr>
              <w:rPr>
                <w:sz w:val="20"/>
                <w:szCs w:val="20"/>
              </w:rPr>
            </w:pPr>
            <w:r w:rsidRPr="00984E5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84E51" w:rsidRPr="00984E51" w:rsidRDefault="00984E51" w:rsidP="008423A5">
            <w:pPr>
              <w:rPr>
                <w:sz w:val="20"/>
                <w:szCs w:val="20"/>
              </w:rPr>
            </w:pPr>
            <w:r w:rsidRPr="00984E51">
              <w:rPr>
                <w:sz w:val="20"/>
                <w:szCs w:val="20"/>
              </w:rPr>
              <w:t xml:space="preserve">No </w:t>
            </w:r>
          </w:p>
        </w:tc>
      </w:tr>
      <w:tr w:rsidR="00984E51" w:rsidRPr="007942B7" w:rsidTr="00984E51">
        <w:tc>
          <w:tcPr>
            <w:tcW w:w="2093" w:type="dxa"/>
            <w:vMerge/>
          </w:tcPr>
          <w:p w:rsidR="00984E51" w:rsidRPr="007942B7" w:rsidRDefault="00984E5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84E51" w:rsidRPr="00984E51" w:rsidRDefault="00984E51" w:rsidP="00984E51">
            <w:pPr>
              <w:rPr>
                <w:sz w:val="20"/>
                <w:szCs w:val="20"/>
              </w:rPr>
            </w:pPr>
            <w:r w:rsidRPr="00984E51"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984E51" w:rsidRPr="00984E51" w:rsidRDefault="00984E51" w:rsidP="00984E51">
            <w:pPr>
              <w:rPr>
                <w:sz w:val="20"/>
                <w:szCs w:val="20"/>
              </w:rPr>
            </w:pPr>
            <w:r w:rsidRPr="00984E5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84E51" w:rsidRPr="00984E51" w:rsidRDefault="008423A5" w:rsidP="00842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Parcialmente</w:t>
            </w:r>
            <w:r w:rsidR="00984E51" w:rsidRPr="00984E5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Se</w:t>
            </w:r>
            <w:r w:rsidR="00984E51" w:rsidRPr="00984E51">
              <w:rPr>
                <w:sz w:val="20"/>
                <w:szCs w:val="20"/>
              </w:rPr>
              <w:t xml:space="preserve"> informa de una subvenc</w:t>
            </w:r>
            <w:r>
              <w:rPr>
                <w:sz w:val="20"/>
                <w:szCs w:val="20"/>
              </w:rPr>
              <w:t>ión concedida en 2020 pero no sobre las subvenciones percibidas</w:t>
            </w:r>
          </w:p>
        </w:tc>
      </w:tr>
      <w:tr w:rsidR="00984E51" w:rsidRPr="007942B7" w:rsidTr="00984E51">
        <w:tc>
          <w:tcPr>
            <w:tcW w:w="2093" w:type="dxa"/>
            <w:vMerge/>
          </w:tcPr>
          <w:p w:rsidR="00984E51" w:rsidRPr="007942B7" w:rsidRDefault="00984E5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84E51" w:rsidRPr="00984E51" w:rsidRDefault="00984E51" w:rsidP="00984E51">
            <w:pPr>
              <w:rPr>
                <w:sz w:val="20"/>
                <w:szCs w:val="20"/>
              </w:rPr>
            </w:pPr>
            <w:r w:rsidRPr="00984E51"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</w:tcPr>
          <w:p w:rsidR="00984E51" w:rsidRPr="00984E51" w:rsidRDefault="00984E51" w:rsidP="00984E51">
            <w:pPr>
              <w:rPr>
                <w:sz w:val="20"/>
                <w:szCs w:val="20"/>
              </w:rPr>
            </w:pPr>
            <w:r w:rsidRPr="00984E5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84E51" w:rsidRPr="00984E51" w:rsidRDefault="00984E51" w:rsidP="008423A5">
            <w:pPr>
              <w:rPr>
                <w:sz w:val="20"/>
                <w:szCs w:val="20"/>
              </w:rPr>
            </w:pPr>
            <w:r w:rsidRPr="00984E51">
              <w:rPr>
                <w:sz w:val="20"/>
                <w:szCs w:val="20"/>
              </w:rPr>
              <w:t xml:space="preserve">No. Cuando se accede al enlace Convenios dentro del portal exige identificarse con </w:t>
            </w:r>
            <w:r w:rsidR="008423A5">
              <w:rPr>
                <w:sz w:val="20"/>
                <w:szCs w:val="20"/>
              </w:rPr>
              <w:t>usuario</w:t>
            </w:r>
            <w:r w:rsidRPr="00984E51">
              <w:rPr>
                <w:sz w:val="20"/>
                <w:szCs w:val="20"/>
              </w:rPr>
              <w:t xml:space="preserve"> y contraseña. </w:t>
            </w:r>
          </w:p>
        </w:tc>
      </w:tr>
      <w:tr w:rsidR="00984E51" w:rsidRPr="007942B7" w:rsidTr="00984E51">
        <w:tc>
          <w:tcPr>
            <w:tcW w:w="2093" w:type="dxa"/>
            <w:vMerge/>
          </w:tcPr>
          <w:p w:rsidR="00984E51" w:rsidRPr="007942B7" w:rsidRDefault="00984E5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84E51" w:rsidRPr="00984E51" w:rsidRDefault="00984E51" w:rsidP="00984E51">
            <w:pPr>
              <w:rPr>
                <w:sz w:val="20"/>
                <w:szCs w:val="20"/>
              </w:rPr>
            </w:pPr>
            <w:r w:rsidRPr="00984E51">
              <w:rPr>
                <w:sz w:val="20"/>
                <w:szCs w:val="20"/>
              </w:rPr>
              <w:t>Encomiendas de Gestión</w:t>
            </w:r>
          </w:p>
        </w:tc>
        <w:tc>
          <w:tcPr>
            <w:tcW w:w="567" w:type="dxa"/>
          </w:tcPr>
          <w:p w:rsidR="00984E51" w:rsidRPr="00984E51" w:rsidRDefault="00984E51" w:rsidP="00984E51">
            <w:pPr>
              <w:rPr>
                <w:sz w:val="20"/>
                <w:szCs w:val="20"/>
              </w:rPr>
            </w:pPr>
            <w:r w:rsidRPr="00984E51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984E51" w:rsidRPr="00984E51" w:rsidRDefault="00984E51" w:rsidP="008423A5">
            <w:pPr>
              <w:rPr>
                <w:sz w:val="20"/>
                <w:szCs w:val="20"/>
              </w:rPr>
            </w:pPr>
            <w:r w:rsidRPr="00984E51">
              <w:rPr>
                <w:sz w:val="20"/>
                <w:szCs w:val="20"/>
              </w:rPr>
              <w:t xml:space="preserve">No </w:t>
            </w:r>
            <w:bookmarkStart w:id="0" w:name="_GoBack"/>
            <w:bookmarkEnd w:id="0"/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3577DD" w:rsidRDefault="00183301" w:rsidP="00183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3" w:type="dxa"/>
          </w:tcPr>
          <w:p w:rsidR="00183301" w:rsidRPr="00AA3E5D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3577DD" w:rsidRDefault="00183301" w:rsidP="00183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3" w:type="dxa"/>
          </w:tcPr>
          <w:p w:rsidR="00183301" w:rsidRPr="00AA3E5D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3577DD" w:rsidRDefault="00183301" w:rsidP="00183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3" w:type="dxa"/>
          </w:tcPr>
          <w:p w:rsidR="00183301" w:rsidRPr="00AA3E5D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3577DD" w:rsidRDefault="006D4C90" w:rsidP="00183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3" w:type="dxa"/>
          </w:tcPr>
          <w:p w:rsidR="006D4C90" w:rsidRPr="00AA3E5D" w:rsidRDefault="006D4C90" w:rsidP="00BA14E6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3577DD" w:rsidRDefault="003577DD" w:rsidP="00183301">
            <w:pPr>
              <w:jc w:val="center"/>
              <w:rPr>
                <w:sz w:val="18"/>
                <w:szCs w:val="18"/>
              </w:rPr>
            </w:pPr>
            <w:r w:rsidRPr="003577DD">
              <w:rPr>
                <w:sz w:val="18"/>
                <w:szCs w:val="18"/>
              </w:rPr>
              <w:t>X</w:t>
            </w:r>
          </w:p>
        </w:tc>
        <w:tc>
          <w:tcPr>
            <w:tcW w:w="3203" w:type="dxa"/>
          </w:tcPr>
          <w:p w:rsidR="006D4C90" w:rsidRPr="00AA3E5D" w:rsidRDefault="00AA3E5D" w:rsidP="00183301">
            <w:pPr>
              <w:rPr>
                <w:sz w:val="20"/>
                <w:szCs w:val="20"/>
              </w:rPr>
            </w:pPr>
            <w:proofErr w:type="spellStart"/>
            <w:r w:rsidRPr="00AA3E5D">
              <w:rPr>
                <w:sz w:val="20"/>
                <w:szCs w:val="20"/>
              </w:rPr>
              <w:t>Si</w:t>
            </w:r>
            <w:proofErr w:type="spellEnd"/>
            <w:r w:rsidRPr="00AA3E5D">
              <w:rPr>
                <w:sz w:val="20"/>
                <w:szCs w:val="20"/>
              </w:rPr>
              <w:t>. Señalan que el portal está actualizado a octubre 2021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3577DD" w:rsidRDefault="008423A5" w:rsidP="008074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203" w:type="dxa"/>
          </w:tcPr>
          <w:p w:rsidR="001C7D84" w:rsidRPr="003577DD" w:rsidRDefault="001C7D84" w:rsidP="00AC4A6F">
            <w:pPr>
              <w:rPr>
                <w:b/>
                <w:sz w:val="18"/>
                <w:szCs w:val="18"/>
              </w:rPr>
            </w:pPr>
          </w:p>
        </w:tc>
      </w:tr>
    </w:tbl>
    <w:p w:rsidR="008423A5" w:rsidRDefault="008423A5" w:rsidP="005C0787">
      <w:pPr>
        <w:jc w:val="both"/>
      </w:pPr>
    </w:p>
    <w:p w:rsidR="00FA5AFD" w:rsidRDefault="00110FED" w:rsidP="005C0787">
      <w:pPr>
        <w:jc w:val="both"/>
      </w:pPr>
      <w:r>
        <w:lastRenderedPageBreak/>
        <w:t xml:space="preserve">El </w:t>
      </w:r>
      <w:r>
        <w:rPr>
          <w:lang w:bidi="es-ES"/>
        </w:rPr>
        <w:t>C</w:t>
      </w:r>
      <w:r w:rsidR="003577DD">
        <w:rPr>
          <w:lang w:bidi="es-ES"/>
        </w:rPr>
        <w:t>olegio Oficial de Geólogos</w:t>
      </w:r>
      <w:r>
        <w:rPr>
          <w:lang w:bidi="es-ES"/>
        </w:rPr>
        <w:t xml:space="preserve"> </w:t>
      </w:r>
      <w:r w:rsidR="003A065E">
        <w:rPr>
          <w:lang w:bidi="es-ES"/>
        </w:rPr>
        <w:t xml:space="preserve">ha aplicado </w:t>
      </w:r>
      <w:r w:rsidR="008423A5">
        <w:rPr>
          <w:lang w:bidi="es-ES"/>
        </w:rPr>
        <w:t>cuatro</w:t>
      </w:r>
      <w:r w:rsidR="003A065E">
        <w:rPr>
          <w:lang w:bidi="es-ES"/>
        </w:rPr>
        <w:t xml:space="preserve"> </w:t>
      </w:r>
      <w:r w:rsidRPr="00113AFA">
        <w:rPr>
          <w:lang w:bidi="es-ES"/>
        </w:rPr>
        <w:t xml:space="preserve"> de las</w:t>
      </w:r>
      <w:r w:rsidR="003A065E">
        <w:rPr>
          <w:lang w:bidi="es-ES"/>
        </w:rPr>
        <w:t xml:space="preserve"> once</w:t>
      </w:r>
      <w:r w:rsidRPr="00113AFA">
        <w:rPr>
          <w:lang w:bidi="es-ES"/>
        </w:rPr>
        <w:t xml:space="preserve"> recomendaciones</w:t>
      </w:r>
      <w:r>
        <w:rPr>
          <w:lang w:bidi="es-ES"/>
        </w:rPr>
        <w:t xml:space="preserve"> efectuadas a partir de las evidencias ob</w:t>
      </w:r>
      <w:r w:rsidR="003577DD">
        <w:rPr>
          <w:lang w:bidi="es-ES"/>
        </w:rPr>
        <w:t>tenidas en la evaluación de 2021</w:t>
      </w:r>
      <w:r>
        <w:rPr>
          <w:lang w:bidi="es-ES"/>
        </w:rPr>
        <w:t xml:space="preserve">. </w:t>
      </w:r>
    </w:p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5D8CA" wp14:editId="05BA9368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423A5" w:rsidRPr="00F31BC3" w:rsidRDefault="008423A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8423A5" w:rsidRPr="00F31BC3" w:rsidRDefault="008423A5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86761F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D0885" w:rsidRPr="007D0885" w:rsidTr="00357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8423A5" w:rsidRPr="007D0885" w:rsidTr="00842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423A5" w:rsidRPr="007D0885" w:rsidRDefault="008423A5" w:rsidP="007D08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Institucional y 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A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A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A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A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A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A5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A5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A5">
              <w:rPr>
                <w:sz w:val="16"/>
                <w:szCs w:val="16"/>
              </w:rPr>
              <w:t>95,9</w:t>
            </w:r>
          </w:p>
        </w:tc>
      </w:tr>
      <w:tr w:rsidR="008423A5" w:rsidRPr="007D0885" w:rsidTr="008423A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423A5" w:rsidRPr="007D0885" w:rsidRDefault="008423A5" w:rsidP="007D088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 xml:space="preserve">Económica  y 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A5">
              <w:rPr>
                <w:sz w:val="16"/>
                <w:szCs w:val="16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A5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A5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A5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A5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A5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A5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A5">
              <w:rPr>
                <w:sz w:val="16"/>
                <w:szCs w:val="16"/>
              </w:rPr>
              <w:t>13,3</w:t>
            </w:r>
          </w:p>
        </w:tc>
      </w:tr>
      <w:tr w:rsidR="008423A5" w:rsidRPr="007D0885" w:rsidTr="00842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423A5" w:rsidRPr="007D0885" w:rsidRDefault="008423A5" w:rsidP="007D088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D08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423A5">
              <w:rPr>
                <w:b/>
                <w:i/>
                <w:sz w:val="16"/>
                <w:szCs w:val="16"/>
              </w:rPr>
              <w:t>53,6</w:t>
            </w:r>
          </w:p>
        </w:tc>
        <w:tc>
          <w:tcPr>
            <w:tcW w:w="0" w:type="auto"/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423A5">
              <w:rPr>
                <w:b/>
                <w:i/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423A5">
              <w:rPr>
                <w:b/>
                <w:i/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423A5">
              <w:rPr>
                <w:b/>
                <w:i/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423A5">
              <w:rPr>
                <w:b/>
                <w:i/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423A5">
              <w:rPr>
                <w:b/>
                <w:i/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423A5">
              <w:rPr>
                <w:b/>
                <w:i/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8423A5" w:rsidRPr="008423A5" w:rsidRDefault="008423A5" w:rsidP="008423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423A5">
              <w:rPr>
                <w:b/>
                <w:i/>
                <w:sz w:val="16"/>
                <w:szCs w:val="16"/>
              </w:rPr>
              <w:t>54,6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714C54" w:rsidRDefault="00113AFA" w:rsidP="00113AFA">
      <w:pPr>
        <w:pStyle w:val="Cuerpodelboletn"/>
      </w:pPr>
      <w:r>
        <w:rPr>
          <w:lang w:bidi="es-ES"/>
        </w:rPr>
        <w:t xml:space="preserve">El Índice de Cumplimiento de la Información Obligatoria (ICIO) alcanza un </w:t>
      </w:r>
      <w:r w:rsidR="008423A5">
        <w:rPr>
          <w:lang w:bidi="es-ES"/>
        </w:rPr>
        <w:t>54</w:t>
      </w:r>
      <w:r w:rsidR="005C0787">
        <w:rPr>
          <w:lang w:bidi="es-ES"/>
        </w:rPr>
        <w:t>,6</w:t>
      </w:r>
      <w:r>
        <w:rPr>
          <w:lang w:bidi="es-ES"/>
        </w:rPr>
        <w:t>%. Respecto de 202</w:t>
      </w:r>
      <w:r w:rsidR="00AC6A13">
        <w:rPr>
          <w:lang w:bidi="es-ES"/>
        </w:rPr>
        <w:t>1</w:t>
      </w:r>
      <w:r>
        <w:rPr>
          <w:lang w:bidi="es-ES"/>
        </w:rPr>
        <w:t xml:space="preserve">, el ICIO aumenta en </w:t>
      </w:r>
      <w:r w:rsidR="00AC6A13">
        <w:rPr>
          <w:lang w:bidi="es-ES"/>
        </w:rPr>
        <w:t>24,1</w:t>
      </w:r>
      <w:r>
        <w:rPr>
          <w:lang w:bidi="es-ES"/>
        </w:rPr>
        <w:t xml:space="preserve"> puntos porcentuales.  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113AFA" w:rsidRDefault="00AC6A13" w:rsidP="00113AFA">
      <w:pPr>
        <w:pStyle w:val="Cuerpodelboletn"/>
      </w:pPr>
      <w:r>
        <w:lastRenderedPageBreak/>
        <w:t>Aunque e</w:t>
      </w:r>
      <w:r w:rsidR="00113AFA">
        <w:t xml:space="preserve">ste CTBG </w:t>
      </w:r>
      <w:r w:rsidR="00113AFA" w:rsidRPr="00400F39">
        <w:rPr>
          <w:b/>
        </w:rPr>
        <w:t xml:space="preserve">valora </w:t>
      </w:r>
      <w:r>
        <w:rPr>
          <w:b/>
        </w:rPr>
        <w:t>positivamente</w:t>
      </w:r>
      <w:r w:rsidR="00113AFA">
        <w:t xml:space="preserve"> la evolución del cumplimiento de las obligaciones de publicidad activa por parte del </w:t>
      </w:r>
      <w:r>
        <w:rPr>
          <w:lang w:bidi="es-ES"/>
        </w:rPr>
        <w:t>Colegio Oficial de Geólogos y la aplicación</w:t>
      </w:r>
      <w:r w:rsidR="00113AFA">
        <w:t xml:space="preserve"> </w:t>
      </w:r>
      <w:r>
        <w:t>del 36,6%</w:t>
      </w:r>
      <w:r w:rsidR="00113AFA">
        <w:t xml:space="preserve"> de las recomendaciones </w:t>
      </w:r>
      <w:r>
        <w:t xml:space="preserve">derivadas </w:t>
      </w:r>
      <w:r w:rsidR="00113AFA">
        <w:t>de la evaluación realizada en 202</w:t>
      </w:r>
      <w:r>
        <w:t>1, todavía queda un amplio margen de mejora</w:t>
      </w:r>
      <w:r w:rsidR="00113AFA">
        <w:t>.</w:t>
      </w:r>
    </w:p>
    <w:p w:rsidR="00113AFA" w:rsidRPr="000B61C2" w:rsidRDefault="00AC6A13" w:rsidP="00113AFA">
      <w:pPr>
        <w:pStyle w:val="Cuerpodelboletn"/>
        <w:numPr>
          <w:ilvl w:val="0"/>
          <w:numId w:val="18"/>
        </w:numPr>
      </w:pPr>
      <w:r>
        <w:t xml:space="preserve">El acceso al Portal </w:t>
      </w:r>
      <w:r w:rsidRPr="000B61C2">
        <w:t xml:space="preserve">de Transparencia de la entidad </w:t>
      </w:r>
      <w:r w:rsidR="000B61C2">
        <w:t>requiere usuario y contraseña, aunque es posible el acceso a los apartados que aparecen en el menú lateral. El Portal de Transparencia debería ser un Portal abierto para cualquier ciudadano interesado en acceder a la información pública de la entidad</w:t>
      </w:r>
      <w:r w:rsidR="00113AFA" w:rsidRPr="000B61C2">
        <w:t>.</w:t>
      </w:r>
    </w:p>
    <w:p w:rsidR="000B61C2" w:rsidRDefault="000B61C2" w:rsidP="000B61C2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0B61C2" w:rsidRDefault="000B61C2" w:rsidP="000B61C2">
      <w:pPr>
        <w:pStyle w:val="Prrafodelista"/>
      </w:pPr>
    </w:p>
    <w:p w:rsidR="000B61C2" w:rsidRDefault="000B61C2" w:rsidP="000B61C2">
      <w:pPr>
        <w:pStyle w:val="Sinespaciado"/>
        <w:numPr>
          <w:ilvl w:val="1"/>
          <w:numId w:val="20"/>
        </w:numPr>
        <w:spacing w:line="276" w:lineRule="auto"/>
        <w:ind w:left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del bloque de información Económica</w:t>
      </w:r>
    </w:p>
    <w:p w:rsidR="000B61C2" w:rsidRDefault="000B61C2" w:rsidP="000B61C2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0B61C2" w:rsidRDefault="000B61C2" w:rsidP="000B61C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los contratos adjudicados en régimen de derecho administrativo o los que hayan sido adjudicados al Colegio por una administración pública.</w:t>
      </w:r>
    </w:p>
    <w:p w:rsidR="000B61C2" w:rsidRDefault="000B61C2" w:rsidP="000B61C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Para acceder a la información relativa a los convenios suscritos con administraciones públicas, es preciso utilizar usuario y contraseña.</w:t>
      </w:r>
    </w:p>
    <w:p w:rsidR="000B61C2" w:rsidRDefault="000B61C2" w:rsidP="000B61C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Aunque se publica una subvención concedida por el Colegio, no se publican las subvenciones y ayudas públicas percibidas.</w:t>
      </w:r>
    </w:p>
    <w:p w:rsidR="000B61C2" w:rsidRDefault="000B61C2" w:rsidP="000B61C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las encomiendas de gestión asignadas por administraciones públicas.</w:t>
      </w:r>
    </w:p>
    <w:p w:rsidR="000B61C2" w:rsidRDefault="000B61C2" w:rsidP="000B61C2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0B61C2" w:rsidRDefault="000B61C2" w:rsidP="000B61C2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B61C2" w:rsidRDefault="000B61C2" w:rsidP="000B61C2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Madrid, julio de 2022</w:t>
      </w: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423A5" w:rsidRPr="00F31BC3" w:rsidRDefault="008423A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8423A5" w:rsidRPr="00F31BC3" w:rsidRDefault="008423A5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8423A5" w:rsidRPr="00F31BC3" w:rsidRDefault="008423A5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8423A5" w:rsidRPr="00F31BC3" w:rsidRDefault="008423A5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lastRenderedPageBreak/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3A5" w:rsidRDefault="008423A5" w:rsidP="00F31BC3">
      <w:r>
        <w:separator/>
      </w:r>
    </w:p>
  </w:endnote>
  <w:endnote w:type="continuationSeparator" w:id="0">
    <w:p w:rsidR="008423A5" w:rsidRDefault="008423A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A5" w:rsidRDefault="008423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A5" w:rsidRDefault="008423A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A5" w:rsidRDefault="008423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3A5" w:rsidRDefault="008423A5" w:rsidP="00F31BC3">
      <w:r>
        <w:separator/>
      </w:r>
    </w:p>
  </w:footnote>
  <w:footnote w:type="continuationSeparator" w:id="0">
    <w:p w:rsidR="008423A5" w:rsidRDefault="008423A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A5" w:rsidRDefault="008423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A5" w:rsidRDefault="008423A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A5" w:rsidRDefault="008423A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F4550"/>
    <w:multiLevelType w:val="hybridMultilevel"/>
    <w:tmpl w:val="3582151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2BCC76B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6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A77F5"/>
    <w:rsid w:val="000B61C2"/>
    <w:rsid w:val="000D3907"/>
    <w:rsid w:val="000D5417"/>
    <w:rsid w:val="000E0A9E"/>
    <w:rsid w:val="00104DE9"/>
    <w:rsid w:val="00104E94"/>
    <w:rsid w:val="00110FED"/>
    <w:rsid w:val="00113AFA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D0702"/>
    <w:rsid w:val="002D27E4"/>
    <w:rsid w:val="002E409F"/>
    <w:rsid w:val="002F06DC"/>
    <w:rsid w:val="0031769F"/>
    <w:rsid w:val="00347877"/>
    <w:rsid w:val="00355DC0"/>
    <w:rsid w:val="003577DD"/>
    <w:rsid w:val="003A065E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15DBD"/>
    <w:rsid w:val="00422B18"/>
    <w:rsid w:val="00433E3D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832"/>
    <w:rsid w:val="00563295"/>
    <w:rsid w:val="005B1544"/>
    <w:rsid w:val="005C0787"/>
    <w:rsid w:val="005C4778"/>
    <w:rsid w:val="005E2505"/>
    <w:rsid w:val="005E6704"/>
    <w:rsid w:val="00603DFC"/>
    <w:rsid w:val="006266A5"/>
    <w:rsid w:val="00633EAA"/>
    <w:rsid w:val="0069673B"/>
    <w:rsid w:val="006B75D8"/>
    <w:rsid w:val="006C0CDD"/>
    <w:rsid w:val="006D49E7"/>
    <w:rsid w:val="006D4C90"/>
    <w:rsid w:val="006E75DE"/>
    <w:rsid w:val="006F0D86"/>
    <w:rsid w:val="007071A8"/>
    <w:rsid w:val="00707C14"/>
    <w:rsid w:val="00714C54"/>
    <w:rsid w:val="00717272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D0885"/>
    <w:rsid w:val="007D1701"/>
    <w:rsid w:val="007D5CBF"/>
    <w:rsid w:val="007D69D9"/>
    <w:rsid w:val="007F1D56"/>
    <w:rsid w:val="007F5F9D"/>
    <w:rsid w:val="00803D20"/>
    <w:rsid w:val="00807495"/>
    <w:rsid w:val="00821526"/>
    <w:rsid w:val="0082470D"/>
    <w:rsid w:val="00825ACB"/>
    <w:rsid w:val="008423A5"/>
    <w:rsid w:val="0086761F"/>
    <w:rsid w:val="00882A5B"/>
    <w:rsid w:val="00891E6F"/>
    <w:rsid w:val="00894358"/>
    <w:rsid w:val="0089455A"/>
    <w:rsid w:val="00897D04"/>
    <w:rsid w:val="008A5AAE"/>
    <w:rsid w:val="00902A71"/>
    <w:rsid w:val="009039FD"/>
    <w:rsid w:val="00903FE0"/>
    <w:rsid w:val="00912DB4"/>
    <w:rsid w:val="00947271"/>
    <w:rsid w:val="009654DA"/>
    <w:rsid w:val="00965C69"/>
    <w:rsid w:val="00982299"/>
    <w:rsid w:val="00984E51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51AAD"/>
    <w:rsid w:val="00A82709"/>
    <w:rsid w:val="00AA0AE1"/>
    <w:rsid w:val="00AA3E5D"/>
    <w:rsid w:val="00AC2723"/>
    <w:rsid w:val="00AC4A6F"/>
    <w:rsid w:val="00AC6A13"/>
    <w:rsid w:val="00AD6065"/>
    <w:rsid w:val="00AE4F68"/>
    <w:rsid w:val="00AE6A4F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5E9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91330"/>
    <w:rsid w:val="00CC48E8"/>
    <w:rsid w:val="00CD3DE8"/>
    <w:rsid w:val="00CF21EB"/>
    <w:rsid w:val="00D014E1"/>
    <w:rsid w:val="00D01CA1"/>
    <w:rsid w:val="00D1453D"/>
    <w:rsid w:val="00D41F4C"/>
    <w:rsid w:val="00D520C8"/>
    <w:rsid w:val="00D70570"/>
    <w:rsid w:val="00D75095"/>
    <w:rsid w:val="00D9090A"/>
    <w:rsid w:val="00D96084"/>
    <w:rsid w:val="00DA6660"/>
    <w:rsid w:val="00DC5B52"/>
    <w:rsid w:val="00DD515F"/>
    <w:rsid w:val="00DF25D7"/>
    <w:rsid w:val="00DF555F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A19EF"/>
    <w:rsid w:val="002C6022"/>
    <w:rsid w:val="00583D19"/>
    <w:rsid w:val="00592E10"/>
    <w:rsid w:val="00787EBD"/>
    <w:rsid w:val="008E118A"/>
    <w:rsid w:val="00A104A7"/>
    <w:rsid w:val="00A51F70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8AEC14-481A-4268-9CC3-676F01C7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4</Pages>
  <Words>830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2008-09-26T23:14:00Z</cp:lastPrinted>
  <dcterms:created xsi:type="dcterms:W3CDTF">2022-10-03T15:48:00Z</dcterms:created>
  <dcterms:modified xsi:type="dcterms:W3CDTF">2022-10-03T15:48:00Z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