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CAF" w:rsidRDefault="00AD387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CE2CAF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CE2CAF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CE2CAF"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</w:sdtContent>
                            </w:sdt>
                            <w:r w:rsidR="00CE2CA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Consejo General de Colegios Oficiales de Químicos de España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p w:rsidR="00CE2CAF" w:rsidRDefault="00CE2CA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Consejo General de Colegios Oficiales de Químicos de España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E2CAF" w:rsidRDefault="00CE2CA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CE2CAF" w:rsidRDefault="00CE2CA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AD387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AC4A6F" w:rsidRDefault="00AC4A6F" w:rsidP="00AC4A6F"/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544"/>
      </w:tblGrid>
      <w:tr w:rsidR="007F1D56" w:rsidRPr="007942B7" w:rsidTr="005164EA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544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5164EA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83301" w:rsidRPr="007942B7" w:rsidRDefault="00183301" w:rsidP="007942B7">
            <w:pPr>
              <w:rPr>
                <w:sz w:val="20"/>
                <w:szCs w:val="20"/>
              </w:rPr>
            </w:pPr>
          </w:p>
        </w:tc>
      </w:tr>
      <w:tr w:rsidR="001C2217" w:rsidRPr="007942B7" w:rsidTr="005164EA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C2217" w:rsidRPr="007942B7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5164EA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4F0BE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183301" w:rsidRPr="007942B7" w:rsidRDefault="00A36825" w:rsidP="00364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36444B">
              <w:rPr>
                <w:sz w:val="20"/>
                <w:szCs w:val="20"/>
              </w:rPr>
              <w:t>, no</w:t>
            </w:r>
            <w:r>
              <w:rPr>
                <w:sz w:val="20"/>
                <w:szCs w:val="20"/>
              </w:rPr>
              <w:t xml:space="preserve"> </w:t>
            </w:r>
            <w:r w:rsidR="0036444B">
              <w:rPr>
                <w:sz w:val="20"/>
                <w:szCs w:val="20"/>
              </w:rPr>
              <w:t>se estructura</w:t>
            </w:r>
            <w:r>
              <w:rPr>
                <w:sz w:val="20"/>
                <w:szCs w:val="20"/>
              </w:rPr>
              <w:t xml:space="preserve"> conforme a la Ley</w:t>
            </w:r>
          </w:p>
        </w:tc>
      </w:tr>
      <w:tr w:rsidR="00183301" w:rsidRPr="007942B7" w:rsidTr="005164EA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4F0BE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183301" w:rsidRPr="007942B7" w:rsidRDefault="0036444B" w:rsidP="00364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mayor parte de la información que se ha localizado se publica al margen del Portal de Transparencia</w:t>
            </w:r>
          </w:p>
        </w:tc>
      </w:tr>
      <w:tr w:rsidR="005164EA" w:rsidRPr="007942B7" w:rsidTr="005164EA">
        <w:tc>
          <w:tcPr>
            <w:tcW w:w="2093" w:type="dxa"/>
            <w:vMerge w:val="restart"/>
            <w:vAlign w:val="center"/>
          </w:tcPr>
          <w:p w:rsidR="005164EA" w:rsidRPr="00C3228C" w:rsidRDefault="005164EA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164EA" w:rsidRPr="005164EA" w:rsidRDefault="005164EA" w:rsidP="00AD3875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No. Aunque se publica la Política Privacidad de la entidad, no se publica el Registro de Actividades de Tratamiento como tal.</w:t>
            </w:r>
          </w:p>
        </w:tc>
      </w:tr>
      <w:tr w:rsidR="005164EA" w:rsidRPr="007942B7" w:rsidTr="005164EA">
        <w:tc>
          <w:tcPr>
            <w:tcW w:w="2093" w:type="dxa"/>
            <w:vMerge/>
            <w:vAlign w:val="center"/>
          </w:tcPr>
          <w:p w:rsidR="005164EA" w:rsidRPr="00C3228C" w:rsidRDefault="005164E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Descripción de la estructura organizativa: completar información</w:t>
            </w:r>
          </w:p>
        </w:tc>
        <w:tc>
          <w:tcPr>
            <w:tcW w:w="567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164EA" w:rsidRPr="005164EA" w:rsidRDefault="005164EA" w:rsidP="00AD3875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No</w:t>
            </w:r>
            <w:r w:rsidR="00AD3875">
              <w:rPr>
                <w:sz w:val="20"/>
                <w:szCs w:val="20"/>
              </w:rPr>
              <w:t>,</w:t>
            </w:r>
            <w:r w:rsidRPr="005164EA">
              <w:rPr>
                <w:sz w:val="20"/>
                <w:szCs w:val="20"/>
              </w:rPr>
              <w:t xml:space="preserve"> sigue sin informarse </w:t>
            </w:r>
            <w:r w:rsidR="00AD3875">
              <w:rPr>
                <w:sz w:val="20"/>
                <w:szCs w:val="20"/>
              </w:rPr>
              <w:t>sobre</w:t>
            </w:r>
            <w:r w:rsidRPr="005164EA">
              <w:rPr>
                <w:sz w:val="20"/>
                <w:szCs w:val="20"/>
              </w:rPr>
              <w:t xml:space="preserve"> la estructura de gestión. La información se localiza fuera del Portal, en el enlace Consejo-Órganos de Gobierno. </w:t>
            </w:r>
          </w:p>
        </w:tc>
      </w:tr>
      <w:tr w:rsidR="005164EA" w:rsidRPr="007942B7" w:rsidTr="005164EA">
        <w:tc>
          <w:tcPr>
            <w:tcW w:w="2093" w:type="dxa"/>
            <w:vMerge/>
            <w:vAlign w:val="center"/>
          </w:tcPr>
          <w:p w:rsidR="005164EA" w:rsidRPr="00C3228C" w:rsidRDefault="005164E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 xml:space="preserve">No </w:t>
            </w:r>
          </w:p>
        </w:tc>
      </w:tr>
      <w:tr w:rsidR="005164EA" w:rsidRPr="007942B7" w:rsidTr="005164EA">
        <w:tc>
          <w:tcPr>
            <w:tcW w:w="2093" w:type="dxa"/>
            <w:vMerge/>
            <w:vAlign w:val="center"/>
          </w:tcPr>
          <w:p w:rsidR="005164EA" w:rsidRPr="00C3228C" w:rsidRDefault="005164EA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 xml:space="preserve">No </w:t>
            </w:r>
          </w:p>
        </w:tc>
      </w:tr>
      <w:tr w:rsidR="005164EA" w:rsidRPr="007942B7" w:rsidTr="005164EA">
        <w:tc>
          <w:tcPr>
            <w:tcW w:w="2093" w:type="dxa"/>
            <w:vMerge/>
          </w:tcPr>
          <w:p w:rsidR="005164EA" w:rsidRPr="007942B7" w:rsidRDefault="005164EA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 xml:space="preserve">No </w:t>
            </w:r>
          </w:p>
        </w:tc>
      </w:tr>
      <w:tr w:rsidR="005164EA" w:rsidRPr="007942B7" w:rsidTr="005164EA">
        <w:tc>
          <w:tcPr>
            <w:tcW w:w="2093" w:type="dxa"/>
            <w:vMerge/>
          </w:tcPr>
          <w:p w:rsidR="005164EA" w:rsidRPr="007942B7" w:rsidRDefault="005164EA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 xml:space="preserve">No </w:t>
            </w:r>
          </w:p>
        </w:tc>
      </w:tr>
      <w:tr w:rsidR="005164EA" w:rsidRPr="007942B7" w:rsidTr="005164EA">
        <w:tc>
          <w:tcPr>
            <w:tcW w:w="2093" w:type="dxa"/>
            <w:vMerge/>
          </w:tcPr>
          <w:p w:rsidR="005164EA" w:rsidRPr="007942B7" w:rsidRDefault="005164EA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 xml:space="preserve">No </w:t>
            </w:r>
          </w:p>
        </w:tc>
      </w:tr>
      <w:tr w:rsidR="005164EA" w:rsidRPr="007942B7" w:rsidTr="005164EA">
        <w:tc>
          <w:tcPr>
            <w:tcW w:w="2093" w:type="dxa"/>
            <w:vMerge/>
          </w:tcPr>
          <w:p w:rsidR="005164EA" w:rsidRPr="007942B7" w:rsidRDefault="005164EA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 xml:space="preserve">No </w:t>
            </w:r>
          </w:p>
        </w:tc>
      </w:tr>
      <w:tr w:rsidR="005164EA" w:rsidRPr="007942B7" w:rsidTr="005164EA">
        <w:tc>
          <w:tcPr>
            <w:tcW w:w="2093" w:type="dxa"/>
            <w:vMerge/>
          </w:tcPr>
          <w:p w:rsidR="005164EA" w:rsidRPr="007942B7" w:rsidRDefault="005164EA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Subcontrataciones</w:t>
            </w:r>
          </w:p>
        </w:tc>
        <w:tc>
          <w:tcPr>
            <w:tcW w:w="567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5164EA" w:rsidRPr="005164EA" w:rsidRDefault="005164EA" w:rsidP="008A0DD3">
            <w:pPr>
              <w:rPr>
                <w:sz w:val="20"/>
                <w:szCs w:val="20"/>
              </w:rPr>
            </w:pPr>
            <w:r w:rsidRPr="005164EA">
              <w:rPr>
                <w:sz w:val="20"/>
                <w:szCs w:val="20"/>
              </w:rPr>
              <w:t>No</w:t>
            </w:r>
          </w:p>
        </w:tc>
      </w:tr>
      <w:tr w:rsidR="00183301" w:rsidRPr="007942B7" w:rsidTr="005164EA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5164EA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5164EA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5164EA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D4C90" w:rsidRPr="007942B7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5164EA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4F0BE8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544" w:type="dxa"/>
          </w:tcPr>
          <w:p w:rsidR="006D4C90" w:rsidRPr="007942B7" w:rsidRDefault="00EE21E4" w:rsidP="001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7D84" w:rsidRPr="001C7D84" w:rsidTr="005164EA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5164EA" w:rsidP="003644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5164EA" w:rsidRDefault="005164EA" w:rsidP="005C0787">
      <w:pPr>
        <w:jc w:val="both"/>
      </w:pPr>
    </w:p>
    <w:p w:rsidR="005164EA" w:rsidRDefault="005164EA" w:rsidP="005C0787">
      <w:pPr>
        <w:jc w:val="both"/>
      </w:pPr>
    </w:p>
    <w:p w:rsidR="00FA5AFD" w:rsidRDefault="00110FED" w:rsidP="005C0787">
      <w:pPr>
        <w:jc w:val="both"/>
      </w:pPr>
      <w:r>
        <w:t xml:space="preserve">El </w:t>
      </w:r>
      <w:r>
        <w:rPr>
          <w:lang w:bidi="es-ES"/>
        </w:rPr>
        <w:t>CGCO</w:t>
      </w:r>
      <w:r w:rsidR="005164EA">
        <w:rPr>
          <w:lang w:bidi="es-ES"/>
        </w:rPr>
        <w:t xml:space="preserve"> de Químicos de España</w:t>
      </w:r>
      <w:r w:rsidR="00EE21E4">
        <w:rPr>
          <w:b/>
          <w:lang w:bidi="es-ES"/>
        </w:rPr>
        <w:t xml:space="preserve"> </w:t>
      </w:r>
      <w:r w:rsidR="0036444B">
        <w:rPr>
          <w:b/>
          <w:lang w:bidi="es-ES"/>
        </w:rPr>
        <w:t xml:space="preserve">no </w:t>
      </w:r>
      <w:r w:rsidRPr="00110FED">
        <w:rPr>
          <w:b/>
          <w:lang w:bidi="es-ES"/>
        </w:rPr>
        <w:t xml:space="preserve">ha aplicado </w:t>
      </w:r>
      <w:r w:rsidR="0036444B">
        <w:rPr>
          <w:b/>
          <w:lang w:bidi="es-ES"/>
        </w:rPr>
        <w:t>ninguna</w:t>
      </w:r>
      <w:r w:rsidR="000937E5">
        <w:rPr>
          <w:b/>
          <w:lang w:bidi="es-ES"/>
        </w:rPr>
        <w:t xml:space="preserve"> </w:t>
      </w:r>
      <w:r w:rsidRPr="00113AFA">
        <w:rPr>
          <w:lang w:bidi="es-ES"/>
        </w:rPr>
        <w:t xml:space="preserve"> de las</w:t>
      </w:r>
      <w:r w:rsidR="000937E5">
        <w:rPr>
          <w:lang w:bidi="es-ES"/>
        </w:rPr>
        <w:t xml:space="preserve"> </w:t>
      </w:r>
      <w:r w:rsidR="005164EA">
        <w:rPr>
          <w:lang w:bidi="es-ES"/>
        </w:rPr>
        <w:t>once</w:t>
      </w:r>
      <w:r w:rsidR="000937E5">
        <w:rPr>
          <w:lang w:bidi="es-ES"/>
        </w:rPr>
        <w:t xml:space="preserve"> </w:t>
      </w:r>
      <w:r w:rsidRPr="00113AFA">
        <w:rPr>
          <w:lang w:bidi="es-ES"/>
        </w:rPr>
        <w:t>recomendaciones</w:t>
      </w:r>
      <w:r>
        <w:rPr>
          <w:lang w:bidi="es-ES"/>
        </w:rPr>
        <w:t xml:space="preserve"> efectuadas a partir de las evidencias obtenidas en la evaluación de 202</w:t>
      </w:r>
      <w:r w:rsidR="00A36825">
        <w:rPr>
          <w:lang w:bidi="es-ES"/>
        </w:rPr>
        <w:t>1</w:t>
      </w:r>
      <w:r>
        <w:rPr>
          <w:lang w:bidi="es-ES"/>
        </w:rPr>
        <w:t xml:space="preserve">. </w:t>
      </w: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E2CAF" w:rsidRPr="00F31BC3" w:rsidRDefault="00CE2CA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CE2CAF" w:rsidRPr="00F31BC3" w:rsidRDefault="00CE2CA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AD387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4F0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CE2CAF" w:rsidRPr="007D0885" w:rsidTr="00CE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CE2CAF" w:rsidRPr="007D0885" w:rsidRDefault="00CE2CAF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49,0</w:t>
            </w:r>
          </w:p>
        </w:tc>
      </w:tr>
      <w:tr w:rsidR="00CE2CAF" w:rsidRPr="007D0885" w:rsidTr="00CE2CA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E2CAF" w:rsidRPr="007D0885" w:rsidRDefault="00CE2CAF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2CAF">
              <w:rPr>
                <w:sz w:val="16"/>
                <w:szCs w:val="16"/>
              </w:rPr>
              <w:t>0,0</w:t>
            </w:r>
          </w:p>
        </w:tc>
      </w:tr>
      <w:tr w:rsidR="00CE2CAF" w:rsidRPr="007D0885" w:rsidTr="00CE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CE2CAF" w:rsidRPr="007D0885" w:rsidRDefault="00CE2CAF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CE2CAF">
              <w:rPr>
                <w:b/>
                <w:i/>
                <w:sz w:val="16"/>
                <w:szCs w:val="16"/>
              </w:rPr>
              <w:t>23,3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CE2CAF">
              <w:rPr>
                <w:b/>
                <w:i/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CE2CAF">
              <w:rPr>
                <w:b/>
                <w:i/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CE2CAF">
              <w:rPr>
                <w:b/>
                <w:i/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CE2CAF">
              <w:rPr>
                <w:b/>
                <w:i/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CE2CAF">
              <w:rPr>
                <w:b/>
                <w:i/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CE2CAF">
              <w:rPr>
                <w:b/>
                <w:i/>
                <w:sz w:val="16"/>
                <w:szCs w:val="16"/>
              </w:rPr>
              <w:t>3,3</w:t>
            </w:r>
          </w:p>
        </w:tc>
        <w:tc>
          <w:tcPr>
            <w:tcW w:w="0" w:type="auto"/>
            <w:noWrap/>
            <w:vAlign w:val="center"/>
          </w:tcPr>
          <w:p w:rsidR="00CE2CAF" w:rsidRPr="00CE2CAF" w:rsidRDefault="00CE2CAF" w:rsidP="00CE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CE2CAF">
              <w:rPr>
                <w:b/>
                <w:i/>
                <w:sz w:val="16"/>
                <w:szCs w:val="16"/>
              </w:rPr>
              <w:t>22,9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113AFA" w:rsidRDefault="00113AFA" w:rsidP="00113AFA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alcanza un </w:t>
      </w:r>
      <w:r w:rsidR="00CE2CAF">
        <w:rPr>
          <w:lang w:bidi="es-ES"/>
        </w:rPr>
        <w:t>22,9</w:t>
      </w:r>
      <w:r>
        <w:rPr>
          <w:lang w:bidi="es-ES"/>
        </w:rPr>
        <w:t>%. La falta de publicación de contenidos obl</w:t>
      </w:r>
      <w:r w:rsidR="00621996">
        <w:rPr>
          <w:lang w:bidi="es-ES"/>
        </w:rPr>
        <w:t>igatorios – solo se publica el 23,3</w:t>
      </w:r>
      <w:r>
        <w:rPr>
          <w:lang w:bidi="es-ES"/>
        </w:rPr>
        <w:t xml:space="preserve">% - y de referencias a la última fecha en que se revisó o actualizó la información, explican el nivel de cumplimiento obtenido. </w:t>
      </w:r>
    </w:p>
    <w:p w:rsidR="00714C54" w:rsidRDefault="00113AFA" w:rsidP="00113AFA">
      <w:pPr>
        <w:pStyle w:val="Cuerpodelboletn"/>
      </w:pPr>
      <w:r>
        <w:rPr>
          <w:lang w:bidi="es-ES"/>
        </w:rPr>
        <w:t>Respecto de 202</w:t>
      </w:r>
      <w:r w:rsidR="00621996">
        <w:rPr>
          <w:lang w:bidi="es-ES"/>
        </w:rPr>
        <w:t>1</w:t>
      </w:r>
      <w:r>
        <w:rPr>
          <w:lang w:bidi="es-ES"/>
        </w:rPr>
        <w:t xml:space="preserve">, el ICIO </w:t>
      </w:r>
      <w:r w:rsidR="00621996">
        <w:rPr>
          <w:lang w:bidi="es-ES"/>
        </w:rPr>
        <w:t>ha permanecido estable, dado que no se ha aplicado ninguna de las recomendaciones derivadas de la evaluación 2021</w:t>
      </w:r>
      <w:r>
        <w:rPr>
          <w:lang w:bidi="es-ES"/>
        </w:rPr>
        <w:t xml:space="preserve">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621996">
        <w:rPr>
          <w:b/>
        </w:rPr>
        <w:t xml:space="preserve">muy </w:t>
      </w:r>
      <w:r w:rsidRPr="00400F39">
        <w:rPr>
          <w:b/>
        </w:rPr>
        <w:t>negativamente</w:t>
      </w:r>
      <w:r>
        <w:t xml:space="preserve"> la evolución del cumplimiento de las obligaciones de publicidad activa por parte del </w:t>
      </w:r>
      <w:r w:rsidR="00621996" w:rsidRPr="00621996">
        <w:t>Consejo General de Colegios Oficiales de Químicos de España</w:t>
      </w:r>
      <w:r>
        <w:t>. No se ha aplicado ninguna de las recomendaciones efectuadas como consecuencia de</w:t>
      </w:r>
      <w:r w:rsidR="00621996">
        <w:t xml:space="preserve"> la evaluación realizada en 2021</w:t>
      </w:r>
      <w:r>
        <w:t>.</w:t>
      </w:r>
    </w:p>
    <w:p w:rsidR="00113AFA" w:rsidRDefault="00113AFA" w:rsidP="00113AFA">
      <w:pPr>
        <w:pStyle w:val="Cuerpodelboletn"/>
      </w:pPr>
      <w:r>
        <w:t xml:space="preserve">Como consecuencia de esto persisten los déficits evidenciados en dicha evaluación: </w:t>
      </w:r>
    </w:p>
    <w:p w:rsidR="00113AFA" w:rsidRDefault="00113AFA" w:rsidP="00113AFA">
      <w:pPr>
        <w:pStyle w:val="Cuerpodelboletn"/>
        <w:numPr>
          <w:ilvl w:val="0"/>
          <w:numId w:val="18"/>
        </w:numPr>
      </w:pPr>
      <w:r>
        <w:t xml:space="preserve">La información sujeta a obligaciones de publicidad activa sigue estando dispersa en diferentes accesos </w:t>
      </w:r>
      <w:proofErr w:type="gramStart"/>
      <w:r>
        <w:t>de la web institucional de la entidad</w:t>
      </w:r>
      <w:r w:rsidR="00433E3D">
        <w:t>, dado</w:t>
      </w:r>
      <w:proofErr w:type="gramEnd"/>
      <w:r w:rsidR="00433E3D">
        <w:t xml:space="preserve"> que </w:t>
      </w:r>
      <w:r w:rsidR="00686D22">
        <w:t xml:space="preserve">en </w:t>
      </w:r>
      <w:r w:rsidR="00621996">
        <w:t xml:space="preserve">el </w:t>
      </w:r>
      <w:r w:rsidR="00433E3D">
        <w:t>Portal de Transparencia</w:t>
      </w:r>
      <w:r w:rsidR="00686D22">
        <w:t xml:space="preserve"> la única información obligatoria que se publica son los Estatutos.</w:t>
      </w:r>
    </w:p>
    <w:p w:rsidR="00686D22" w:rsidRDefault="00686D22" w:rsidP="00686D22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686D22" w:rsidRDefault="00686D22" w:rsidP="00686D22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686D22" w:rsidRDefault="00686D22" w:rsidP="00686D22">
      <w:pPr>
        <w:pStyle w:val="Prrafodelista"/>
      </w:pPr>
    </w:p>
    <w:p w:rsidR="00686D22" w:rsidRDefault="00686D22" w:rsidP="00686D2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686D22" w:rsidRDefault="00686D22" w:rsidP="00686D22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686D22" w:rsidRDefault="00686D22" w:rsidP="00686D2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 descripción de la estructura organizativa no incluye la estructura de gestión de la Corporación.</w:t>
      </w:r>
    </w:p>
    <w:p w:rsidR="00686D22" w:rsidRDefault="00686D22" w:rsidP="00686D2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Registro de Actividades de Tratamiento</w:t>
      </w:r>
    </w:p>
    <w:p w:rsidR="00686D22" w:rsidRDefault="00686D22" w:rsidP="00686D2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organigrama</w:t>
      </w:r>
    </w:p>
    <w:p w:rsidR="00686D22" w:rsidRDefault="00686D22" w:rsidP="00686D2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686D22">
        <w:rPr>
          <w:rFonts w:ascii="Century Gothic" w:hAnsi="Century Gothic"/>
        </w:rPr>
        <w:t xml:space="preserve">No se publica el perfil y trayectoria profesional de los máximos responsables. </w:t>
      </w:r>
    </w:p>
    <w:p w:rsidR="00686D22" w:rsidRPr="00686D22" w:rsidRDefault="00686D22" w:rsidP="00686D22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686D22" w:rsidRDefault="00686D22" w:rsidP="00686D22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:rsidR="00686D22" w:rsidRDefault="00686D22" w:rsidP="00686D22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686D22" w:rsidRDefault="00686D22" w:rsidP="00686D2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información sobre contratación. </w:t>
      </w:r>
    </w:p>
    <w:p w:rsidR="00686D22" w:rsidRDefault="00686D22" w:rsidP="00686D2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información sobre  los convenios suscritos con administraciones públicas.  </w:t>
      </w:r>
    </w:p>
    <w:p w:rsidR="00686D22" w:rsidRDefault="00686D22" w:rsidP="00686D2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informa sobre las subvenciones percibidas. </w:t>
      </w:r>
    </w:p>
    <w:p w:rsidR="00686D22" w:rsidRDefault="00686D22" w:rsidP="00686D22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informa sobre las encomiendas de gestión y, en su caso, sobre las subcontrataciones derivadas de éstas.  </w:t>
      </w:r>
    </w:p>
    <w:p w:rsidR="00686D22" w:rsidRPr="00F717DA" w:rsidRDefault="00686D22" w:rsidP="00686D22">
      <w:pPr>
        <w:pStyle w:val="Sinespaciado"/>
        <w:spacing w:line="276" w:lineRule="auto"/>
        <w:ind w:left="2127"/>
        <w:jc w:val="both"/>
        <w:rPr>
          <w:rFonts w:ascii="Century Gothic" w:hAnsi="Century Gothic"/>
        </w:rPr>
      </w:pPr>
    </w:p>
    <w:p w:rsidR="00686D22" w:rsidRDefault="00686D22" w:rsidP="00686D22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 criterios de calidad en la publicación de la información, gran parte de la información no está datada y sigue sin publicarse la fecha en que se revisó o actualizó por última vez la información obligatoria publicada en el Portal de Transparencia de la entidad.</w:t>
      </w:r>
    </w:p>
    <w:p w:rsidR="00686D22" w:rsidRDefault="00686D22" w:rsidP="00686D22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686D22" w:rsidRDefault="00686D22" w:rsidP="00686D22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AD3875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2022</w:t>
      </w:r>
    </w:p>
    <w:p w:rsidR="00686D22" w:rsidRDefault="00686D22" w:rsidP="00686D22">
      <w:pPr>
        <w:pStyle w:val="Cuerpodelboletn"/>
        <w:sectPr w:rsidR="00686D22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  <w:bookmarkStart w:id="0" w:name="_GoBack"/>
      <w:bookmarkEnd w:id="0"/>
    </w:p>
    <w:p w:rsidR="00686D22" w:rsidRDefault="00686D22" w:rsidP="00686D22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E2CAF" w:rsidRPr="00F31BC3" w:rsidRDefault="00CE2CA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CE2CAF" w:rsidRPr="00F31BC3" w:rsidRDefault="00CE2CA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CE2CAF" w:rsidRPr="00F31BC3" w:rsidRDefault="00CE2CAF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CE2CAF" w:rsidRPr="00F31BC3" w:rsidRDefault="00CE2CA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lastRenderedPageBreak/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AF" w:rsidRDefault="00CE2CAF" w:rsidP="00F31BC3">
      <w:r>
        <w:separator/>
      </w:r>
    </w:p>
  </w:endnote>
  <w:endnote w:type="continuationSeparator" w:id="0">
    <w:p w:rsidR="00CE2CAF" w:rsidRDefault="00CE2CA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AF" w:rsidRDefault="00CE2C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AF" w:rsidRDefault="00CE2C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AF" w:rsidRDefault="00CE2C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AF" w:rsidRDefault="00CE2CAF" w:rsidP="00F31BC3">
      <w:r>
        <w:separator/>
      </w:r>
    </w:p>
  </w:footnote>
  <w:footnote w:type="continuationSeparator" w:id="0">
    <w:p w:rsidR="00CE2CAF" w:rsidRDefault="00CE2CAF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AF" w:rsidRDefault="00CE2C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AF" w:rsidRDefault="00CE2C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AF" w:rsidRDefault="00CE2C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3A0E"/>
    <w:rsid w:val="0005642F"/>
    <w:rsid w:val="00072B7E"/>
    <w:rsid w:val="000775A5"/>
    <w:rsid w:val="000937E5"/>
    <w:rsid w:val="000A77F5"/>
    <w:rsid w:val="000D3907"/>
    <w:rsid w:val="000D5417"/>
    <w:rsid w:val="000E0A9E"/>
    <w:rsid w:val="00104DE9"/>
    <w:rsid w:val="00104E94"/>
    <w:rsid w:val="00110FED"/>
    <w:rsid w:val="00113AFA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5DC0"/>
    <w:rsid w:val="0036444B"/>
    <w:rsid w:val="003A1694"/>
    <w:rsid w:val="003A390C"/>
    <w:rsid w:val="003B399C"/>
    <w:rsid w:val="003B57E6"/>
    <w:rsid w:val="003B6B96"/>
    <w:rsid w:val="003D2C4A"/>
    <w:rsid w:val="003D637C"/>
    <w:rsid w:val="003E564B"/>
    <w:rsid w:val="003E5D2F"/>
    <w:rsid w:val="003F6EDC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4F0BE8"/>
    <w:rsid w:val="00506864"/>
    <w:rsid w:val="005164EA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21996"/>
    <w:rsid w:val="006266A5"/>
    <w:rsid w:val="006307A9"/>
    <w:rsid w:val="00633380"/>
    <w:rsid w:val="00633EAA"/>
    <w:rsid w:val="00686D22"/>
    <w:rsid w:val="0069673B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36825"/>
    <w:rsid w:val="00A51AAD"/>
    <w:rsid w:val="00A82709"/>
    <w:rsid w:val="00AA0AE1"/>
    <w:rsid w:val="00AC2723"/>
    <w:rsid w:val="00AC4A6F"/>
    <w:rsid w:val="00AD3875"/>
    <w:rsid w:val="00AD6065"/>
    <w:rsid w:val="00AE4F68"/>
    <w:rsid w:val="00AE6A4F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91330"/>
    <w:rsid w:val="00CC48E8"/>
    <w:rsid w:val="00CD3DE8"/>
    <w:rsid w:val="00CE2CAF"/>
    <w:rsid w:val="00CF21EB"/>
    <w:rsid w:val="00D014E1"/>
    <w:rsid w:val="00D01CA1"/>
    <w:rsid w:val="00D1453D"/>
    <w:rsid w:val="00D41F4C"/>
    <w:rsid w:val="00D520C8"/>
    <w:rsid w:val="00D70570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21E4"/>
    <w:rsid w:val="00EE5F85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583D19"/>
    <w:rsid w:val="00787EBD"/>
    <w:rsid w:val="008E118A"/>
    <w:rsid w:val="00A104A7"/>
    <w:rsid w:val="00A51F70"/>
    <w:rsid w:val="00AB484A"/>
    <w:rsid w:val="00C32372"/>
    <w:rsid w:val="00D472FD"/>
    <w:rsid w:val="00DE3DE6"/>
    <w:rsid w:val="00EB2177"/>
    <w:rsid w:val="00EF5732"/>
    <w:rsid w:val="00F0267E"/>
    <w:rsid w:val="00F5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8A805-20C2-4864-A8CD-38F0B99F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52</TotalTime>
  <Pages>4</Pages>
  <Words>939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7</cp:revision>
  <cp:lastPrinted>2022-04-08T09:14:00Z</cp:lastPrinted>
  <dcterms:created xsi:type="dcterms:W3CDTF">2022-04-08T10:06:00Z</dcterms:created>
  <dcterms:modified xsi:type="dcterms:W3CDTF">2022-10-03T09:19:00Z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