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0E" w:rsidRPr="005A2325" w:rsidRDefault="0062580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Pr="005A2325">
                              <w:rPr>
                                <w:iCs/>
                              </w:rPr>
                              <w:t xml:space="preserve"> </w:t>
                            </w:r>
                            <w:r w:rsidRPr="005A2325">
                              <w:rPr>
                                <w:rFonts w:ascii="Century Gothic" w:hAnsi="Century Gothic"/>
                                <w:iCs/>
                                <w:sz w:val="40"/>
                                <w:szCs w:val="40"/>
                              </w:rPr>
                              <w:t>Colegio Oficial de Pilotos de la Aviación Comercial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255C66" w:rsidRPr="005A2325" w:rsidRDefault="00255C6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 w:rsidRPr="005A2325">
                        <w:rPr>
                          <w:iCs/>
                        </w:rPr>
                        <w:t xml:space="preserve"> </w:t>
                      </w:r>
                      <w:r w:rsidRPr="005A2325">
                        <w:rPr>
                          <w:rFonts w:ascii="Century Gothic" w:hAnsi="Century Gothic"/>
                          <w:iCs/>
                          <w:sz w:val="40"/>
                          <w:szCs w:val="40"/>
                        </w:rPr>
                        <w:t>Colegio Oficial de Pilotos de la Aviación Comercial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2580E" w:rsidRDefault="0062580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C0787" w:rsidRDefault="005C078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B288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647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255C66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Si. Estructurado: Información Institucional-Organizativa- Económica-Presupuestaria y Estadística y Acceso información pública.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E00D2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00D2B" w:rsidP="00E0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todas las informaciones se publican en el Portal de Transparencia sin remisión a fuentes externas 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186478">
              <w:rPr>
                <w:sz w:val="20"/>
                <w:szCs w:val="20"/>
              </w:rPr>
              <w:t>: Ley 2/1974 Colegios Profesionales</w:t>
            </w:r>
          </w:p>
        </w:tc>
        <w:tc>
          <w:tcPr>
            <w:tcW w:w="567" w:type="dxa"/>
            <w:vAlign w:val="center"/>
          </w:tcPr>
          <w:p w:rsidR="007D0885" w:rsidRDefault="0018647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255C66" w:rsidP="00AC4A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Publicada Ley 2/1974 con acceso al BOE.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E00D2B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  <w:vAlign w:val="center"/>
          </w:tcPr>
          <w:p w:rsidR="007D0885" w:rsidRDefault="0018647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E00D2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incluirse información sobre la estructura de gestión.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7D0885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BC0A68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BC0A68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C0A68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Señalan que no se han producido modificaciones, desistimientos y renuncias de contratos.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7700C7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Señalan que no se han recibido subvenciones ni ayudas públicas.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C0A68" w:rsidP="00CD3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Informan sobre una encomienda del año 2003.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0B288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salvo el organigrama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700C7" w:rsidP="000B2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1C6278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5A2325">
        <w:rPr>
          <w:lang w:bidi="es-ES"/>
        </w:rPr>
        <w:t>COPAC</w:t>
      </w:r>
      <w:r>
        <w:rPr>
          <w:lang w:bidi="es-ES"/>
        </w:rPr>
        <w:t xml:space="preserve"> </w:t>
      </w:r>
      <w:r w:rsidRPr="005A2325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="001C6278">
        <w:rPr>
          <w:lang w:bidi="es-ES"/>
        </w:rPr>
        <w:t>nueve</w:t>
      </w:r>
      <w:r w:rsidRPr="00113AFA">
        <w:rPr>
          <w:lang w:bidi="es-ES"/>
        </w:rPr>
        <w:t xml:space="preserve"> de las </w:t>
      </w:r>
      <w:r w:rsidR="001C6278">
        <w:rPr>
          <w:lang w:bidi="es-ES"/>
        </w:rPr>
        <w:t>diez</w:t>
      </w:r>
      <w:r w:rsidR="007700C7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5A2325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2580E" w:rsidRPr="00F31BC3" w:rsidRDefault="0062580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C0787" w:rsidRPr="00F31BC3" w:rsidRDefault="005C07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B288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186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00D2B" w:rsidRPr="007D0885" w:rsidTr="00E0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00D2B" w:rsidRPr="007D0885" w:rsidRDefault="00E00D2B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98,0</w:t>
            </w:r>
          </w:p>
        </w:tc>
      </w:tr>
      <w:tr w:rsidR="00E00D2B" w:rsidRPr="007D0885" w:rsidTr="00E00D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00D2B" w:rsidRPr="007D0885" w:rsidRDefault="00E00D2B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98,6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99,8</w:t>
            </w:r>
          </w:p>
        </w:tc>
      </w:tr>
      <w:tr w:rsidR="00E00D2B" w:rsidRPr="007D0885" w:rsidTr="00E0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00D2B" w:rsidRPr="007D0885" w:rsidRDefault="00E00D2B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94,6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98,5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E00D2B">
        <w:rPr>
          <w:lang w:bidi="es-ES"/>
        </w:rPr>
        <w:t>98,5</w:t>
      </w:r>
      <w:r>
        <w:rPr>
          <w:lang w:bidi="es-ES"/>
        </w:rPr>
        <w:t>%. Respecto de 202</w:t>
      </w:r>
      <w:r w:rsidR="001C6278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1C6278">
        <w:rPr>
          <w:lang w:bidi="es-ES"/>
        </w:rPr>
        <w:t>37,1</w:t>
      </w:r>
      <w:r>
        <w:rPr>
          <w:lang w:bidi="es-ES"/>
        </w:rPr>
        <w:t xml:space="preserve"> puntos porcentuales lo que es atribuible a la </w:t>
      </w:r>
      <w:r w:rsidR="001C6278">
        <w:rPr>
          <w:lang w:bidi="es-ES"/>
        </w:rPr>
        <w:t>a la aplicación de la mayoría de las recomendaciones efectuadas en ese año.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Pr="00F03D54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1C6278">
        <w:rPr>
          <w:b/>
        </w:rPr>
        <w:t>muy posi</w:t>
      </w:r>
      <w:r w:rsidRPr="00400F39">
        <w:rPr>
          <w:b/>
        </w:rPr>
        <w:t>tivamente</w:t>
      </w:r>
      <w:r>
        <w:t xml:space="preserve"> la evolución del cumplimiento de las obligaciones de publicidad activa por parte del </w:t>
      </w:r>
      <w:r w:rsidR="001C6278">
        <w:t>COPAC</w:t>
      </w:r>
      <w:r>
        <w:t xml:space="preserve">. </w:t>
      </w:r>
      <w:r w:rsidR="00F03D54">
        <w:t>S</w:t>
      </w:r>
      <w:r w:rsidRPr="00F03D54">
        <w:t xml:space="preserve">e ha aplicado </w:t>
      </w:r>
      <w:r w:rsidR="00F03D54">
        <w:t>el 90%</w:t>
      </w:r>
      <w:r w:rsidRPr="00F03D54">
        <w:t xml:space="preserve"> de las recomendaciones </w:t>
      </w:r>
      <w:r w:rsidR="00F03D54">
        <w:t xml:space="preserve">derivadas </w:t>
      </w:r>
      <w:r w:rsidRPr="00F03D54">
        <w:t xml:space="preserve"> de la evaluación realizada en 202</w:t>
      </w:r>
      <w:r w:rsidR="00F03D54">
        <w:t>1, y como consecuencia de esto el Índice de Cumplimiento se ha incrementado en más del 60%</w:t>
      </w:r>
      <w:r w:rsidRPr="00F03D54">
        <w:t>.</w:t>
      </w:r>
    </w:p>
    <w:p w:rsidR="00113AFA" w:rsidRDefault="00F03D54" w:rsidP="00113AFA">
      <w:pPr>
        <w:pStyle w:val="Cuerpodelboletn"/>
      </w:pPr>
      <w:r>
        <w:t xml:space="preserve">Los factores que explican que no se haya alcanzado un 100% de cumplimiento son: la no inclusión de información sobre la estructura de gestión en la descripción de la estructura organizativa, </w:t>
      </w:r>
      <w:r w:rsidR="0062580E">
        <w:t xml:space="preserve">el uso de un formato no reutilizable para la publicación del organigrama, </w:t>
      </w:r>
      <w:r>
        <w:t>la falta de referencias a la fecha de actualización del Registro de Actividades de Tratamiento (se publica al margen del Portal que si incluye la fecha de actualización de la información)  y la falta de información sobre las modificaciones de los co</w:t>
      </w:r>
      <w:r w:rsidR="003F1D50">
        <w:t>nvenios suscri</w:t>
      </w:r>
      <w:r>
        <w:t xml:space="preserve">tos con administraciones públicas. </w:t>
      </w:r>
    </w:p>
    <w:p w:rsidR="00113AFA" w:rsidRDefault="00113AFA" w:rsidP="00113AFA">
      <w:pPr>
        <w:pStyle w:val="Cuerpodelboletn"/>
      </w:pPr>
    </w:p>
    <w:p w:rsidR="00113AFA" w:rsidRDefault="00113AFA" w:rsidP="00113AFA">
      <w:pPr>
        <w:pStyle w:val="Cuerpodelboletn"/>
      </w:pPr>
      <w:r>
        <w:t>Madrid, ju</w:t>
      </w:r>
      <w:r w:rsidR="00F03D54">
        <w:t>l</w:t>
      </w:r>
      <w:r>
        <w:t>io de 202</w:t>
      </w:r>
      <w:r w:rsidR="007D0885">
        <w:t>2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2580E" w:rsidRPr="00F31BC3" w:rsidRDefault="0062580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C0787" w:rsidRPr="00F31BC3" w:rsidRDefault="005C07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2580E" w:rsidRPr="00F31BC3" w:rsidRDefault="0062580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C0787" w:rsidRPr="00F31BC3" w:rsidRDefault="005C078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0E" w:rsidRDefault="0062580E" w:rsidP="00F31BC3">
      <w:r>
        <w:separator/>
      </w:r>
    </w:p>
  </w:endnote>
  <w:endnote w:type="continuationSeparator" w:id="0">
    <w:p w:rsidR="0062580E" w:rsidRDefault="0062580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E" w:rsidRDefault="006258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E" w:rsidRDefault="006258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E" w:rsidRDefault="00625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0E" w:rsidRDefault="0062580E" w:rsidP="00F31BC3">
      <w:r>
        <w:separator/>
      </w:r>
    </w:p>
  </w:footnote>
  <w:footnote w:type="continuationSeparator" w:id="0">
    <w:p w:rsidR="0062580E" w:rsidRDefault="0062580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E" w:rsidRDefault="006258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E" w:rsidRDefault="006258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E" w:rsidRDefault="006258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B288F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6478"/>
    <w:rsid w:val="00187CDD"/>
    <w:rsid w:val="0019448F"/>
    <w:rsid w:val="001A0DA8"/>
    <w:rsid w:val="001A5305"/>
    <w:rsid w:val="001C2217"/>
    <w:rsid w:val="001C3E2F"/>
    <w:rsid w:val="001C4509"/>
    <w:rsid w:val="001C6278"/>
    <w:rsid w:val="001C7C78"/>
    <w:rsid w:val="001C7D84"/>
    <w:rsid w:val="001E5AAD"/>
    <w:rsid w:val="0021682B"/>
    <w:rsid w:val="00231D61"/>
    <w:rsid w:val="00243294"/>
    <w:rsid w:val="00244EDA"/>
    <w:rsid w:val="002467FA"/>
    <w:rsid w:val="00255C66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1D50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A2325"/>
    <w:rsid w:val="005B1544"/>
    <w:rsid w:val="005C0787"/>
    <w:rsid w:val="005C4778"/>
    <w:rsid w:val="005E2505"/>
    <w:rsid w:val="005E6704"/>
    <w:rsid w:val="00603DFC"/>
    <w:rsid w:val="0062580E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00C7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8F0790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0A68"/>
    <w:rsid w:val="00BC61D1"/>
    <w:rsid w:val="00BD18E4"/>
    <w:rsid w:val="00BD1E44"/>
    <w:rsid w:val="00BD2172"/>
    <w:rsid w:val="00BD2842"/>
    <w:rsid w:val="00BE0D39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BCE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0D2B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3D54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202F28"/>
    <w:rsid w:val="00382AF5"/>
    <w:rsid w:val="00583D19"/>
    <w:rsid w:val="00787EBD"/>
    <w:rsid w:val="008E118A"/>
    <w:rsid w:val="00A104A7"/>
    <w:rsid w:val="00A51F70"/>
    <w:rsid w:val="00AB484A"/>
    <w:rsid w:val="00C32372"/>
    <w:rsid w:val="00C6247C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1881E-016F-4148-BA23-03118C56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813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2022-07-19T07:45:00Z</dcterms:created>
  <dcterms:modified xsi:type="dcterms:W3CDTF">2022-07-19T07:45:00Z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