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51591A">
        <w:rPr>
          <w:color w:val="6BA999"/>
        </w:rPr>
        <w:t>SAMPOL INGENIERÍA Y OBRAS, S.A.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2C6E03">
        <w:rPr>
          <w:rFonts w:asciiTheme="minorHAnsi" w:hAnsiTheme="minorHAnsi" w:cstheme="minorHAnsi"/>
          <w:szCs w:val="24"/>
        </w:rPr>
        <w:t>10</w:t>
      </w:r>
      <w:r w:rsidR="007B2862">
        <w:rPr>
          <w:rFonts w:asciiTheme="minorHAnsi" w:hAnsiTheme="minorHAnsi" w:cstheme="minorHAnsi"/>
          <w:szCs w:val="24"/>
        </w:rPr>
        <w:t xml:space="preserve"> de </w:t>
      </w:r>
      <w:r w:rsidR="002C6E03">
        <w:rPr>
          <w:rFonts w:asciiTheme="minorHAnsi" w:hAnsiTheme="minorHAnsi" w:cstheme="minorHAnsi"/>
          <w:szCs w:val="24"/>
        </w:rPr>
        <w:t>noviembre</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5049F7" w:rsidRDefault="005049F7" w:rsidP="002C6E03">
      <w:pPr>
        <w:tabs>
          <w:tab w:val="left" w:pos="284"/>
        </w:tabs>
        <w:spacing w:before="120" w:after="120" w:line="312" w:lineRule="auto"/>
        <w:jc w:val="both"/>
        <w:rPr>
          <w:rFonts w:asciiTheme="minorHAnsi" w:hAnsiTheme="minorHAnsi" w:cstheme="minorHAnsi"/>
          <w:szCs w:val="24"/>
        </w:rPr>
      </w:pPr>
    </w:p>
    <w:p w:rsidR="002C6E03" w:rsidRDefault="002C6E03" w:rsidP="002C6E0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SAMPOL en sus observaciones al informe provisional de evaluación, que la totalidad de las informaciones no localizadas en el proceso de evaluación, tanto correspondientes al bloque de información Institucional y Organizativa (artículo 6 de la </w:t>
      </w:r>
      <w:r w:rsidR="00490DAB">
        <w:rPr>
          <w:rFonts w:asciiTheme="minorHAnsi" w:hAnsiTheme="minorHAnsi" w:cstheme="minorHAnsi"/>
          <w:szCs w:val="24"/>
        </w:rPr>
        <w:t>Ley 19/2013, de Transparencia, Acceso a la Información y Buen Gobierno, en adelante LTAIBG</w:t>
      </w:r>
      <w:r>
        <w:rPr>
          <w:rFonts w:asciiTheme="minorHAnsi" w:hAnsiTheme="minorHAnsi" w:cstheme="minorHAnsi"/>
          <w:szCs w:val="24"/>
        </w:rPr>
        <w:t xml:space="preserve">) e Información Económica (artículo 8 LTAIBG), se encuentran publicadas en el Estado de Información No Financiera, y más concretamente, bien en las cuentas anuales, o bien en el documento informativo de incorporación al MARF, documentos localizables a través del acceso inversores. </w:t>
      </w:r>
    </w:p>
    <w:p w:rsidR="00490DAB" w:rsidRDefault="00490DAB" w:rsidP="002C6E0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El primer problema que plantea esta forma de publicar la información, son </w:t>
      </w:r>
      <w:r w:rsidR="006454EC" w:rsidRPr="002C6E03">
        <w:rPr>
          <w:rFonts w:asciiTheme="minorHAnsi" w:hAnsiTheme="minorHAnsi" w:cstheme="minorHAnsi"/>
          <w:szCs w:val="24"/>
        </w:rPr>
        <w:t xml:space="preserve">las dificultades de comprensión que documentos </w:t>
      </w:r>
      <w:r>
        <w:rPr>
          <w:rFonts w:asciiTheme="minorHAnsi" w:hAnsiTheme="minorHAnsi" w:cstheme="minorHAnsi"/>
          <w:szCs w:val="24"/>
        </w:rPr>
        <w:t xml:space="preserve">como las cuentas anuales </w:t>
      </w:r>
      <w:r w:rsidR="006454EC" w:rsidRPr="002C6E03">
        <w:rPr>
          <w:rFonts w:asciiTheme="minorHAnsi" w:hAnsiTheme="minorHAnsi" w:cstheme="minorHAnsi"/>
          <w:szCs w:val="24"/>
        </w:rPr>
        <w:t>pueden tener para personas no especializadas</w:t>
      </w:r>
      <w:r>
        <w:rPr>
          <w:rFonts w:asciiTheme="minorHAnsi" w:hAnsiTheme="minorHAnsi" w:cstheme="minorHAnsi"/>
          <w:szCs w:val="24"/>
        </w:rPr>
        <w:t xml:space="preserve">. A ello se añade una segunda dificultad, que es la localización de una información obligatoria concreta, </w:t>
      </w:r>
      <w:r w:rsidR="007F51B8" w:rsidRPr="002C6E03">
        <w:rPr>
          <w:rFonts w:asciiTheme="minorHAnsi" w:hAnsiTheme="minorHAnsi" w:cstheme="minorHAnsi"/>
          <w:szCs w:val="24"/>
        </w:rPr>
        <w:t xml:space="preserve">en un documento </w:t>
      </w:r>
      <w:r>
        <w:rPr>
          <w:rFonts w:asciiTheme="minorHAnsi" w:hAnsiTheme="minorHAnsi" w:cstheme="minorHAnsi"/>
          <w:szCs w:val="24"/>
        </w:rPr>
        <w:t xml:space="preserve">tan </w:t>
      </w:r>
      <w:r w:rsidR="007F51B8" w:rsidRPr="002C6E03">
        <w:rPr>
          <w:rFonts w:asciiTheme="minorHAnsi" w:hAnsiTheme="minorHAnsi" w:cstheme="minorHAnsi"/>
          <w:szCs w:val="24"/>
        </w:rPr>
        <w:t>amplio</w:t>
      </w:r>
      <w:r>
        <w:rPr>
          <w:rFonts w:asciiTheme="minorHAnsi" w:hAnsiTheme="minorHAnsi" w:cstheme="minorHAnsi"/>
          <w:szCs w:val="24"/>
        </w:rPr>
        <w:t xml:space="preserve"> y prolijo como las cuentas anuales. La claridad y la accesibilidad, son dos atributos relativos a la calidad de la información que establece la LTAIBG en su </w:t>
      </w:r>
      <w:r w:rsidR="00730D96">
        <w:rPr>
          <w:rFonts w:asciiTheme="minorHAnsi" w:hAnsiTheme="minorHAnsi" w:cstheme="minorHAnsi"/>
          <w:szCs w:val="24"/>
        </w:rPr>
        <w:t>artículo 5.4.</w:t>
      </w:r>
    </w:p>
    <w:p w:rsidR="005049F7" w:rsidRDefault="00490DAB" w:rsidP="002C6E0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segunda cuestión, es que la LTAIBG </w:t>
      </w:r>
      <w:r w:rsidR="00730D96">
        <w:rPr>
          <w:rFonts w:asciiTheme="minorHAnsi" w:hAnsiTheme="minorHAnsi" w:cstheme="minorHAnsi"/>
          <w:szCs w:val="24"/>
        </w:rPr>
        <w:t xml:space="preserve">trata de manera individualizada </w:t>
      </w:r>
      <w:r w:rsidR="005049F7">
        <w:rPr>
          <w:rFonts w:asciiTheme="minorHAnsi" w:hAnsiTheme="minorHAnsi" w:cstheme="minorHAnsi"/>
          <w:szCs w:val="24"/>
        </w:rPr>
        <w:t>a</w:t>
      </w:r>
      <w:r w:rsidR="00730D96">
        <w:rPr>
          <w:rFonts w:asciiTheme="minorHAnsi" w:hAnsiTheme="minorHAnsi" w:cstheme="minorHAnsi"/>
          <w:szCs w:val="24"/>
        </w:rPr>
        <w:t xml:space="preserve"> las distintas informaciones sujetas a obligaciones de publicidad activa. Así, la publicación de las cuentas anuales </w:t>
      </w:r>
      <w:r w:rsidR="005049F7">
        <w:rPr>
          <w:rFonts w:asciiTheme="minorHAnsi" w:hAnsiTheme="minorHAnsi" w:cstheme="minorHAnsi"/>
          <w:szCs w:val="24"/>
        </w:rPr>
        <w:t xml:space="preserve">(artículo 8.1. e) </w:t>
      </w:r>
      <w:r w:rsidR="00730D96">
        <w:rPr>
          <w:rFonts w:asciiTheme="minorHAnsi" w:hAnsiTheme="minorHAnsi" w:cstheme="minorHAnsi"/>
          <w:szCs w:val="24"/>
        </w:rPr>
        <w:t>constituye una obligación claramente diferenciada de otras, como la publicación de los contratos adjudicados por administraciones públicas</w:t>
      </w:r>
      <w:r w:rsidR="005049F7">
        <w:rPr>
          <w:rFonts w:asciiTheme="minorHAnsi" w:hAnsiTheme="minorHAnsi" w:cstheme="minorHAnsi"/>
          <w:szCs w:val="24"/>
        </w:rPr>
        <w:t xml:space="preserve"> (artículo </w:t>
      </w:r>
      <w:proofErr w:type="spellStart"/>
      <w:r w:rsidR="005049F7">
        <w:rPr>
          <w:rFonts w:asciiTheme="minorHAnsi" w:hAnsiTheme="minorHAnsi" w:cstheme="minorHAnsi"/>
          <w:szCs w:val="24"/>
        </w:rPr>
        <w:t>8.1.a</w:t>
      </w:r>
      <w:proofErr w:type="spellEnd"/>
      <w:r w:rsidR="005049F7">
        <w:rPr>
          <w:rFonts w:asciiTheme="minorHAnsi" w:hAnsiTheme="minorHAnsi" w:cstheme="minorHAnsi"/>
          <w:szCs w:val="24"/>
        </w:rPr>
        <w:t>)</w:t>
      </w:r>
      <w:r w:rsidR="00730D96">
        <w:rPr>
          <w:rFonts w:asciiTheme="minorHAnsi" w:hAnsiTheme="minorHAnsi" w:cstheme="minorHAnsi"/>
          <w:szCs w:val="24"/>
        </w:rPr>
        <w:t xml:space="preserve">, los convenios suscritos con éstas </w:t>
      </w:r>
      <w:r w:rsidR="005049F7">
        <w:rPr>
          <w:rFonts w:asciiTheme="minorHAnsi" w:hAnsiTheme="minorHAnsi" w:cstheme="minorHAnsi"/>
          <w:szCs w:val="24"/>
        </w:rPr>
        <w:t xml:space="preserve">(artículo </w:t>
      </w:r>
      <w:proofErr w:type="spellStart"/>
      <w:r w:rsidR="005049F7">
        <w:rPr>
          <w:rFonts w:asciiTheme="minorHAnsi" w:hAnsiTheme="minorHAnsi" w:cstheme="minorHAnsi"/>
          <w:szCs w:val="24"/>
        </w:rPr>
        <w:t>8.1.b</w:t>
      </w:r>
      <w:proofErr w:type="spellEnd"/>
      <w:r w:rsidR="005049F7" w:rsidRPr="005049F7">
        <w:rPr>
          <w:rFonts w:asciiTheme="minorHAnsi" w:hAnsiTheme="minorHAnsi" w:cstheme="minorHAnsi"/>
          <w:szCs w:val="24"/>
        </w:rPr>
        <w:t>)</w:t>
      </w:r>
      <w:r w:rsidR="005049F7">
        <w:rPr>
          <w:rFonts w:asciiTheme="minorHAnsi" w:hAnsiTheme="minorHAnsi" w:cstheme="minorHAnsi"/>
          <w:szCs w:val="24"/>
        </w:rPr>
        <w:t xml:space="preserve"> </w:t>
      </w:r>
      <w:r w:rsidR="00730D96">
        <w:rPr>
          <w:rFonts w:asciiTheme="minorHAnsi" w:hAnsiTheme="minorHAnsi" w:cstheme="minorHAnsi"/>
          <w:szCs w:val="24"/>
        </w:rPr>
        <w:t>o las retribuciones anuales de los máximos responsables</w:t>
      </w:r>
      <w:r w:rsidR="005049F7">
        <w:rPr>
          <w:rFonts w:asciiTheme="minorHAnsi" w:hAnsiTheme="minorHAnsi" w:cstheme="minorHAnsi"/>
          <w:szCs w:val="24"/>
        </w:rPr>
        <w:t xml:space="preserve"> (artículo </w:t>
      </w:r>
      <w:proofErr w:type="spellStart"/>
      <w:r w:rsidR="005049F7">
        <w:rPr>
          <w:rFonts w:asciiTheme="minorHAnsi" w:hAnsiTheme="minorHAnsi" w:cstheme="minorHAnsi"/>
          <w:szCs w:val="24"/>
        </w:rPr>
        <w:t>8.1.f</w:t>
      </w:r>
      <w:proofErr w:type="spellEnd"/>
      <w:r w:rsidR="005049F7">
        <w:rPr>
          <w:rFonts w:asciiTheme="minorHAnsi" w:hAnsiTheme="minorHAnsi" w:cstheme="minorHAnsi"/>
          <w:szCs w:val="24"/>
        </w:rPr>
        <w:t>)</w:t>
      </w:r>
      <w:r w:rsidR="00730D96">
        <w:rPr>
          <w:rFonts w:asciiTheme="minorHAnsi" w:hAnsiTheme="minorHAnsi" w:cstheme="minorHAnsi"/>
          <w:szCs w:val="24"/>
        </w:rPr>
        <w:t>.</w:t>
      </w:r>
      <w:r w:rsidR="005049F7">
        <w:rPr>
          <w:rFonts w:asciiTheme="minorHAnsi" w:hAnsiTheme="minorHAnsi" w:cstheme="minorHAnsi"/>
          <w:szCs w:val="24"/>
        </w:rPr>
        <w:t xml:space="preserve"> </w:t>
      </w:r>
    </w:p>
    <w:p w:rsidR="007F51B8" w:rsidRDefault="005049F7" w:rsidP="002C6E0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esta razón, la publicación de la información correspondiente a cada una de estas obligaciones individuales, debe realizarse también de manera individualizada, </w:t>
      </w:r>
      <w:r w:rsidR="003A4846" w:rsidRPr="002C6E03">
        <w:rPr>
          <w:rFonts w:asciiTheme="minorHAnsi" w:hAnsiTheme="minorHAnsi" w:cstheme="minorHAnsi"/>
          <w:szCs w:val="24"/>
        </w:rPr>
        <w:t xml:space="preserve">sin que quepa la remisión a </w:t>
      </w:r>
      <w:r>
        <w:rPr>
          <w:rFonts w:asciiTheme="minorHAnsi" w:hAnsiTheme="minorHAnsi" w:cstheme="minorHAnsi"/>
          <w:szCs w:val="24"/>
        </w:rPr>
        <w:t>documentos</w:t>
      </w:r>
      <w:r w:rsidR="003A4846" w:rsidRPr="002C6E03">
        <w:rPr>
          <w:rFonts w:asciiTheme="minorHAnsi" w:hAnsiTheme="minorHAnsi" w:cstheme="minorHAnsi"/>
          <w:szCs w:val="24"/>
        </w:rPr>
        <w:t xml:space="preserve"> relativ</w:t>
      </w:r>
      <w:r>
        <w:rPr>
          <w:rFonts w:asciiTheme="minorHAnsi" w:hAnsiTheme="minorHAnsi" w:cstheme="minorHAnsi"/>
          <w:szCs w:val="24"/>
        </w:rPr>
        <w:t>os</w:t>
      </w:r>
      <w:r w:rsidR="003A4846" w:rsidRPr="002C6E03">
        <w:rPr>
          <w:rFonts w:asciiTheme="minorHAnsi" w:hAnsiTheme="minorHAnsi" w:cstheme="minorHAnsi"/>
          <w:szCs w:val="24"/>
        </w:rPr>
        <w:t xml:space="preserve"> a otras obligaciones de publicidad activa o que contenga</w:t>
      </w:r>
      <w:r>
        <w:rPr>
          <w:rFonts w:asciiTheme="minorHAnsi" w:hAnsiTheme="minorHAnsi" w:cstheme="minorHAnsi"/>
          <w:szCs w:val="24"/>
        </w:rPr>
        <w:t>n</w:t>
      </w:r>
      <w:r w:rsidR="003A4846" w:rsidRPr="002C6E03">
        <w:rPr>
          <w:rFonts w:asciiTheme="minorHAnsi" w:hAnsiTheme="minorHAnsi" w:cstheme="minorHAnsi"/>
          <w:szCs w:val="24"/>
        </w:rPr>
        <w:t xml:space="preserve"> información no </w:t>
      </w:r>
      <w:r w:rsidR="009557F6" w:rsidRPr="002C6E03">
        <w:rPr>
          <w:rFonts w:asciiTheme="minorHAnsi" w:hAnsiTheme="minorHAnsi" w:cstheme="minorHAnsi"/>
          <w:szCs w:val="24"/>
        </w:rPr>
        <w:t>sujeta</w:t>
      </w:r>
      <w:r w:rsidR="003E0BC7" w:rsidRPr="002C6E03">
        <w:rPr>
          <w:rFonts w:asciiTheme="minorHAnsi" w:hAnsiTheme="minorHAnsi" w:cstheme="minorHAnsi"/>
          <w:szCs w:val="24"/>
        </w:rPr>
        <w:t xml:space="preserve"> </w:t>
      </w:r>
      <w:r w:rsidR="009557F6" w:rsidRPr="002C6E03">
        <w:rPr>
          <w:rFonts w:asciiTheme="minorHAnsi" w:hAnsiTheme="minorHAnsi" w:cstheme="minorHAnsi"/>
          <w:szCs w:val="24"/>
        </w:rPr>
        <w:t>a</w:t>
      </w:r>
      <w:r w:rsidR="003E0BC7" w:rsidRPr="002C6E03">
        <w:rPr>
          <w:rFonts w:asciiTheme="minorHAnsi" w:hAnsiTheme="minorHAnsi" w:cstheme="minorHAnsi"/>
          <w:szCs w:val="24"/>
        </w:rPr>
        <w:t xml:space="preserve"> </w:t>
      </w:r>
      <w:r>
        <w:rPr>
          <w:rFonts w:asciiTheme="minorHAnsi" w:hAnsiTheme="minorHAnsi" w:cstheme="minorHAnsi"/>
          <w:szCs w:val="24"/>
        </w:rPr>
        <w:t xml:space="preserve">estas </w:t>
      </w:r>
      <w:r w:rsidR="009557F6" w:rsidRPr="002C6E03">
        <w:rPr>
          <w:rFonts w:asciiTheme="minorHAnsi" w:hAnsiTheme="minorHAnsi" w:cstheme="minorHAnsi"/>
          <w:szCs w:val="24"/>
        </w:rPr>
        <w:t>obligaciones</w:t>
      </w:r>
      <w:r>
        <w:rPr>
          <w:rFonts w:asciiTheme="minorHAnsi" w:hAnsiTheme="minorHAnsi" w:cstheme="minorHAnsi"/>
          <w:szCs w:val="24"/>
        </w:rPr>
        <w:t>, como es el caso del documento informativo de incorporación al MARF, que por otra parte, se publica en inglés</w:t>
      </w:r>
      <w:r w:rsidR="007F51B8" w:rsidRPr="002C6E03">
        <w:rPr>
          <w:rFonts w:asciiTheme="minorHAnsi" w:hAnsiTheme="minorHAnsi" w:cstheme="minorHAnsi"/>
          <w:szCs w:val="24"/>
        </w:rPr>
        <w:t>.</w:t>
      </w:r>
      <w:r w:rsidR="00A64BE7" w:rsidRPr="002C6E03">
        <w:rPr>
          <w:rFonts w:asciiTheme="minorHAnsi" w:hAnsiTheme="minorHAnsi" w:cstheme="minorHAnsi"/>
          <w:szCs w:val="24"/>
        </w:rPr>
        <w:t xml:space="preserve"> </w:t>
      </w:r>
    </w:p>
    <w:p w:rsidR="005049F7" w:rsidRPr="002C6E03" w:rsidRDefault="005049F7" w:rsidP="002C6E0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Por estas razones, no cabe aceptar las observaciones realizadas por SAMPOL, en el sentido que se consideren cumplidas la totalidad de las obligaciones de publicidad activa, dado que esta información es localizable en las cuentas anuales. </w:t>
      </w:r>
    </w:p>
    <w:p w:rsidR="00A64BE7" w:rsidRPr="00A64BE7" w:rsidRDefault="00A64BE7" w:rsidP="00A64BE7">
      <w:pPr>
        <w:pStyle w:val="Prrafodelista"/>
        <w:tabs>
          <w:tab w:val="left" w:pos="284"/>
        </w:tabs>
        <w:spacing w:before="120" w:after="120" w:line="312" w:lineRule="auto"/>
        <w:ind w:left="1440"/>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5049F7">
        <w:rPr>
          <w:rFonts w:asciiTheme="minorHAnsi" w:hAnsiTheme="minorHAnsi" w:cstheme="minorHAnsi"/>
          <w:szCs w:val="24"/>
        </w:rPr>
        <w:t>noviembre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F7" w:rsidRDefault="005049F7" w:rsidP="00344FE7">
      <w:pPr>
        <w:spacing w:after="0" w:line="240" w:lineRule="auto"/>
      </w:pPr>
      <w:r>
        <w:separator/>
      </w:r>
    </w:p>
  </w:endnote>
  <w:endnote w:type="continuationSeparator" w:id="0">
    <w:p w:rsidR="005049F7" w:rsidRDefault="005049F7"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049F7" w:rsidRPr="00C23F36" w:rsidRDefault="005049F7"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C58C1">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F7" w:rsidRDefault="005049F7" w:rsidP="00344FE7">
      <w:pPr>
        <w:spacing w:after="0" w:line="240" w:lineRule="auto"/>
      </w:pPr>
      <w:r>
        <w:separator/>
      </w:r>
    </w:p>
  </w:footnote>
  <w:footnote w:type="continuationSeparator" w:id="0">
    <w:p w:rsidR="005049F7" w:rsidRDefault="005049F7"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F7" w:rsidRDefault="005049F7">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049F7" w:rsidRDefault="005049F7">
    <w:pPr>
      <w:pStyle w:val="Encabezado"/>
    </w:pPr>
  </w:p>
  <w:p w:rsidR="005049F7" w:rsidRDefault="005049F7" w:rsidP="00344FE7">
    <w:pPr>
      <w:pStyle w:val="Encabezado"/>
    </w:pPr>
  </w:p>
  <w:p w:rsidR="005049F7" w:rsidRDefault="005049F7" w:rsidP="00344FE7">
    <w:pPr>
      <w:pStyle w:val="Encabezado"/>
    </w:pPr>
  </w:p>
  <w:p w:rsidR="005049F7" w:rsidRDefault="005049F7"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F7" w:rsidRDefault="005049F7"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29_"/>
      </v:shape>
    </w:pict>
  </w:numPicBullet>
  <w:numPicBullet w:numPicBulletId="1">
    <w:pict>
      <v:shape id="_x0000_i1059"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620F0"/>
    <w:rsid w:val="001750A8"/>
    <w:rsid w:val="00175D6C"/>
    <w:rsid w:val="0018324C"/>
    <w:rsid w:val="00194E05"/>
    <w:rsid w:val="001B02FE"/>
    <w:rsid w:val="001B16D9"/>
    <w:rsid w:val="001B2E7B"/>
    <w:rsid w:val="001E44BC"/>
    <w:rsid w:val="00211286"/>
    <w:rsid w:val="00226CA0"/>
    <w:rsid w:val="00235A40"/>
    <w:rsid w:val="00251194"/>
    <w:rsid w:val="00292806"/>
    <w:rsid w:val="00294A05"/>
    <w:rsid w:val="002A4771"/>
    <w:rsid w:val="002C000A"/>
    <w:rsid w:val="002C6E03"/>
    <w:rsid w:val="002F2730"/>
    <w:rsid w:val="002F5D0B"/>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34AE3"/>
    <w:rsid w:val="0045134F"/>
    <w:rsid w:val="00490DAB"/>
    <w:rsid w:val="004B15B8"/>
    <w:rsid w:val="004B7334"/>
    <w:rsid w:val="004D4EF1"/>
    <w:rsid w:val="004E4EE3"/>
    <w:rsid w:val="004E6928"/>
    <w:rsid w:val="005049F7"/>
    <w:rsid w:val="0051591A"/>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0D96"/>
    <w:rsid w:val="007342F2"/>
    <w:rsid w:val="00741DA7"/>
    <w:rsid w:val="007448C3"/>
    <w:rsid w:val="007467AA"/>
    <w:rsid w:val="007615EB"/>
    <w:rsid w:val="00777715"/>
    <w:rsid w:val="007A662D"/>
    <w:rsid w:val="007B024C"/>
    <w:rsid w:val="007B2862"/>
    <w:rsid w:val="007B6B68"/>
    <w:rsid w:val="007C00E5"/>
    <w:rsid w:val="007C0642"/>
    <w:rsid w:val="007C1C6F"/>
    <w:rsid w:val="007C58C1"/>
    <w:rsid w:val="007D24E2"/>
    <w:rsid w:val="007F316E"/>
    <w:rsid w:val="007F51B8"/>
    <w:rsid w:val="00815DA2"/>
    <w:rsid w:val="00831E45"/>
    <w:rsid w:val="0084636F"/>
    <w:rsid w:val="00855ECA"/>
    <w:rsid w:val="008649E1"/>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30AA"/>
    <w:rsid w:val="009E35FF"/>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5A20"/>
    <w:rsid w:val="00CF0704"/>
    <w:rsid w:val="00CF150D"/>
    <w:rsid w:val="00D004F6"/>
    <w:rsid w:val="00D23111"/>
    <w:rsid w:val="00D239A9"/>
    <w:rsid w:val="00D43E48"/>
    <w:rsid w:val="00D445A4"/>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B063-EF20-4E20-AE26-ACFEBC03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2022-11-14T15:35:00Z</dcterms:created>
  <dcterms:modified xsi:type="dcterms:W3CDTF">2022-11-14T16:14:00Z</dcterms:modified>
</cp:coreProperties>
</file>