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39" w:rsidRDefault="004E054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8463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8463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8463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 SIMA, FSP</w:t>
                                </w:r>
                              </w:sdtContent>
                            </w:sdt>
                            <w:r w:rsidR="0028463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284639" w:rsidRDefault="004E054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8463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8463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8463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 SIMA, FSP</w:t>
                          </w:r>
                        </w:sdtContent>
                      </w:sdt>
                      <w:r w:rsidR="0028463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639" w:rsidRDefault="0028463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34191" w:rsidRDefault="00B3419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E054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A613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A613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A613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613D0" w:rsidP="00A6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A6C63" w:rsidP="00A6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C22606" w:rsidRPr="00C22606" w:rsidTr="007465AA">
        <w:tc>
          <w:tcPr>
            <w:tcW w:w="1668" w:type="dxa"/>
            <w:vMerge w:val="restart"/>
            <w:vAlign w:val="center"/>
          </w:tcPr>
          <w:p w:rsidR="00C22606" w:rsidRDefault="00C22606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Descripción de la estructura organizativa: completar información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No. </w:t>
            </w:r>
            <w:r>
              <w:rPr>
                <w:sz w:val="18"/>
                <w:szCs w:val="18"/>
              </w:rPr>
              <w:t>Sigue sin informarse sobre la estructura de gestión de la fundación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Subvenciones  y ayudas públicas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No. Se indica el origen de sus presupuestos (Ministerio de Trabajo y Economía Social) pero no se publica el presupuesto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Informes de auditoría : completar información 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No. No se publican o enlaza a  los informes de auditoría y fiscalización del Tribunal de Cuentas.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C22606" w:rsidRPr="00C22606" w:rsidTr="007465AA">
        <w:tc>
          <w:tcPr>
            <w:tcW w:w="1668" w:type="dxa"/>
            <w:vMerge/>
            <w:vAlign w:val="center"/>
          </w:tcPr>
          <w:p w:rsidR="00C22606" w:rsidRPr="007465AA" w:rsidRDefault="00C22606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2606" w:rsidRPr="00C22606" w:rsidRDefault="00C22606" w:rsidP="00C22606">
            <w:pPr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 xml:space="preserve">No </w:t>
            </w:r>
          </w:p>
        </w:tc>
      </w:tr>
      <w:tr w:rsidR="00A249BB" w:rsidRPr="00C22606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A249BB" w:rsidRPr="00C22606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207326" w:rsidP="00A6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de la información publicada a través de fuentes centralizadas</w:t>
            </w:r>
          </w:p>
        </w:tc>
        <w:tc>
          <w:tcPr>
            <w:tcW w:w="709" w:type="dxa"/>
            <w:vAlign w:val="center"/>
          </w:tcPr>
          <w:p w:rsidR="00A249BB" w:rsidRPr="007465AA" w:rsidRDefault="00FA48BE" w:rsidP="00A6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A48BE" w:rsidP="00A6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A249BB" w:rsidRPr="00C22606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A249BB" w:rsidRPr="00C22606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61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</w:tr>
      <w:tr w:rsidR="00A249BB" w:rsidRPr="00C22606" w:rsidTr="007465AA">
        <w:tc>
          <w:tcPr>
            <w:tcW w:w="1668" w:type="dxa"/>
            <w:vMerge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613D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A48BE" w:rsidP="00A61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22606" w:rsidP="00A61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C22606" w:rsidTr="007465AA">
        <w:tc>
          <w:tcPr>
            <w:tcW w:w="7196" w:type="dxa"/>
            <w:gridSpan w:val="2"/>
          </w:tcPr>
          <w:p w:rsidR="00A249BB" w:rsidRPr="00C22606" w:rsidRDefault="00A249BB" w:rsidP="00A613D0">
            <w:pPr>
              <w:jc w:val="right"/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C22606" w:rsidRDefault="00FA48BE" w:rsidP="00207326">
            <w:pPr>
              <w:jc w:val="center"/>
              <w:rPr>
                <w:sz w:val="18"/>
                <w:szCs w:val="18"/>
              </w:rPr>
            </w:pPr>
            <w:r w:rsidRPr="00C22606">
              <w:rPr>
                <w:sz w:val="18"/>
                <w:szCs w:val="18"/>
              </w:rPr>
              <w:t>1</w:t>
            </w:r>
            <w:r w:rsidR="00207326" w:rsidRPr="00C22606">
              <w:rPr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C22606" w:rsidRDefault="00A249BB" w:rsidP="00A613D0">
            <w:pPr>
              <w:rPr>
                <w:sz w:val="18"/>
                <w:szCs w:val="18"/>
              </w:rPr>
            </w:pPr>
          </w:p>
        </w:tc>
      </w:tr>
    </w:tbl>
    <w:p w:rsidR="003A1694" w:rsidRPr="00C22606" w:rsidRDefault="003A1694" w:rsidP="00AC4A6F">
      <w:pPr>
        <w:rPr>
          <w:sz w:val="18"/>
          <w:szCs w:val="18"/>
        </w:rPr>
      </w:pPr>
    </w:p>
    <w:p w:rsidR="00DF56A7" w:rsidRDefault="00DF56A7" w:rsidP="00DF56A7">
      <w:pPr>
        <w:jc w:val="both"/>
      </w:pPr>
    </w:p>
    <w:p w:rsidR="00BA4354" w:rsidRDefault="00FA48BE" w:rsidP="00DF56A7">
      <w:pPr>
        <w:jc w:val="both"/>
      </w:pPr>
      <w:r>
        <w:t xml:space="preserve">La Fundación SIMA, FSP no </w:t>
      </w:r>
      <w:r w:rsidR="00C52EE5">
        <w:t xml:space="preserve"> ha aplicado </w:t>
      </w:r>
      <w:r>
        <w:t>ninguna</w:t>
      </w:r>
      <w:r w:rsidR="00C52EE5" w:rsidRPr="0076567C">
        <w:t xml:space="preserve"> de las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543B62" w:rsidRDefault="00543B62" w:rsidP="00DF56A7">
      <w:pPr>
        <w:jc w:val="both"/>
      </w:pP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639" w:rsidRPr="00F31BC3" w:rsidRDefault="0028463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34191" w:rsidRPr="00F31BC3" w:rsidRDefault="00B3419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E054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A6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34191" w:rsidRPr="008677FD" w:rsidTr="00B3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34191" w:rsidRPr="008677FD" w:rsidRDefault="00B34191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34191" w:rsidRPr="00B34191" w:rsidRDefault="00B34191" w:rsidP="00B34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4191">
              <w:rPr>
                <w:sz w:val="16"/>
                <w:szCs w:val="16"/>
              </w:rPr>
              <w:t>51,0</w:t>
            </w:r>
          </w:p>
        </w:tc>
      </w:tr>
      <w:tr w:rsidR="002F5A3C" w:rsidRPr="008677FD" w:rsidTr="002F5A3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F5A3C" w:rsidRPr="008677FD" w:rsidRDefault="002F5A3C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7,1</w:t>
            </w:r>
          </w:p>
        </w:tc>
      </w:tr>
      <w:tr w:rsidR="002F5A3C" w:rsidRPr="008677FD" w:rsidTr="002F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F5A3C" w:rsidRPr="008677FD" w:rsidRDefault="002F5A3C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17,6</w:t>
            </w:r>
          </w:p>
        </w:tc>
        <w:tc>
          <w:tcPr>
            <w:tcW w:w="0" w:type="auto"/>
            <w:noWrap/>
            <w:vAlign w:val="center"/>
          </w:tcPr>
          <w:p w:rsidR="002F5A3C" w:rsidRPr="002F5A3C" w:rsidRDefault="002F5A3C" w:rsidP="002F5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5A3C">
              <w:rPr>
                <w:sz w:val="16"/>
                <w:szCs w:val="16"/>
              </w:rPr>
              <w:t>25,2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F5A3C">
        <w:rPr>
          <w:lang w:bidi="es-ES"/>
        </w:rPr>
        <w:t>25,2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B34191">
        <w:rPr>
          <w:lang w:bidi="es-ES"/>
        </w:rPr>
        <w:t>1</w:t>
      </w:r>
      <w:r w:rsidR="00BB3652">
        <w:rPr>
          <w:lang w:bidi="es-ES"/>
        </w:rPr>
        <w:t xml:space="preserve"> se produce </w:t>
      </w:r>
      <w:r w:rsidR="00B34191">
        <w:rPr>
          <w:lang w:bidi="es-ES"/>
        </w:rPr>
        <w:t xml:space="preserve">un </w:t>
      </w:r>
      <w:r w:rsidR="00B34191" w:rsidRPr="00B34191">
        <w:rPr>
          <w:b/>
          <w:lang w:bidi="es-ES"/>
        </w:rPr>
        <w:t>decremento</w:t>
      </w:r>
      <w:r w:rsidR="00B34191">
        <w:rPr>
          <w:lang w:bidi="es-ES"/>
        </w:rPr>
        <w:t xml:space="preserve"> </w:t>
      </w:r>
      <w:r w:rsidR="00BB3652">
        <w:rPr>
          <w:lang w:bidi="es-ES"/>
        </w:rPr>
        <w:t xml:space="preserve"> de </w:t>
      </w:r>
      <w:r w:rsidR="00B34191">
        <w:rPr>
          <w:lang w:bidi="es-ES"/>
        </w:rPr>
        <w:t>-</w:t>
      </w:r>
      <w:r w:rsidR="002F5A3C">
        <w:rPr>
          <w:lang w:bidi="es-ES"/>
        </w:rPr>
        <w:t>8,8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</w:t>
      </w:r>
      <w:r w:rsidR="00B34191">
        <w:rPr>
          <w:lang w:bidi="es-ES"/>
        </w:rPr>
        <w:t xml:space="preserve">revisión del cumplimiento de </w:t>
      </w:r>
      <w:r w:rsidR="002F5A3C">
        <w:rPr>
          <w:lang w:bidi="es-ES"/>
        </w:rPr>
        <w:t>las</w:t>
      </w:r>
      <w:r w:rsidR="00B34191">
        <w:rPr>
          <w:lang w:bidi="es-ES"/>
        </w:rPr>
        <w:t xml:space="preserve"> obligaciones</w:t>
      </w:r>
      <w:r w:rsidR="002F5A3C">
        <w:rPr>
          <w:lang w:bidi="es-ES"/>
        </w:rPr>
        <w:t xml:space="preserve"> cuentas anuales e informes de auditoría y fiscalización </w:t>
      </w:r>
      <w:proofErr w:type="gramStart"/>
      <w:r w:rsidR="002F5A3C">
        <w:rPr>
          <w:lang w:bidi="es-ES"/>
        </w:rPr>
        <w:t>elaborados</w:t>
      </w:r>
      <w:proofErr w:type="gramEnd"/>
      <w:r w:rsidR="002F5A3C">
        <w:rPr>
          <w:lang w:bidi="es-ES"/>
        </w:rPr>
        <w:t xml:space="preserve"> por órganos de control externo, dado que las últimas cuentas publicadas corresponden a 2019</w:t>
      </w:r>
      <w:r w:rsidR="00B34191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341B6A" w:rsidRDefault="00341B6A" w:rsidP="00F05E2C">
      <w:pPr>
        <w:pStyle w:val="Cuerpodelboletn"/>
        <w:sectPr w:rsidR="00341B6A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341B6A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341B6A">
        <w:t>la Fundación SIMA</w:t>
      </w:r>
      <w:r>
        <w:t xml:space="preserve">. </w:t>
      </w:r>
      <w:r w:rsidR="00341B6A">
        <w:t xml:space="preserve">No solo no se ha producido ninguna mejora respecto de 2021 sino que el nivel de cumplimiento de la Fundación se ha reducido </w:t>
      </w:r>
      <w:r w:rsidR="002F5A3C">
        <w:t>en el 26</w:t>
      </w:r>
      <w:r w:rsidR="00341B6A">
        <w:t>%.</w:t>
      </w:r>
    </w:p>
    <w:p w:rsidR="004061BC" w:rsidRDefault="00BB3652" w:rsidP="00A670E9">
      <w:pPr>
        <w:pStyle w:val="Cuerpodelboletn"/>
      </w:pPr>
      <w:r>
        <w:t xml:space="preserve">Como consecuencia </w:t>
      </w:r>
      <w:r w:rsidR="00341B6A">
        <w:t>no solo</w:t>
      </w:r>
      <w:r>
        <w:t xml:space="preserve"> persisten los déficits evidenciados en </w:t>
      </w:r>
      <w:r w:rsidR="00341B6A">
        <w:t>la</w:t>
      </w:r>
      <w:r>
        <w:t xml:space="preserve"> evaluación</w:t>
      </w:r>
      <w:r w:rsidR="00341B6A">
        <w:t xml:space="preserve"> 2021 sino que se han añadido otros más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639" w:rsidRPr="00F31BC3" w:rsidRDefault="0028463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34191" w:rsidRPr="00F31BC3" w:rsidRDefault="00B34191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341B6A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crearse un espacio específico en la web de la Fundación el que publicar – o enlazar a – las informaciones sujetas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341B6A" w:rsidRDefault="00341B6A" w:rsidP="00341B6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341B6A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Registro de Actividades de T</w:t>
      </w:r>
      <w:r w:rsidRPr="00162187">
        <w:rPr>
          <w:rFonts w:ascii="Century Gothic" w:hAnsi="Century Gothic"/>
        </w:rPr>
        <w:t xml:space="preserve">ratamiento, en aplicación de los artículos 31 y 77.1 de la Ley Orgánica 3/2018, de 5 de diciembre, de protección de datos personales y garantía de los derechos digitales. </w:t>
      </w:r>
    </w:p>
    <w:p w:rsidR="00341B6A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de la Fundación (órganos de gobierno y de gestión)</w:t>
      </w:r>
    </w:p>
    <w:p w:rsidR="00341B6A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perfiles y trayectorias profesionales de sus máximos responsables.</w:t>
      </w:r>
    </w:p>
    <w:p w:rsidR="00341B6A" w:rsidRPr="00162187" w:rsidRDefault="00341B6A" w:rsidP="00341B6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341B6A" w:rsidRDefault="00341B6A" w:rsidP="00341B6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341B6A" w:rsidRDefault="00341B6A" w:rsidP="00341B6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341B6A" w:rsidRDefault="00341B6A" w:rsidP="00341B6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convenios, con indicación de las partes, objeto, plazo de duración, modificaciones, prestaciones y obligaciones económicas.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subvenciones y ayudas públicas </w:t>
      </w:r>
      <w:r>
        <w:rPr>
          <w:rFonts w:ascii="Century Gothic" w:hAnsi="Century Gothic"/>
        </w:rPr>
        <w:t xml:space="preserve">concedidas </w:t>
      </w:r>
      <w:r w:rsidRPr="00162187">
        <w:rPr>
          <w:rFonts w:ascii="Century Gothic" w:hAnsi="Century Gothic"/>
        </w:rPr>
        <w:t>con indicación de su importe, objetivo o finalidad y beneficiario.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presupuestos.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cuentas anuales.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os informes de auditoría de cuentas y de fiscalización </w:t>
      </w:r>
      <w:r>
        <w:rPr>
          <w:rFonts w:ascii="Century Gothic" w:hAnsi="Century Gothic"/>
        </w:rPr>
        <w:t>elaborados por el Tribunal de Cuentas</w:t>
      </w:r>
      <w:r w:rsidRPr="00162187">
        <w:rPr>
          <w:rFonts w:ascii="Century Gothic" w:hAnsi="Century Gothic"/>
        </w:rPr>
        <w:t>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retribuciones correspondientes a los altos cargos y máximos responsables.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indemnizaciones percibidas por los altos cargos y máximos responsables con ocasión del abandono del cargo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autorizaciones para la compatibilidad con actividades públicas o privadas concedidas a los empleados públicos de la fundación.</w:t>
      </w:r>
    </w:p>
    <w:p w:rsidR="00341B6A" w:rsidRPr="00162187" w:rsidRDefault="00341B6A" w:rsidP="00341B6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as autorizaciones para el ejercicio de actividades privadas al cese de altos cargos. </w:t>
      </w:r>
    </w:p>
    <w:p w:rsidR="00341B6A" w:rsidRPr="00162187" w:rsidRDefault="00341B6A" w:rsidP="00341B6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341B6A" w:rsidRDefault="00341B6A" w:rsidP="00341B6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 </w:t>
      </w:r>
    </w:p>
    <w:p w:rsidR="002F5A3C" w:rsidRDefault="002F5A3C" w:rsidP="002F5A3C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341B6A" w:rsidRDefault="00341B6A" w:rsidP="002F5A3C">
      <w:pPr>
        <w:pStyle w:val="Sinespaciado"/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sigue recomendando que </w:t>
      </w:r>
      <w:r w:rsidRPr="00162187">
        <w:rPr>
          <w:rFonts w:ascii="Century Gothic" w:hAnsi="Century Gothic"/>
        </w:rPr>
        <w:t xml:space="preserve">para aquellas informaciones obligatorias respecto de las que no haya habido actividad – por ejemplo, que no se hubiese solicitado y concedido ninguna autorización de compatibilidad - </w:t>
      </w:r>
      <w:r>
        <w:rPr>
          <w:rFonts w:ascii="Century Gothic" w:hAnsi="Century Gothic"/>
        </w:rPr>
        <w:t>se indique</w:t>
      </w:r>
      <w:r w:rsidRPr="00162187">
        <w:rPr>
          <w:rFonts w:ascii="Century Gothic" w:hAnsi="Century Gothic"/>
        </w:rPr>
        <w:t xml:space="preserve"> expresamente esta circunstancia.</w:t>
      </w:r>
    </w:p>
    <w:p w:rsidR="00C52EE5" w:rsidRPr="00341B6A" w:rsidRDefault="00C52EE5" w:rsidP="00341B6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F5A3C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341B6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639" w:rsidRPr="00F31BC3" w:rsidRDefault="0028463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34191" w:rsidRPr="00F31BC3" w:rsidRDefault="00B3419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84639" w:rsidRPr="00F31BC3" w:rsidRDefault="0028463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34191" w:rsidRPr="00F31BC3" w:rsidRDefault="00B3419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39" w:rsidRDefault="00284639" w:rsidP="00F31BC3">
      <w:r>
        <w:separator/>
      </w:r>
    </w:p>
  </w:endnote>
  <w:endnote w:type="continuationSeparator" w:id="0">
    <w:p w:rsidR="00284639" w:rsidRDefault="0028463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39" w:rsidRDefault="00284639" w:rsidP="00F31BC3">
      <w:r>
        <w:separator/>
      </w:r>
    </w:p>
  </w:footnote>
  <w:footnote w:type="continuationSeparator" w:id="0">
    <w:p w:rsidR="00284639" w:rsidRDefault="0028463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39" w:rsidRDefault="002846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DD7"/>
    <w:rsid w:val="00207326"/>
    <w:rsid w:val="0021682B"/>
    <w:rsid w:val="00231D61"/>
    <w:rsid w:val="00243294"/>
    <w:rsid w:val="00244EDA"/>
    <w:rsid w:val="002467FA"/>
    <w:rsid w:val="00250846"/>
    <w:rsid w:val="00263F79"/>
    <w:rsid w:val="00284639"/>
    <w:rsid w:val="002A6B58"/>
    <w:rsid w:val="002B43A4"/>
    <w:rsid w:val="002C19B9"/>
    <w:rsid w:val="002C1DD9"/>
    <w:rsid w:val="002C41B4"/>
    <w:rsid w:val="002D0702"/>
    <w:rsid w:val="002D27E4"/>
    <w:rsid w:val="002E409F"/>
    <w:rsid w:val="002E644A"/>
    <w:rsid w:val="002F06DC"/>
    <w:rsid w:val="002F5A3C"/>
    <w:rsid w:val="0031769F"/>
    <w:rsid w:val="00337C82"/>
    <w:rsid w:val="00341B6A"/>
    <w:rsid w:val="00347477"/>
    <w:rsid w:val="00347877"/>
    <w:rsid w:val="003516A1"/>
    <w:rsid w:val="00352994"/>
    <w:rsid w:val="00355DC0"/>
    <w:rsid w:val="00366871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0549"/>
    <w:rsid w:val="004E7B33"/>
    <w:rsid w:val="00506864"/>
    <w:rsid w:val="00521C69"/>
    <w:rsid w:val="00525E0B"/>
    <w:rsid w:val="005301DF"/>
    <w:rsid w:val="00536832"/>
    <w:rsid w:val="00540929"/>
    <w:rsid w:val="00543B6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A6C63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1C7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13D0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4191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606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48BE"/>
    <w:rsid w:val="00FA5997"/>
    <w:rsid w:val="00FA5AFD"/>
    <w:rsid w:val="00FB5F9E"/>
    <w:rsid w:val="00FC2948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6950"/>
    <w:rsid w:val="00443EA4"/>
    <w:rsid w:val="00583D19"/>
    <w:rsid w:val="00641E68"/>
    <w:rsid w:val="00722728"/>
    <w:rsid w:val="00787EBD"/>
    <w:rsid w:val="007B2287"/>
    <w:rsid w:val="007C1389"/>
    <w:rsid w:val="007C3485"/>
    <w:rsid w:val="008E118A"/>
    <w:rsid w:val="00A104A7"/>
    <w:rsid w:val="00AB484A"/>
    <w:rsid w:val="00C32372"/>
    <w:rsid w:val="00C40853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6CC16-2FE7-4E9F-8686-CF1579AA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144</TotalTime>
  <Pages>5</Pages>
  <Words>1083</Words>
  <Characters>5959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2022-02-25T09:21:00Z</cp:lastPrinted>
  <dcterms:created xsi:type="dcterms:W3CDTF">2022-02-23T09:55:00Z</dcterms:created>
  <dcterms:modified xsi:type="dcterms:W3CDTF">2022-09-08T10:53:00Z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