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DFD" w:rsidRDefault="002E03E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1F2DF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1F2DF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1F2DF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Fundación Española para la Ciencia y la Tecnología</w:t>
                                </w:r>
                              </w:sdtContent>
                            </w:sdt>
                            <w:r w:rsidR="001F2DFD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D50421" w:rsidRDefault="00D5042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Fundación Española para la Ciencia y la Tecnología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F2DFD" w:rsidRDefault="001F2DF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2E03E6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003DF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003DF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003DF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003DF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003DF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03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7329C2" w:rsidP="00003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Aunque no se había efectuado ninguna recomendación al respecto, FECYT ha reubicado el acceso a su Portal de Transparencia en la página home de su web institucional</w:t>
            </w:r>
            <w:r w:rsidR="00812B5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facilitando de esta manera la localización de la información.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03DF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03DF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03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03DFC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03DF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03DF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003DFC" w:rsidP="00003D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329C2" w:rsidP="00003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03DF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03DF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7329C2" w:rsidP="00003D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329C2" w:rsidP="00003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parte de la información del bloque institucional sigue publicándose al margen del Portal de Transparencia</w:t>
            </w:r>
          </w:p>
        </w:tc>
      </w:tr>
      <w:tr w:rsidR="00812B5C" w:rsidRPr="007465AA" w:rsidTr="007465AA">
        <w:tc>
          <w:tcPr>
            <w:tcW w:w="1668" w:type="dxa"/>
            <w:vMerge w:val="restart"/>
            <w:vAlign w:val="center"/>
          </w:tcPr>
          <w:p w:rsidR="00812B5C" w:rsidRDefault="00812B5C" w:rsidP="00003DF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12B5C" w:rsidRPr="007465AA" w:rsidRDefault="00812B5C" w:rsidP="00003DF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Descripción de la estructura organizativa: completar información</w:t>
            </w:r>
          </w:p>
        </w:tc>
        <w:tc>
          <w:tcPr>
            <w:tcW w:w="709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 xml:space="preserve">Si </w:t>
            </w:r>
          </w:p>
        </w:tc>
      </w:tr>
      <w:tr w:rsidR="00812B5C" w:rsidRPr="007465AA" w:rsidTr="007465AA">
        <w:tc>
          <w:tcPr>
            <w:tcW w:w="1668" w:type="dxa"/>
            <w:vMerge/>
            <w:vAlign w:val="center"/>
          </w:tcPr>
          <w:p w:rsidR="00812B5C" w:rsidRPr="007465AA" w:rsidRDefault="00812B5C" w:rsidP="00003DF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Si</w:t>
            </w:r>
          </w:p>
        </w:tc>
      </w:tr>
      <w:tr w:rsidR="00812B5C" w:rsidRPr="007465AA" w:rsidTr="007465AA">
        <w:tc>
          <w:tcPr>
            <w:tcW w:w="1668" w:type="dxa"/>
            <w:vMerge/>
            <w:vAlign w:val="center"/>
          </w:tcPr>
          <w:p w:rsidR="00812B5C" w:rsidRPr="007465AA" w:rsidRDefault="00812B5C" w:rsidP="00003DF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Si</w:t>
            </w:r>
          </w:p>
        </w:tc>
      </w:tr>
      <w:tr w:rsidR="00812B5C" w:rsidRPr="007465AA" w:rsidTr="007465AA">
        <w:tc>
          <w:tcPr>
            <w:tcW w:w="1668" w:type="dxa"/>
            <w:vMerge/>
            <w:vAlign w:val="center"/>
          </w:tcPr>
          <w:p w:rsidR="00812B5C" w:rsidRPr="007465AA" w:rsidRDefault="00812B5C" w:rsidP="00003DF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No. Último presupuesto publicado corresponde a 2018.</w:t>
            </w:r>
          </w:p>
        </w:tc>
      </w:tr>
      <w:tr w:rsidR="00812B5C" w:rsidRPr="007465AA" w:rsidTr="007465AA">
        <w:tc>
          <w:tcPr>
            <w:tcW w:w="1668" w:type="dxa"/>
            <w:vMerge/>
            <w:vAlign w:val="center"/>
          </w:tcPr>
          <w:p w:rsidR="00812B5C" w:rsidRPr="007465AA" w:rsidRDefault="00812B5C" w:rsidP="00003DF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No. Aunque se publica el informe IGAE del ejercicio 2020</w:t>
            </w:r>
            <w:r>
              <w:rPr>
                <w:sz w:val="18"/>
                <w:szCs w:val="18"/>
              </w:rPr>
              <w:t>,</w:t>
            </w:r>
            <w:r w:rsidRPr="00812B5C">
              <w:rPr>
                <w:sz w:val="18"/>
                <w:szCs w:val="18"/>
              </w:rPr>
              <w:t xml:space="preserve"> no se publican – o se enlaza a – los informes de auditoría y fiscalización del Tribunal de cuentas</w:t>
            </w:r>
            <w:r w:rsidR="000D23C4">
              <w:rPr>
                <w:sz w:val="18"/>
                <w:szCs w:val="18"/>
              </w:rPr>
              <w:t>,</w:t>
            </w:r>
            <w:r w:rsidRPr="00812B5C">
              <w:rPr>
                <w:sz w:val="18"/>
                <w:szCs w:val="18"/>
              </w:rPr>
              <w:t xml:space="preserve"> que es el contenido material de esta obligación.</w:t>
            </w:r>
          </w:p>
        </w:tc>
      </w:tr>
      <w:tr w:rsidR="00812B5C" w:rsidRPr="007465AA" w:rsidTr="007465AA">
        <w:tc>
          <w:tcPr>
            <w:tcW w:w="1668" w:type="dxa"/>
            <w:vMerge/>
            <w:vAlign w:val="center"/>
          </w:tcPr>
          <w:p w:rsidR="00812B5C" w:rsidRPr="007465AA" w:rsidRDefault="00812B5C" w:rsidP="00003DF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No. Las últimas retribuciones publicadas corresponden a 2019</w:t>
            </w:r>
          </w:p>
        </w:tc>
      </w:tr>
      <w:tr w:rsidR="00812B5C" w:rsidRPr="007465AA" w:rsidTr="007465AA">
        <w:tc>
          <w:tcPr>
            <w:tcW w:w="1668" w:type="dxa"/>
            <w:vMerge/>
            <w:vAlign w:val="center"/>
          </w:tcPr>
          <w:p w:rsidR="00812B5C" w:rsidRPr="007465AA" w:rsidRDefault="00812B5C" w:rsidP="00003DF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 xml:space="preserve">No </w:t>
            </w:r>
          </w:p>
        </w:tc>
      </w:tr>
      <w:tr w:rsidR="00812B5C" w:rsidRPr="007465AA" w:rsidTr="007465AA">
        <w:tc>
          <w:tcPr>
            <w:tcW w:w="1668" w:type="dxa"/>
            <w:vMerge/>
            <w:vAlign w:val="center"/>
          </w:tcPr>
          <w:p w:rsidR="00812B5C" w:rsidRPr="007465AA" w:rsidRDefault="00812B5C" w:rsidP="00003DF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Resoluciones de autorización o reconocimiento de compatibilidad de empleados</w:t>
            </w:r>
            <w:r>
              <w:rPr>
                <w:sz w:val="18"/>
                <w:szCs w:val="18"/>
              </w:rPr>
              <w:t>: actualizar información</w:t>
            </w:r>
          </w:p>
        </w:tc>
        <w:tc>
          <w:tcPr>
            <w:tcW w:w="709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812B5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Sigue publicándose</w:t>
            </w:r>
            <w:r w:rsidRPr="00812B5C">
              <w:rPr>
                <w:sz w:val="18"/>
                <w:szCs w:val="18"/>
              </w:rPr>
              <w:t xml:space="preserve"> como último reconocimiento una autorización del año 2015.</w:t>
            </w:r>
          </w:p>
        </w:tc>
      </w:tr>
      <w:tr w:rsidR="00812B5C" w:rsidRPr="007465AA" w:rsidTr="007465AA">
        <w:tc>
          <w:tcPr>
            <w:tcW w:w="1668" w:type="dxa"/>
            <w:vMerge/>
            <w:vAlign w:val="center"/>
          </w:tcPr>
          <w:p w:rsidR="00812B5C" w:rsidRPr="007465AA" w:rsidRDefault="00812B5C" w:rsidP="00003DF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 xml:space="preserve">Autorización para actividad privada al cese de altos cargos </w:t>
            </w:r>
            <w:r w:rsidRPr="00812B5C">
              <w:rPr>
                <w:sz w:val="18"/>
                <w:szCs w:val="18"/>
              </w:rPr>
              <w:lastRenderedPageBreak/>
              <w:t>en la AGE, CCAA o EELL</w:t>
            </w:r>
          </w:p>
        </w:tc>
        <w:tc>
          <w:tcPr>
            <w:tcW w:w="709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2777" w:type="dxa"/>
          </w:tcPr>
          <w:p w:rsidR="00812B5C" w:rsidRPr="00812B5C" w:rsidRDefault="00812B5C" w:rsidP="00812B5C">
            <w:pPr>
              <w:rPr>
                <w:sz w:val="18"/>
                <w:szCs w:val="18"/>
              </w:rPr>
            </w:pPr>
            <w:r w:rsidRPr="00812B5C">
              <w:rPr>
                <w:sz w:val="18"/>
                <w:szCs w:val="18"/>
              </w:rPr>
              <w:t xml:space="preserve">No </w:t>
            </w:r>
          </w:p>
        </w:tc>
      </w:tr>
      <w:tr w:rsidR="00233D76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233D76" w:rsidRPr="007465AA" w:rsidRDefault="00233D76" w:rsidP="00003DF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lastRenderedPageBreak/>
              <w:t xml:space="preserve">Calidad de la Información </w:t>
            </w:r>
          </w:p>
        </w:tc>
        <w:tc>
          <w:tcPr>
            <w:tcW w:w="5528" w:type="dxa"/>
          </w:tcPr>
          <w:p w:rsidR="00233D76" w:rsidRPr="007465AA" w:rsidRDefault="00233D76" w:rsidP="00003DF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233D76" w:rsidRPr="007465AA" w:rsidRDefault="00233D76" w:rsidP="00003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33D76" w:rsidRPr="007465AA" w:rsidRDefault="00233D76" w:rsidP="00003DFC">
            <w:pPr>
              <w:rPr>
                <w:sz w:val="18"/>
                <w:szCs w:val="18"/>
              </w:rPr>
            </w:pPr>
          </w:p>
        </w:tc>
      </w:tr>
      <w:tr w:rsidR="00233D76" w:rsidRPr="007465AA" w:rsidTr="007465AA">
        <w:tc>
          <w:tcPr>
            <w:tcW w:w="1668" w:type="dxa"/>
            <w:vMerge/>
          </w:tcPr>
          <w:p w:rsidR="00233D76" w:rsidRPr="007465AA" w:rsidRDefault="00233D76" w:rsidP="00003DF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33D76" w:rsidRPr="007465AA" w:rsidRDefault="00233D76" w:rsidP="00003DF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  <w:r w:rsidR="00214F0C">
              <w:rPr>
                <w:sz w:val="18"/>
                <w:szCs w:val="18"/>
              </w:rPr>
              <w:t xml:space="preserve">: cuadros resumen </w:t>
            </w:r>
          </w:p>
        </w:tc>
        <w:tc>
          <w:tcPr>
            <w:tcW w:w="709" w:type="dxa"/>
            <w:vAlign w:val="center"/>
          </w:tcPr>
          <w:p w:rsidR="00233D76" w:rsidRPr="007465AA" w:rsidRDefault="00214F0C" w:rsidP="00003D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33D76" w:rsidRPr="007465AA" w:rsidRDefault="00214F0C" w:rsidP="00003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para la publicación de las ayudas concedidas se enlaza a la página home de la Base de Datos Nacional de Subvenciones</w:t>
            </w:r>
          </w:p>
        </w:tc>
      </w:tr>
      <w:tr w:rsidR="00233D76" w:rsidRPr="007465AA" w:rsidTr="007465AA">
        <w:tc>
          <w:tcPr>
            <w:tcW w:w="1668" w:type="dxa"/>
            <w:vMerge/>
          </w:tcPr>
          <w:p w:rsidR="00233D76" w:rsidRPr="007465AA" w:rsidRDefault="00233D76" w:rsidP="00003DF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33D76" w:rsidRPr="007465AA" w:rsidRDefault="00233D76" w:rsidP="00003DF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233D76" w:rsidRPr="007465AA" w:rsidRDefault="00233D76" w:rsidP="00003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33D76" w:rsidRPr="007465AA" w:rsidRDefault="00233D76" w:rsidP="00003DFC">
            <w:pPr>
              <w:rPr>
                <w:sz w:val="18"/>
                <w:szCs w:val="18"/>
              </w:rPr>
            </w:pPr>
          </w:p>
        </w:tc>
      </w:tr>
      <w:tr w:rsidR="00233D76" w:rsidRPr="007465AA" w:rsidTr="007465AA">
        <w:tc>
          <w:tcPr>
            <w:tcW w:w="1668" w:type="dxa"/>
            <w:vMerge/>
          </w:tcPr>
          <w:p w:rsidR="00233D76" w:rsidRPr="007465AA" w:rsidRDefault="00233D76" w:rsidP="00003DF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33D76" w:rsidRPr="007465AA" w:rsidRDefault="00233D76" w:rsidP="00003DF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233D76" w:rsidRPr="007465AA" w:rsidRDefault="00233D76" w:rsidP="00003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33D76" w:rsidRPr="007465AA" w:rsidRDefault="00233D76" w:rsidP="00003DFC">
            <w:pPr>
              <w:rPr>
                <w:sz w:val="18"/>
                <w:szCs w:val="18"/>
              </w:rPr>
            </w:pPr>
          </w:p>
        </w:tc>
      </w:tr>
      <w:tr w:rsidR="00233D76" w:rsidRPr="007465AA" w:rsidTr="007465AA">
        <w:tc>
          <w:tcPr>
            <w:tcW w:w="1668" w:type="dxa"/>
            <w:vMerge/>
          </w:tcPr>
          <w:p w:rsidR="00233D76" w:rsidRPr="007465AA" w:rsidRDefault="00233D76" w:rsidP="00003DF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33D76" w:rsidRPr="007465AA" w:rsidRDefault="00233D76" w:rsidP="00003DF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233D76" w:rsidRPr="007465AA" w:rsidRDefault="00D50421" w:rsidP="00003D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33D76" w:rsidRPr="007465AA" w:rsidRDefault="00D50421" w:rsidP="00003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actualización</w:t>
            </w:r>
          </w:p>
        </w:tc>
      </w:tr>
      <w:tr w:rsidR="00233D76" w:rsidRPr="007465AA" w:rsidTr="007465AA">
        <w:tc>
          <w:tcPr>
            <w:tcW w:w="7196" w:type="dxa"/>
            <w:gridSpan w:val="2"/>
          </w:tcPr>
          <w:p w:rsidR="00233D76" w:rsidRPr="007465AA" w:rsidRDefault="00233D76" w:rsidP="00003DFC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233D76" w:rsidRPr="007465AA" w:rsidRDefault="00107E47" w:rsidP="007475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475D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77" w:type="dxa"/>
          </w:tcPr>
          <w:p w:rsidR="00233D76" w:rsidRPr="007465AA" w:rsidRDefault="00233D76" w:rsidP="00003DFC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107E47" w:rsidP="00DF56A7">
      <w:pPr>
        <w:jc w:val="both"/>
      </w:pPr>
      <w:r>
        <w:t xml:space="preserve">FECYT </w:t>
      </w:r>
      <w:r w:rsidR="00C52EE5">
        <w:t xml:space="preserve"> ha aplicado </w:t>
      </w:r>
      <w:r w:rsidR="000D23C4">
        <w:t>cuatro</w:t>
      </w:r>
      <w:r>
        <w:t xml:space="preserve"> </w:t>
      </w:r>
      <w:r w:rsidR="00C52EE5" w:rsidRPr="0076567C">
        <w:t xml:space="preserve">de las </w:t>
      </w:r>
      <w:r w:rsidR="007475DA">
        <w:t>trece</w:t>
      </w:r>
      <w:r w:rsidR="008F78DC">
        <w:t xml:space="preserve"> r</w:t>
      </w:r>
      <w:r w:rsidR="00C52EE5" w:rsidRPr="0076567C">
        <w:t>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7475DA" w:rsidRDefault="007475DA" w:rsidP="00DF56A7">
      <w:pPr>
        <w:jc w:val="both"/>
      </w:pPr>
    </w:p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F2DFD" w:rsidRPr="00F31BC3" w:rsidRDefault="001F2DF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2E03E6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003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B6143D" w:rsidRPr="00B4165F" w:rsidTr="00B61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6143D" w:rsidRPr="00B6143D" w:rsidRDefault="00B6143D" w:rsidP="008677FD">
            <w:pPr>
              <w:spacing w:before="120" w:after="120" w:line="312" w:lineRule="auto"/>
              <w:rPr>
                <w:rFonts w:eastAsia="Calibri" w:cs="Calibri"/>
                <w:color w:val="FFFFFF" w:themeColor="background1"/>
                <w:sz w:val="16"/>
                <w:szCs w:val="16"/>
              </w:rPr>
            </w:pPr>
            <w:r w:rsidRPr="00B6143D">
              <w:rPr>
                <w:rFonts w:eastAsia="Calibri" w:cs="Calibri"/>
                <w:color w:val="FFFFFF" w:themeColor="background1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6143D" w:rsidRPr="00B6143D" w:rsidRDefault="00B6143D" w:rsidP="00B6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43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6143D" w:rsidRPr="00B6143D" w:rsidRDefault="00B6143D" w:rsidP="00B6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43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6143D" w:rsidRPr="00B6143D" w:rsidRDefault="00B6143D" w:rsidP="00B6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43D">
              <w:rPr>
                <w:sz w:val="16"/>
                <w:szCs w:val="16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:rsidR="00B6143D" w:rsidRPr="00B6143D" w:rsidRDefault="00B6143D" w:rsidP="00B6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43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6143D" w:rsidRPr="00B6143D" w:rsidRDefault="00B6143D" w:rsidP="00B6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43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6143D" w:rsidRPr="00B6143D" w:rsidRDefault="00B6143D" w:rsidP="00B6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43D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6143D" w:rsidRPr="00B6143D" w:rsidRDefault="00B6143D" w:rsidP="00B6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43D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B6143D" w:rsidRPr="00B6143D" w:rsidRDefault="00B6143D" w:rsidP="00B6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43D">
              <w:rPr>
                <w:sz w:val="16"/>
                <w:szCs w:val="16"/>
              </w:rPr>
              <w:t>90,8</w:t>
            </w:r>
          </w:p>
        </w:tc>
      </w:tr>
      <w:tr w:rsidR="000D23C4" w:rsidRPr="00B4165F" w:rsidTr="000D23C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D23C4" w:rsidRPr="00B6143D" w:rsidRDefault="000D23C4" w:rsidP="008677FD">
            <w:pPr>
              <w:spacing w:before="120" w:after="120" w:line="312" w:lineRule="auto"/>
              <w:jc w:val="both"/>
              <w:rPr>
                <w:rFonts w:eastAsia="Calibri" w:cs="Calibri"/>
                <w:color w:val="FFFFFF" w:themeColor="background1"/>
                <w:sz w:val="16"/>
                <w:szCs w:val="16"/>
              </w:rPr>
            </w:pPr>
            <w:r w:rsidRPr="00B6143D">
              <w:rPr>
                <w:rFonts w:eastAsia="Calibri" w:cs="Calibri"/>
                <w:color w:val="FFFFFF" w:themeColor="background1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D23C4" w:rsidRPr="000D23C4" w:rsidRDefault="000D23C4" w:rsidP="000D2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23C4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0D23C4" w:rsidRPr="000D23C4" w:rsidRDefault="000D23C4" w:rsidP="000D2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23C4">
              <w:rPr>
                <w:sz w:val="16"/>
                <w:szCs w:val="16"/>
              </w:rPr>
              <w:t>46,2</w:t>
            </w:r>
          </w:p>
        </w:tc>
        <w:tc>
          <w:tcPr>
            <w:tcW w:w="0" w:type="auto"/>
            <w:noWrap/>
            <w:vAlign w:val="center"/>
          </w:tcPr>
          <w:p w:rsidR="000D23C4" w:rsidRPr="000D23C4" w:rsidRDefault="000D23C4" w:rsidP="000D2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23C4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0D23C4" w:rsidRPr="000D23C4" w:rsidRDefault="000D23C4" w:rsidP="000D2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23C4">
              <w:rPr>
                <w:sz w:val="16"/>
                <w:szCs w:val="16"/>
              </w:rPr>
              <w:t>46,2</w:t>
            </w:r>
          </w:p>
        </w:tc>
        <w:tc>
          <w:tcPr>
            <w:tcW w:w="0" w:type="auto"/>
            <w:noWrap/>
            <w:vAlign w:val="center"/>
          </w:tcPr>
          <w:p w:rsidR="000D23C4" w:rsidRPr="000D23C4" w:rsidRDefault="000D23C4" w:rsidP="000D2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23C4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0D23C4" w:rsidRPr="000D23C4" w:rsidRDefault="000D23C4" w:rsidP="000D2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23C4">
              <w:rPr>
                <w:sz w:val="16"/>
                <w:szCs w:val="16"/>
              </w:rPr>
              <w:t>46,2</w:t>
            </w:r>
          </w:p>
        </w:tc>
        <w:tc>
          <w:tcPr>
            <w:tcW w:w="0" w:type="auto"/>
            <w:noWrap/>
            <w:vAlign w:val="center"/>
          </w:tcPr>
          <w:p w:rsidR="000D23C4" w:rsidRPr="000D23C4" w:rsidRDefault="000D23C4" w:rsidP="000D2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23C4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0D23C4" w:rsidRPr="000D23C4" w:rsidRDefault="000D23C4" w:rsidP="000D2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23C4">
              <w:rPr>
                <w:sz w:val="16"/>
                <w:szCs w:val="16"/>
              </w:rPr>
              <w:t>49,5</w:t>
            </w:r>
          </w:p>
        </w:tc>
      </w:tr>
      <w:tr w:rsidR="000D23C4" w:rsidRPr="008677FD" w:rsidTr="000D2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D23C4" w:rsidRPr="00B6143D" w:rsidRDefault="000D23C4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color w:val="FFFFFF" w:themeColor="background1"/>
                <w:sz w:val="16"/>
                <w:szCs w:val="16"/>
              </w:rPr>
            </w:pPr>
            <w:r w:rsidRPr="00B6143D">
              <w:rPr>
                <w:rFonts w:eastAsia="Calibri" w:cs="Calibri"/>
                <w:i/>
                <w:color w:val="FFFFFF" w:themeColor="background1"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D23C4" w:rsidRPr="000D23C4" w:rsidRDefault="000D23C4" w:rsidP="000D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D23C4">
              <w:rPr>
                <w:b/>
                <w:i/>
                <w:sz w:val="16"/>
                <w:szCs w:val="16"/>
              </w:rPr>
              <w:t>72,5</w:t>
            </w:r>
          </w:p>
        </w:tc>
        <w:tc>
          <w:tcPr>
            <w:tcW w:w="0" w:type="auto"/>
            <w:noWrap/>
            <w:vAlign w:val="center"/>
          </w:tcPr>
          <w:p w:rsidR="000D23C4" w:rsidRPr="000D23C4" w:rsidRDefault="000D23C4" w:rsidP="000D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D23C4">
              <w:rPr>
                <w:b/>
                <w:i/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0D23C4" w:rsidRPr="000D23C4" w:rsidRDefault="000D23C4" w:rsidP="000D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D23C4">
              <w:rPr>
                <w:b/>
                <w:i/>
                <w:sz w:val="16"/>
                <w:szCs w:val="16"/>
              </w:rPr>
              <w:t>72,5</w:t>
            </w:r>
          </w:p>
        </w:tc>
        <w:tc>
          <w:tcPr>
            <w:tcW w:w="0" w:type="auto"/>
            <w:noWrap/>
            <w:vAlign w:val="center"/>
          </w:tcPr>
          <w:p w:rsidR="000D23C4" w:rsidRPr="000D23C4" w:rsidRDefault="000D23C4" w:rsidP="000D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D23C4">
              <w:rPr>
                <w:b/>
                <w:i/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0D23C4" w:rsidRPr="000D23C4" w:rsidRDefault="000D23C4" w:rsidP="000D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D23C4">
              <w:rPr>
                <w:b/>
                <w:i/>
                <w:sz w:val="16"/>
                <w:szCs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0D23C4" w:rsidRPr="000D23C4" w:rsidRDefault="000D23C4" w:rsidP="000D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D23C4">
              <w:rPr>
                <w:b/>
                <w:i/>
                <w:sz w:val="16"/>
                <w:szCs w:val="16"/>
              </w:rPr>
              <w:t>65,0</w:t>
            </w:r>
          </w:p>
        </w:tc>
        <w:tc>
          <w:tcPr>
            <w:tcW w:w="0" w:type="auto"/>
            <w:noWrap/>
            <w:vAlign w:val="center"/>
          </w:tcPr>
          <w:p w:rsidR="000D23C4" w:rsidRPr="000D23C4" w:rsidRDefault="000D23C4" w:rsidP="000D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D23C4">
              <w:rPr>
                <w:b/>
                <w:i/>
                <w:sz w:val="16"/>
                <w:szCs w:val="16"/>
              </w:rPr>
              <w:t>52,5</w:t>
            </w:r>
          </w:p>
        </w:tc>
        <w:tc>
          <w:tcPr>
            <w:tcW w:w="0" w:type="auto"/>
            <w:noWrap/>
            <w:vAlign w:val="center"/>
          </w:tcPr>
          <w:p w:rsidR="000D23C4" w:rsidRPr="000D23C4" w:rsidRDefault="000D23C4" w:rsidP="000D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D23C4">
              <w:rPr>
                <w:b/>
                <w:i/>
                <w:sz w:val="16"/>
                <w:szCs w:val="16"/>
              </w:rPr>
              <w:t>68,9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0D23C4">
        <w:rPr>
          <w:lang w:bidi="es-ES"/>
        </w:rPr>
        <w:t>68,9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9D2F81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0D23C4">
        <w:rPr>
          <w:lang w:bidi="es-ES"/>
        </w:rPr>
        <w:t>6,8</w:t>
      </w:r>
      <w:r w:rsidR="00BB3652">
        <w:rPr>
          <w:lang w:bidi="es-ES"/>
        </w:rPr>
        <w:t xml:space="preserve"> puntos porcentuales.</w:t>
      </w:r>
    </w:p>
    <w:p w:rsidR="007475DA" w:rsidRDefault="009D2F81" w:rsidP="00F05E2C">
      <w:pPr>
        <w:pStyle w:val="Cuerpodelboletn"/>
      </w:pPr>
      <w:r>
        <w:rPr>
          <w:lang w:bidi="es-ES"/>
        </w:rPr>
        <w:t>Se ha re</w:t>
      </w:r>
      <w:r w:rsidR="000D23C4">
        <w:rPr>
          <w:lang w:bidi="es-ES"/>
        </w:rPr>
        <w:t>v</w:t>
      </w:r>
      <w:r>
        <w:t xml:space="preserve">isado a la baja el cumplimiento de la obligación “Retribuciones percibidas por los máximos responsables” porque la última información publicada corresponde a 2019. </w:t>
      </w:r>
    </w:p>
    <w:p w:rsidR="009D2F81" w:rsidRDefault="009D2F81" w:rsidP="00F05E2C">
      <w:pPr>
        <w:pStyle w:val="Cuerpodelboletn"/>
      </w:pPr>
    </w:p>
    <w:p w:rsidR="009D2F81" w:rsidRDefault="009D2F81" w:rsidP="00F05E2C">
      <w:pPr>
        <w:pStyle w:val="Cuerpodelboletn"/>
        <w:sectPr w:rsidR="009D2F8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9D2F81" w:rsidP="00BB3652">
      <w:pPr>
        <w:pStyle w:val="Cuerpodelboletn"/>
      </w:pPr>
      <w:r>
        <w:t xml:space="preserve">Aunque el Índice de Cumplimiento de la Información Obligatoria evoluciona positivamente todavía existe un amplio de mejora en el </w:t>
      </w:r>
      <w:r w:rsidR="00BB3652">
        <w:t xml:space="preserve"> cumplimiento de las obligaciones de publicidad activa por parte de </w:t>
      </w:r>
      <w:r>
        <w:t>FECYT</w:t>
      </w:r>
      <w:r w:rsidR="00BB3652">
        <w:t xml:space="preserve">. </w:t>
      </w:r>
      <w:r w:rsidR="0076567C">
        <w:t>Sólo</w:t>
      </w:r>
      <w:r w:rsidR="00BB3652">
        <w:t xml:space="preserve"> se ha aplicado </w:t>
      </w:r>
      <w:r w:rsidR="000D23C4">
        <w:t>el 30,8%</w:t>
      </w:r>
      <w:r w:rsidR="00BB3652">
        <w:t xml:space="preserve"> de las recomendaciones efectuadas como consecuencia de la evaluación realizada en 202</w:t>
      </w:r>
      <w:r>
        <w:t>1</w:t>
      </w:r>
      <w:r w:rsidR="00BB3652">
        <w:t>.</w:t>
      </w:r>
    </w:p>
    <w:p w:rsidR="004061BC" w:rsidRDefault="00BB3652" w:rsidP="00A670E9">
      <w:pPr>
        <w:pStyle w:val="Cuerpodelboletn"/>
      </w:pPr>
      <w:r>
        <w:lastRenderedPageBreak/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F2DFD" w:rsidRPr="00F31BC3" w:rsidRDefault="001F2DFD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</w:t>
      </w:r>
      <w:r w:rsidR="009D2F81">
        <w:rPr>
          <w:rFonts w:ascii="Century Gothic" w:hAnsi="Century Gothic"/>
        </w:rPr>
        <w:t>publicándose información obligatoria el margen del Portal de Transparencia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9D2F81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</w:t>
      </w:r>
    </w:p>
    <w:p w:rsidR="009D2F81" w:rsidRDefault="009D2F81" w:rsidP="009D2F81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8B2D46" w:rsidRDefault="008B2D46" w:rsidP="009D2F8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los contratos adjudicados</w:t>
      </w:r>
    </w:p>
    <w:p w:rsidR="009D2F81" w:rsidRDefault="009D2F81" w:rsidP="009D2F8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Información actualizada sobre el presupuesto</w:t>
      </w:r>
    </w:p>
    <w:p w:rsidR="009D2F81" w:rsidRDefault="009D2F81" w:rsidP="009D2F8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informes de auditoría y fiscalización </w:t>
      </w:r>
      <w:r w:rsidR="000D23C4">
        <w:rPr>
          <w:rFonts w:ascii="Century Gothic" w:hAnsi="Century Gothic"/>
        </w:rPr>
        <w:t>elaborados por el</w:t>
      </w:r>
      <w:r>
        <w:rPr>
          <w:rFonts w:ascii="Century Gothic" w:hAnsi="Century Gothic"/>
        </w:rPr>
        <w:t xml:space="preserve"> Tribunal de Cuentas</w:t>
      </w:r>
    </w:p>
    <w:p w:rsidR="009D2F81" w:rsidRDefault="009D2F81" w:rsidP="009D2F8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Información actualizada sobre las retribuciones de los máximos responsables</w:t>
      </w:r>
      <w:r w:rsidR="000D23C4">
        <w:rPr>
          <w:rFonts w:ascii="Century Gothic" w:hAnsi="Century Gothic"/>
        </w:rPr>
        <w:t>, incluyendo las correspondientes a todo el equipo directivo de la Fundación.</w:t>
      </w:r>
    </w:p>
    <w:p w:rsidR="000D23C4" w:rsidRDefault="000D23C4" w:rsidP="009D2F8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última autorización de compatibilidad concedida a empleados de FECYT corresponde a 2015</w:t>
      </w:r>
      <w:r w:rsidR="001F2DFD">
        <w:rPr>
          <w:rFonts w:ascii="Century Gothic" w:hAnsi="Century Gothic"/>
        </w:rPr>
        <w:t xml:space="preserve">. No hay ninguna información que permita conocer si realmente no ha habido autorizaciones posteriores o se ha omitido la actualización de la información. </w:t>
      </w:r>
    </w:p>
    <w:p w:rsidR="00251E94" w:rsidRPr="00251E94" w:rsidRDefault="00251E94" w:rsidP="00251E9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251E94">
        <w:rPr>
          <w:rFonts w:ascii="Century Gothic" w:hAnsi="Century Gothic"/>
        </w:rPr>
        <w:t xml:space="preserve">No se publica información sobre las indemnizaciones percibidas por los máximos responsables de la Fundación con ocasión del cese. </w:t>
      </w:r>
    </w:p>
    <w:p w:rsidR="009D2F81" w:rsidRDefault="00251E94" w:rsidP="00251E9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251E94">
        <w:rPr>
          <w:rFonts w:ascii="Century Gothic" w:hAnsi="Century Gothic"/>
        </w:rPr>
        <w:t xml:space="preserve">No se informa sobre las autorizaciones </w:t>
      </w:r>
      <w:r>
        <w:rPr>
          <w:rFonts w:ascii="Century Gothic" w:hAnsi="Century Gothic"/>
        </w:rPr>
        <w:t>para el ejercicio de actividades privadas al cese de altos cargos.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251E94" w:rsidRDefault="00251E94" w:rsidP="00251E94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51E94" w:rsidRDefault="00251E94" w:rsidP="00251E94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 otra parte no se publican cuadros resumen de las informaciones para cuya publicación se recurre a fuentes centralizadas, como es el caso de la publicación dela subvenciones y ayudas públicas enlazando a la Base de Datos Nacional de Subvenciones.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1F2DFD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251E94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F2DFD" w:rsidRPr="00F31BC3" w:rsidRDefault="001F2DF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F2DFD" w:rsidRPr="00F31BC3" w:rsidRDefault="001F2DF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FD" w:rsidRDefault="001F2DFD" w:rsidP="00F31BC3">
      <w:r>
        <w:separator/>
      </w:r>
    </w:p>
  </w:endnote>
  <w:endnote w:type="continuationSeparator" w:id="0">
    <w:p w:rsidR="001F2DFD" w:rsidRDefault="001F2DF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FD" w:rsidRDefault="001F2D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FD" w:rsidRDefault="001F2DF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FD" w:rsidRDefault="001F2D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FD" w:rsidRDefault="001F2DFD" w:rsidP="00F31BC3">
      <w:r>
        <w:separator/>
      </w:r>
    </w:p>
  </w:footnote>
  <w:footnote w:type="continuationSeparator" w:id="0">
    <w:p w:rsidR="001F2DFD" w:rsidRDefault="001F2DF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FD" w:rsidRDefault="001F2D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FD" w:rsidRDefault="001F2DF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FD" w:rsidRDefault="001F2D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3DFC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23C4"/>
    <w:rsid w:val="000D3907"/>
    <w:rsid w:val="000D5417"/>
    <w:rsid w:val="000E0A9E"/>
    <w:rsid w:val="000F0DA5"/>
    <w:rsid w:val="00104DE9"/>
    <w:rsid w:val="00104E94"/>
    <w:rsid w:val="00107E47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2DFD"/>
    <w:rsid w:val="00214F0C"/>
    <w:rsid w:val="0021682B"/>
    <w:rsid w:val="00231D61"/>
    <w:rsid w:val="00233D76"/>
    <w:rsid w:val="00243294"/>
    <w:rsid w:val="00244EDA"/>
    <w:rsid w:val="002467FA"/>
    <w:rsid w:val="00250846"/>
    <w:rsid w:val="00251E94"/>
    <w:rsid w:val="00263F79"/>
    <w:rsid w:val="002C19B9"/>
    <w:rsid w:val="002C1DD9"/>
    <w:rsid w:val="002C41B4"/>
    <w:rsid w:val="002D0702"/>
    <w:rsid w:val="002D27E4"/>
    <w:rsid w:val="002E03E6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65C72"/>
    <w:rsid w:val="004720A5"/>
    <w:rsid w:val="0047735C"/>
    <w:rsid w:val="004859CC"/>
    <w:rsid w:val="004A01CF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29C2"/>
    <w:rsid w:val="0073626B"/>
    <w:rsid w:val="007465AA"/>
    <w:rsid w:val="007475D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0115"/>
    <w:rsid w:val="007F1D56"/>
    <w:rsid w:val="007F5F9D"/>
    <w:rsid w:val="00800B69"/>
    <w:rsid w:val="00803D20"/>
    <w:rsid w:val="00805A8D"/>
    <w:rsid w:val="00807495"/>
    <w:rsid w:val="00812B5C"/>
    <w:rsid w:val="00821526"/>
    <w:rsid w:val="0082470D"/>
    <w:rsid w:val="00825ACB"/>
    <w:rsid w:val="00826275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B2D46"/>
    <w:rsid w:val="008D6E75"/>
    <w:rsid w:val="008F2EF6"/>
    <w:rsid w:val="008F78DC"/>
    <w:rsid w:val="00902A71"/>
    <w:rsid w:val="009039FD"/>
    <w:rsid w:val="00903FE0"/>
    <w:rsid w:val="00912DB4"/>
    <w:rsid w:val="00935D34"/>
    <w:rsid w:val="00947271"/>
    <w:rsid w:val="009654DA"/>
    <w:rsid w:val="00965C69"/>
    <w:rsid w:val="00982299"/>
    <w:rsid w:val="009B75CD"/>
    <w:rsid w:val="009C5469"/>
    <w:rsid w:val="009D2F81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4165F"/>
    <w:rsid w:val="00B5314A"/>
    <w:rsid w:val="00B56A3A"/>
    <w:rsid w:val="00B6143D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F599B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0421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13B9F"/>
    <w:rsid w:val="00722728"/>
    <w:rsid w:val="007571B2"/>
    <w:rsid w:val="00787EBD"/>
    <w:rsid w:val="007C3485"/>
    <w:rsid w:val="008E118A"/>
    <w:rsid w:val="00A104A7"/>
    <w:rsid w:val="00AB484A"/>
    <w:rsid w:val="00C32372"/>
    <w:rsid w:val="00D97801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9C8B57-77C2-4D7A-A319-F87752B7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5</Pages>
  <Words>1069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2022-02-23T13:09:00Z</cp:lastPrinted>
  <dcterms:created xsi:type="dcterms:W3CDTF">2022-07-11T07:25:00Z</dcterms:created>
  <dcterms:modified xsi:type="dcterms:W3CDTF">2022-07-11T07:25:00Z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