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BB" w:rsidRDefault="00E26C9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822BB" w:rsidRPr="007F1D56">
                                  <w:rPr>
                                    <w:rFonts w:ascii="Century Gothic" w:hAnsi="Century Gothic"/>
                                    <w:sz w:val="40"/>
                                    <w:szCs w:val="40"/>
                                  </w:rPr>
                                  <w:t>Informe de r</w:t>
                                </w:r>
                                <w:r w:rsidR="00D822BB" w:rsidRPr="007F1D56">
                                  <w:rPr>
                                    <w:rFonts w:ascii="Century Gothic" w:hAnsi="Century Gothic"/>
                                    <w:sz w:val="40"/>
                                    <w:szCs w:val="40"/>
                                    <w:lang w:bidi="es-ES"/>
                                  </w:rPr>
                                  <w:t xml:space="preserve">evisión  del cumplimiento de las recomendaciones efectuadas por el CTBG en materia de Publicidad Activa  por parte </w:t>
                                </w:r>
                                <w:r w:rsidR="00D822BB">
                                  <w:rPr>
                                    <w:rFonts w:ascii="Century Gothic" w:hAnsi="Century Gothic"/>
                                    <w:sz w:val="40"/>
                                    <w:szCs w:val="40"/>
                                    <w:lang w:bidi="es-ES"/>
                                  </w:rPr>
                                  <w:t>de Imprenta de Billetes, S.A.</w:t>
                                </w:r>
                              </w:sdtContent>
                            </w:sdt>
                            <w:r w:rsidR="00D822BB"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D822BB" w:rsidRDefault="00E26C9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822BB" w:rsidRPr="007F1D56">
                            <w:rPr>
                              <w:rFonts w:ascii="Century Gothic" w:hAnsi="Century Gothic"/>
                              <w:sz w:val="40"/>
                              <w:szCs w:val="40"/>
                            </w:rPr>
                            <w:t>Informe de r</w:t>
                          </w:r>
                          <w:r w:rsidR="00D822BB" w:rsidRPr="007F1D56">
                            <w:rPr>
                              <w:rFonts w:ascii="Century Gothic" w:hAnsi="Century Gothic"/>
                              <w:sz w:val="40"/>
                              <w:szCs w:val="40"/>
                              <w:lang w:bidi="es-ES"/>
                            </w:rPr>
                            <w:t xml:space="preserve">evisión  del cumplimiento de las recomendaciones efectuadas por el CTBG en materia de Publicidad Activa  por parte </w:t>
                          </w:r>
                          <w:r w:rsidR="00D822BB">
                            <w:rPr>
                              <w:rFonts w:ascii="Century Gothic" w:hAnsi="Century Gothic"/>
                              <w:sz w:val="40"/>
                              <w:szCs w:val="40"/>
                              <w:lang w:bidi="es-ES"/>
                            </w:rPr>
                            <w:t>de Imprenta de Billetes, S.A.</w:t>
                          </w:r>
                        </w:sdtContent>
                      </w:sdt>
                      <w:r w:rsidR="00D822BB"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D822BB" w:rsidRDefault="00D822B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E26C9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F82689">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F82689">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F82689">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F82689">
            <w:pPr>
              <w:rPr>
                <w:sz w:val="18"/>
                <w:szCs w:val="18"/>
              </w:rPr>
            </w:pPr>
            <w:r w:rsidRPr="007465AA">
              <w:rPr>
                <w:sz w:val="18"/>
                <w:szCs w:val="18"/>
              </w:rPr>
              <w:t>Localización y estructuración de la Información</w:t>
            </w:r>
          </w:p>
        </w:tc>
        <w:tc>
          <w:tcPr>
            <w:tcW w:w="5528" w:type="dxa"/>
          </w:tcPr>
          <w:p w:rsidR="00A249BB" w:rsidRPr="007465AA" w:rsidRDefault="00540929" w:rsidP="00F82689">
            <w:pPr>
              <w:rPr>
                <w:sz w:val="18"/>
                <w:szCs w:val="18"/>
              </w:rPr>
            </w:pPr>
            <w:r w:rsidRPr="007465AA">
              <w:rPr>
                <w:sz w:val="18"/>
                <w:szCs w:val="18"/>
              </w:rPr>
              <w:t>Portal de Tra</w:t>
            </w:r>
            <w:bookmarkStart w:id="0" w:name="_GoBack"/>
            <w:bookmarkEnd w:id="0"/>
            <w:r w:rsidRPr="007465AA">
              <w:rPr>
                <w:sz w:val="18"/>
                <w:szCs w:val="18"/>
              </w:rPr>
              <w:t>nsparencia</w:t>
            </w:r>
            <w:r w:rsidR="00F16FA3">
              <w:rPr>
                <w:sz w:val="18"/>
                <w:szCs w:val="18"/>
              </w:rPr>
              <w:t xml:space="preserve">: </w:t>
            </w:r>
          </w:p>
        </w:tc>
        <w:tc>
          <w:tcPr>
            <w:tcW w:w="709" w:type="dxa"/>
            <w:vAlign w:val="center"/>
          </w:tcPr>
          <w:p w:rsidR="00A249BB" w:rsidRPr="007465AA" w:rsidRDefault="00A249BB" w:rsidP="00F82689">
            <w:pPr>
              <w:jc w:val="center"/>
              <w:rPr>
                <w:sz w:val="18"/>
                <w:szCs w:val="18"/>
              </w:rPr>
            </w:pPr>
          </w:p>
        </w:tc>
        <w:tc>
          <w:tcPr>
            <w:tcW w:w="2777" w:type="dxa"/>
          </w:tcPr>
          <w:p w:rsidR="00A249BB" w:rsidRPr="007465AA" w:rsidRDefault="00F16FA3" w:rsidP="00F16FA3">
            <w:pPr>
              <w:rPr>
                <w:sz w:val="18"/>
                <w:szCs w:val="18"/>
              </w:rPr>
            </w:pPr>
            <w:r>
              <w:rPr>
                <w:sz w:val="18"/>
                <w:szCs w:val="18"/>
              </w:rPr>
              <w:t>Aunque no había sido objeto de recomendación, IMBISA ha mejorado la accesibilidad a su portal de transparencia, creando un acceso en su página home.</w:t>
            </w: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F82689">
            <w:pPr>
              <w:jc w:val="center"/>
              <w:rPr>
                <w:sz w:val="18"/>
                <w:szCs w:val="18"/>
              </w:rPr>
            </w:pPr>
          </w:p>
        </w:tc>
        <w:tc>
          <w:tcPr>
            <w:tcW w:w="2777" w:type="dxa"/>
          </w:tcPr>
          <w:p w:rsidR="00A249BB" w:rsidRPr="007465AA" w:rsidRDefault="00A249BB" w:rsidP="00F82689">
            <w:pPr>
              <w:rPr>
                <w:sz w:val="18"/>
                <w:szCs w:val="18"/>
              </w:rPr>
            </w:pP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p>
        </w:tc>
        <w:tc>
          <w:tcPr>
            <w:tcW w:w="709" w:type="dxa"/>
            <w:vAlign w:val="center"/>
          </w:tcPr>
          <w:p w:rsidR="00A249BB" w:rsidRPr="007465AA" w:rsidRDefault="00A249BB" w:rsidP="00F82689">
            <w:pPr>
              <w:jc w:val="center"/>
              <w:rPr>
                <w:sz w:val="18"/>
                <w:szCs w:val="18"/>
              </w:rPr>
            </w:pPr>
          </w:p>
        </w:tc>
        <w:tc>
          <w:tcPr>
            <w:tcW w:w="2777" w:type="dxa"/>
          </w:tcPr>
          <w:p w:rsidR="00A249BB" w:rsidRPr="00F82689" w:rsidRDefault="00A249BB" w:rsidP="00F82689">
            <w:pPr>
              <w:rPr>
                <w:b/>
                <w:sz w:val="18"/>
                <w:szCs w:val="18"/>
              </w:rPr>
            </w:pP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F82689">
            <w:pPr>
              <w:jc w:val="center"/>
              <w:rPr>
                <w:sz w:val="18"/>
                <w:szCs w:val="18"/>
              </w:rPr>
            </w:pPr>
          </w:p>
        </w:tc>
        <w:tc>
          <w:tcPr>
            <w:tcW w:w="2777" w:type="dxa"/>
          </w:tcPr>
          <w:p w:rsidR="00A249BB" w:rsidRPr="007465AA" w:rsidRDefault="00A249BB" w:rsidP="00F82689">
            <w:pPr>
              <w:rPr>
                <w:sz w:val="18"/>
                <w:szCs w:val="18"/>
              </w:rPr>
            </w:pPr>
          </w:p>
        </w:tc>
      </w:tr>
      <w:tr w:rsidR="001A0BD4" w:rsidRPr="007465AA" w:rsidTr="007465AA">
        <w:tc>
          <w:tcPr>
            <w:tcW w:w="1668" w:type="dxa"/>
            <w:vMerge w:val="restart"/>
            <w:vAlign w:val="center"/>
          </w:tcPr>
          <w:p w:rsidR="001A0BD4" w:rsidRDefault="001A0BD4" w:rsidP="00F82689">
            <w:pPr>
              <w:rPr>
                <w:sz w:val="18"/>
                <w:szCs w:val="18"/>
              </w:rPr>
            </w:pPr>
            <w:r w:rsidRPr="007465AA">
              <w:rPr>
                <w:sz w:val="18"/>
                <w:szCs w:val="18"/>
              </w:rPr>
              <w:t>Publicación de Contenidos</w:t>
            </w:r>
          </w:p>
          <w:p w:rsidR="008677FD" w:rsidRPr="007465AA" w:rsidRDefault="008677FD" w:rsidP="00F82689">
            <w:pPr>
              <w:rPr>
                <w:sz w:val="18"/>
                <w:szCs w:val="18"/>
              </w:rPr>
            </w:pPr>
          </w:p>
        </w:tc>
        <w:tc>
          <w:tcPr>
            <w:tcW w:w="5528" w:type="dxa"/>
          </w:tcPr>
          <w:p w:rsidR="001A0BD4" w:rsidRPr="007465AA" w:rsidRDefault="001A0BD4" w:rsidP="00F82689">
            <w:pPr>
              <w:rPr>
                <w:sz w:val="18"/>
                <w:szCs w:val="18"/>
              </w:rPr>
            </w:pPr>
            <w:r w:rsidRPr="007465AA">
              <w:rPr>
                <w:sz w:val="18"/>
                <w:szCs w:val="18"/>
              </w:rPr>
              <w:t>Normativa aplicable</w:t>
            </w:r>
          </w:p>
        </w:tc>
        <w:tc>
          <w:tcPr>
            <w:tcW w:w="709" w:type="dxa"/>
          </w:tcPr>
          <w:p w:rsidR="001A0BD4" w:rsidRPr="007465AA" w:rsidRDefault="001A0BD4" w:rsidP="00F82689">
            <w:pPr>
              <w:jc w:val="center"/>
              <w:rPr>
                <w:sz w:val="18"/>
                <w:szCs w:val="18"/>
              </w:rPr>
            </w:pPr>
          </w:p>
        </w:tc>
        <w:tc>
          <w:tcPr>
            <w:tcW w:w="2777" w:type="dxa"/>
          </w:tcPr>
          <w:p w:rsidR="001A0BD4" w:rsidRPr="007465AA" w:rsidRDefault="001A0BD4" w:rsidP="00F82689">
            <w:pPr>
              <w:rPr>
                <w:sz w:val="18"/>
                <w:szCs w:val="18"/>
              </w:rPr>
            </w:pP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7465AA">
              <w:rPr>
                <w:sz w:val="18"/>
                <w:szCs w:val="18"/>
              </w:rPr>
              <w:t>Descripción de la estructura organizativa</w:t>
            </w:r>
          </w:p>
        </w:tc>
        <w:tc>
          <w:tcPr>
            <w:tcW w:w="709" w:type="dxa"/>
          </w:tcPr>
          <w:p w:rsidR="001A0BD4" w:rsidRPr="007465AA" w:rsidRDefault="00F82689" w:rsidP="00F82689">
            <w:pPr>
              <w:jc w:val="center"/>
              <w:rPr>
                <w:sz w:val="18"/>
                <w:szCs w:val="18"/>
              </w:rPr>
            </w:pPr>
            <w:r>
              <w:rPr>
                <w:sz w:val="18"/>
                <w:szCs w:val="18"/>
              </w:rPr>
              <w:t>X</w:t>
            </w:r>
          </w:p>
        </w:tc>
        <w:tc>
          <w:tcPr>
            <w:tcW w:w="2777" w:type="dxa"/>
          </w:tcPr>
          <w:p w:rsidR="00F16FA3" w:rsidRPr="007465AA" w:rsidRDefault="00F82689" w:rsidP="00F16FA3">
            <w:pPr>
              <w:rPr>
                <w:sz w:val="18"/>
                <w:szCs w:val="18"/>
              </w:rPr>
            </w:pPr>
            <w:proofErr w:type="spellStart"/>
            <w:r>
              <w:rPr>
                <w:sz w:val="18"/>
                <w:szCs w:val="18"/>
              </w:rPr>
              <w:t>Si</w:t>
            </w:r>
            <w:proofErr w:type="spellEnd"/>
            <w:r>
              <w:rPr>
                <w:sz w:val="18"/>
                <w:szCs w:val="18"/>
              </w:rPr>
              <w:t xml:space="preserve">. </w:t>
            </w:r>
          </w:p>
          <w:p w:rsidR="00CD4BC9" w:rsidRPr="007465AA" w:rsidRDefault="00CD4BC9" w:rsidP="00F82689">
            <w:pPr>
              <w:rPr>
                <w:sz w:val="18"/>
                <w:szCs w:val="18"/>
              </w:rPr>
            </w:pP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7465AA">
              <w:rPr>
                <w:sz w:val="18"/>
                <w:szCs w:val="18"/>
              </w:rPr>
              <w:t>Perfil y trayectoria profesional de los máximos responsables</w:t>
            </w:r>
          </w:p>
        </w:tc>
        <w:tc>
          <w:tcPr>
            <w:tcW w:w="709" w:type="dxa"/>
          </w:tcPr>
          <w:p w:rsidR="001A0BD4" w:rsidRPr="007465AA" w:rsidRDefault="00F82689" w:rsidP="00F82689">
            <w:pPr>
              <w:jc w:val="center"/>
              <w:rPr>
                <w:sz w:val="18"/>
                <w:szCs w:val="18"/>
              </w:rPr>
            </w:pPr>
            <w:r>
              <w:rPr>
                <w:sz w:val="18"/>
                <w:szCs w:val="18"/>
              </w:rPr>
              <w:t>X</w:t>
            </w:r>
          </w:p>
        </w:tc>
        <w:tc>
          <w:tcPr>
            <w:tcW w:w="2777" w:type="dxa"/>
          </w:tcPr>
          <w:p w:rsidR="001A0BD4" w:rsidRPr="007465AA" w:rsidRDefault="00CD4BC9" w:rsidP="00F16FA3">
            <w:pPr>
              <w:rPr>
                <w:sz w:val="18"/>
                <w:szCs w:val="18"/>
              </w:rPr>
            </w:pPr>
            <w:proofErr w:type="spellStart"/>
            <w:r>
              <w:rPr>
                <w:sz w:val="18"/>
                <w:szCs w:val="18"/>
              </w:rPr>
              <w:t>Si</w:t>
            </w:r>
            <w:proofErr w:type="spellEnd"/>
            <w:r>
              <w:rPr>
                <w:sz w:val="18"/>
                <w:szCs w:val="18"/>
              </w:rPr>
              <w:t xml:space="preserve">. </w:t>
            </w:r>
            <w:r w:rsidR="00F16FA3">
              <w:rPr>
                <w:sz w:val="18"/>
                <w:szCs w:val="18"/>
              </w:rPr>
              <w:t>Los miembros del Consejo de Administración son cargos institucionales del Banco de España</w:t>
            </w:r>
            <w:r w:rsidR="00E77172">
              <w:rPr>
                <w:sz w:val="18"/>
                <w:szCs w:val="18"/>
              </w:rPr>
              <w:t xml:space="preserve"> </w:t>
            </w:r>
          </w:p>
        </w:tc>
      </w:tr>
      <w:tr w:rsidR="001A0BD4" w:rsidRPr="007465AA" w:rsidTr="00D4085C">
        <w:trPr>
          <w:trHeight w:val="1174"/>
        </w:trPr>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CD4BC9" w:rsidP="00F82689">
            <w:pPr>
              <w:jc w:val="center"/>
              <w:rPr>
                <w:sz w:val="18"/>
                <w:szCs w:val="18"/>
              </w:rPr>
            </w:pPr>
            <w:r>
              <w:rPr>
                <w:sz w:val="18"/>
                <w:szCs w:val="18"/>
              </w:rPr>
              <w:t>X</w:t>
            </w:r>
          </w:p>
        </w:tc>
        <w:tc>
          <w:tcPr>
            <w:tcW w:w="2777" w:type="dxa"/>
          </w:tcPr>
          <w:p w:rsidR="001A0BD4" w:rsidRPr="007465AA" w:rsidRDefault="00695963" w:rsidP="00D4085C">
            <w:pPr>
              <w:shd w:val="clear" w:color="auto" w:fill="FFFFFF"/>
              <w:spacing w:before="100" w:beforeAutospacing="1" w:after="360"/>
              <w:jc w:val="both"/>
              <w:rPr>
                <w:sz w:val="18"/>
                <w:szCs w:val="18"/>
              </w:rPr>
            </w:pPr>
            <w:proofErr w:type="spellStart"/>
            <w:r>
              <w:rPr>
                <w:sz w:val="18"/>
                <w:szCs w:val="18"/>
              </w:rPr>
              <w:t>Si</w:t>
            </w:r>
            <w:proofErr w:type="spellEnd"/>
            <w:r>
              <w:rPr>
                <w:sz w:val="18"/>
                <w:szCs w:val="18"/>
              </w:rPr>
              <w:t xml:space="preserve">. Señalan </w:t>
            </w:r>
            <w:r w:rsidRPr="00695963">
              <w:rPr>
                <w:sz w:val="18"/>
                <w:szCs w:val="18"/>
              </w:rPr>
              <w:t xml:space="preserve">que </w:t>
            </w:r>
            <w:r w:rsidRPr="00695963">
              <w:rPr>
                <w:color w:val="111111"/>
                <w:sz w:val="18"/>
                <w:szCs w:val="18"/>
              </w:rPr>
              <w:t xml:space="preserve"> </w:t>
            </w:r>
            <w:r w:rsidRPr="00695963">
              <w:rPr>
                <w:rFonts w:eastAsia="Times New Roman" w:cs="Times New Roman"/>
                <w:color w:val="111111"/>
                <w:sz w:val="18"/>
                <w:szCs w:val="18"/>
                <w:lang w:eastAsia="es-ES"/>
              </w:rPr>
              <w:t>IMBISA no ha recibido ni ha otorgado subvenciones ni</w:t>
            </w:r>
            <w:r w:rsidRPr="00695963">
              <w:rPr>
                <w:rFonts w:ascii="Georgia" w:eastAsia="Times New Roman" w:hAnsi="Georgia" w:cs="Times New Roman"/>
                <w:color w:val="111111"/>
                <w:sz w:val="27"/>
                <w:szCs w:val="27"/>
                <w:lang w:eastAsia="es-ES"/>
              </w:rPr>
              <w:t xml:space="preserve"> </w:t>
            </w:r>
            <w:r w:rsidRPr="00695963">
              <w:rPr>
                <w:rFonts w:eastAsia="Times New Roman" w:cs="Times New Roman"/>
                <w:color w:val="111111"/>
                <w:sz w:val="18"/>
                <w:szCs w:val="18"/>
                <w:lang w:eastAsia="es-ES"/>
              </w:rPr>
              <w:t>ayudas públicas.</w:t>
            </w:r>
            <w:r>
              <w:rPr>
                <w:rFonts w:eastAsia="Times New Roman" w:cs="Times New Roman"/>
                <w:color w:val="111111"/>
                <w:sz w:val="18"/>
                <w:szCs w:val="18"/>
                <w:lang w:eastAsia="es-ES"/>
              </w:rPr>
              <w:t xml:space="preserve"> </w:t>
            </w: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7465AA">
              <w:rPr>
                <w:sz w:val="18"/>
                <w:szCs w:val="18"/>
              </w:rPr>
              <w:t xml:space="preserve">Informes de auditoría  </w:t>
            </w:r>
          </w:p>
        </w:tc>
        <w:tc>
          <w:tcPr>
            <w:tcW w:w="709" w:type="dxa"/>
          </w:tcPr>
          <w:p w:rsidR="001A0BD4" w:rsidRPr="007465AA" w:rsidRDefault="00CD4BC9" w:rsidP="00F82689">
            <w:pPr>
              <w:jc w:val="center"/>
              <w:rPr>
                <w:sz w:val="18"/>
                <w:szCs w:val="18"/>
              </w:rPr>
            </w:pPr>
            <w:r>
              <w:rPr>
                <w:sz w:val="18"/>
                <w:szCs w:val="18"/>
              </w:rPr>
              <w:t>X</w:t>
            </w:r>
          </w:p>
        </w:tc>
        <w:tc>
          <w:tcPr>
            <w:tcW w:w="2777" w:type="dxa"/>
          </w:tcPr>
          <w:p w:rsidR="001A0BD4" w:rsidRPr="007465AA" w:rsidRDefault="00D4085C" w:rsidP="00150118">
            <w:pPr>
              <w:rPr>
                <w:sz w:val="18"/>
                <w:szCs w:val="18"/>
              </w:rPr>
            </w:pPr>
            <w:r>
              <w:rPr>
                <w:sz w:val="18"/>
                <w:szCs w:val="18"/>
              </w:rPr>
              <w:t>No</w:t>
            </w:r>
            <w:r w:rsidR="00695963">
              <w:rPr>
                <w:sz w:val="18"/>
                <w:szCs w:val="18"/>
              </w:rPr>
              <w:t>.</w:t>
            </w:r>
            <w:r>
              <w:rPr>
                <w:sz w:val="18"/>
                <w:szCs w:val="18"/>
              </w:rPr>
              <w:t xml:space="preserve"> Aunque se p</w:t>
            </w:r>
            <w:r w:rsidR="00695963">
              <w:rPr>
                <w:sz w:val="18"/>
                <w:szCs w:val="18"/>
              </w:rPr>
              <w:t xml:space="preserve">ublica </w:t>
            </w:r>
            <w:r>
              <w:rPr>
                <w:sz w:val="18"/>
                <w:szCs w:val="18"/>
              </w:rPr>
              <w:t xml:space="preserve">un </w:t>
            </w:r>
            <w:r w:rsidR="00695963">
              <w:rPr>
                <w:sz w:val="18"/>
                <w:szCs w:val="18"/>
              </w:rPr>
              <w:t>informe de auditoría extern</w:t>
            </w:r>
            <w:r>
              <w:rPr>
                <w:sz w:val="18"/>
                <w:szCs w:val="18"/>
              </w:rPr>
              <w:t>a</w:t>
            </w:r>
            <w:r w:rsidR="00695963">
              <w:rPr>
                <w:sz w:val="18"/>
                <w:szCs w:val="18"/>
              </w:rPr>
              <w:t xml:space="preserve"> de </w:t>
            </w:r>
            <w:proofErr w:type="spellStart"/>
            <w:r w:rsidR="00695963">
              <w:rPr>
                <w:sz w:val="18"/>
                <w:szCs w:val="18"/>
              </w:rPr>
              <w:t>Deloitte</w:t>
            </w:r>
            <w:proofErr w:type="spellEnd"/>
            <w:r w:rsidR="00695963">
              <w:rPr>
                <w:sz w:val="18"/>
                <w:szCs w:val="18"/>
              </w:rPr>
              <w:t xml:space="preserve"> correspondiente al año 2021</w:t>
            </w:r>
            <w:r>
              <w:rPr>
                <w:sz w:val="18"/>
                <w:szCs w:val="18"/>
              </w:rPr>
              <w:t>, no se han localizado los informes de auditoría y fiscalización del Tribunal de Cu</w:t>
            </w:r>
            <w:r w:rsidR="00150118">
              <w:rPr>
                <w:sz w:val="18"/>
                <w:szCs w:val="18"/>
              </w:rPr>
              <w:t>en</w:t>
            </w:r>
            <w:r>
              <w:rPr>
                <w:sz w:val="18"/>
                <w:szCs w:val="18"/>
              </w:rPr>
              <w:t>tas, ni se informa sobre su inexistencia, si este fuese el caso.</w:t>
            </w:r>
            <w:r w:rsidR="00695963">
              <w:rPr>
                <w:sz w:val="18"/>
                <w:szCs w:val="18"/>
              </w:rPr>
              <w:t xml:space="preserve"> </w:t>
            </w: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7465AA">
              <w:rPr>
                <w:sz w:val="18"/>
                <w:szCs w:val="18"/>
              </w:rPr>
              <w:t>Retribuciones de los máximos responsables</w:t>
            </w:r>
          </w:p>
        </w:tc>
        <w:tc>
          <w:tcPr>
            <w:tcW w:w="709" w:type="dxa"/>
          </w:tcPr>
          <w:p w:rsidR="001A0BD4" w:rsidRPr="007465AA" w:rsidRDefault="00CD4BC9" w:rsidP="00F82689">
            <w:pPr>
              <w:jc w:val="center"/>
              <w:rPr>
                <w:sz w:val="18"/>
                <w:szCs w:val="18"/>
              </w:rPr>
            </w:pPr>
            <w:r>
              <w:rPr>
                <w:sz w:val="18"/>
                <w:szCs w:val="18"/>
              </w:rPr>
              <w:t>X</w:t>
            </w:r>
          </w:p>
        </w:tc>
        <w:tc>
          <w:tcPr>
            <w:tcW w:w="2777" w:type="dxa"/>
          </w:tcPr>
          <w:p w:rsidR="001A0BD4" w:rsidRPr="007465AA" w:rsidRDefault="00695963" w:rsidP="00D4085C">
            <w:pPr>
              <w:rPr>
                <w:sz w:val="18"/>
                <w:szCs w:val="18"/>
              </w:rPr>
            </w:pPr>
            <w:proofErr w:type="spellStart"/>
            <w:r>
              <w:rPr>
                <w:sz w:val="18"/>
                <w:szCs w:val="18"/>
              </w:rPr>
              <w:t>Si</w:t>
            </w:r>
            <w:proofErr w:type="spellEnd"/>
            <w:r>
              <w:rPr>
                <w:sz w:val="18"/>
                <w:szCs w:val="18"/>
              </w:rPr>
              <w:t xml:space="preserve">. Informan sobre las retribuciones de la Alta Dirección. </w:t>
            </w: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7465AA">
              <w:rPr>
                <w:sz w:val="18"/>
                <w:szCs w:val="18"/>
              </w:rPr>
              <w:t>Indemnizaciones percibidas por Altos Cargos con ocasión del abandono del cargo</w:t>
            </w:r>
          </w:p>
        </w:tc>
        <w:tc>
          <w:tcPr>
            <w:tcW w:w="709" w:type="dxa"/>
          </w:tcPr>
          <w:p w:rsidR="001A0BD4" w:rsidRPr="007465AA" w:rsidRDefault="00CD4BC9" w:rsidP="00F82689">
            <w:pPr>
              <w:jc w:val="center"/>
              <w:rPr>
                <w:sz w:val="18"/>
                <w:szCs w:val="18"/>
              </w:rPr>
            </w:pPr>
            <w:r>
              <w:rPr>
                <w:sz w:val="18"/>
                <w:szCs w:val="18"/>
              </w:rPr>
              <w:t>X</w:t>
            </w:r>
          </w:p>
        </w:tc>
        <w:tc>
          <w:tcPr>
            <w:tcW w:w="2777" w:type="dxa"/>
          </w:tcPr>
          <w:p w:rsidR="001A0BD4" w:rsidRPr="007465AA" w:rsidRDefault="00695963" w:rsidP="00D4085C">
            <w:pPr>
              <w:rPr>
                <w:sz w:val="18"/>
                <w:szCs w:val="18"/>
              </w:rPr>
            </w:pPr>
            <w:proofErr w:type="spellStart"/>
            <w:r>
              <w:rPr>
                <w:sz w:val="18"/>
                <w:szCs w:val="18"/>
              </w:rPr>
              <w:t>Si</w:t>
            </w:r>
            <w:proofErr w:type="spellEnd"/>
            <w:r>
              <w:rPr>
                <w:sz w:val="18"/>
                <w:szCs w:val="18"/>
              </w:rPr>
              <w:t xml:space="preserve">. Indican que no se ha abonado ninguna indemnización. </w:t>
            </w: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7465AA" w:rsidRDefault="001A0BD4" w:rsidP="00F82689">
            <w:pPr>
              <w:rPr>
                <w:sz w:val="18"/>
                <w:szCs w:val="18"/>
              </w:rPr>
            </w:pPr>
            <w:r w:rsidRPr="00337C82">
              <w:rPr>
                <w:sz w:val="18"/>
                <w:szCs w:val="18"/>
              </w:rPr>
              <w:t>Resoluciones de autorización o reconocimiento de compatibilidad de empleados</w:t>
            </w:r>
          </w:p>
        </w:tc>
        <w:tc>
          <w:tcPr>
            <w:tcW w:w="709" w:type="dxa"/>
          </w:tcPr>
          <w:p w:rsidR="001A0BD4" w:rsidRPr="007465AA" w:rsidRDefault="00CD4BC9" w:rsidP="00F82689">
            <w:pPr>
              <w:jc w:val="center"/>
              <w:rPr>
                <w:sz w:val="18"/>
                <w:szCs w:val="18"/>
              </w:rPr>
            </w:pPr>
            <w:r>
              <w:rPr>
                <w:sz w:val="18"/>
                <w:szCs w:val="18"/>
              </w:rPr>
              <w:t>X</w:t>
            </w:r>
          </w:p>
        </w:tc>
        <w:tc>
          <w:tcPr>
            <w:tcW w:w="2777" w:type="dxa"/>
          </w:tcPr>
          <w:p w:rsidR="001A0BD4" w:rsidRPr="007465AA" w:rsidRDefault="00695963" w:rsidP="00D4085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F82689">
            <w:pPr>
              <w:rPr>
                <w:sz w:val="18"/>
                <w:szCs w:val="18"/>
              </w:rPr>
            </w:pPr>
          </w:p>
        </w:tc>
        <w:tc>
          <w:tcPr>
            <w:tcW w:w="5528" w:type="dxa"/>
          </w:tcPr>
          <w:p w:rsidR="001A0BD4" w:rsidRPr="00337C82" w:rsidRDefault="001A0BD4" w:rsidP="00F82689">
            <w:pPr>
              <w:rPr>
                <w:sz w:val="18"/>
                <w:szCs w:val="18"/>
              </w:rPr>
            </w:pPr>
            <w:r w:rsidRPr="001A0BD4">
              <w:rPr>
                <w:sz w:val="18"/>
                <w:szCs w:val="18"/>
              </w:rPr>
              <w:t xml:space="preserve">Autorización para actividad privada al cese de altos cargos </w:t>
            </w:r>
            <w:r w:rsidRPr="001A0BD4">
              <w:rPr>
                <w:sz w:val="18"/>
                <w:szCs w:val="18"/>
              </w:rPr>
              <w:lastRenderedPageBreak/>
              <w:t>en la AGE, CCAA o EELL</w:t>
            </w:r>
          </w:p>
        </w:tc>
        <w:tc>
          <w:tcPr>
            <w:tcW w:w="709" w:type="dxa"/>
          </w:tcPr>
          <w:p w:rsidR="001A0BD4" w:rsidRPr="007465AA" w:rsidRDefault="00CD4BC9" w:rsidP="00F82689">
            <w:pPr>
              <w:jc w:val="center"/>
              <w:rPr>
                <w:sz w:val="18"/>
                <w:szCs w:val="18"/>
              </w:rPr>
            </w:pPr>
            <w:r>
              <w:rPr>
                <w:sz w:val="18"/>
                <w:szCs w:val="18"/>
              </w:rPr>
              <w:lastRenderedPageBreak/>
              <w:t>X</w:t>
            </w:r>
          </w:p>
        </w:tc>
        <w:tc>
          <w:tcPr>
            <w:tcW w:w="2777" w:type="dxa"/>
          </w:tcPr>
          <w:p w:rsidR="001A0BD4" w:rsidRPr="007465AA" w:rsidRDefault="00F56395" w:rsidP="00150118">
            <w:pPr>
              <w:rPr>
                <w:sz w:val="18"/>
                <w:szCs w:val="18"/>
              </w:rPr>
            </w:pPr>
            <w:proofErr w:type="spellStart"/>
            <w:r>
              <w:rPr>
                <w:sz w:val="18"/>
                <w:szCs w:val="18"/>
              </w:rPr>
              <w:t>Si</w:t>
            </w:r>
            <w:proofErr w:type="spellEnd"/>
            <w:r>
              <w:rPr>
                <w:sz w:val="18"/>
                <w:szCs w:val="18"/>
              </w:rPr>
              <w:t xml:space="preserve">. Señalan que no se ha </w:t>
            </w:r>
            <w:r>
              <w:rPr>
                <w:sz w:val="18"/>
                <w:szCs w:val="18"/>
              </w:rPr>
              <w:lastRenderedPageBreak/>
              <w:t xml:space="preserve">concedido ninguna autorización. </w:t>
            </w:r>
          </w:p>
        </w:tc>
      </w:tr>
      <w:tr w:rsidR="00A249BB" w:rsidRPr="007465AA" w:rsidTr="007465AA">
        <w:trPr>
          <w:trHeight w:val="265"/>
        </w:trPr>
        <w:tc>
          <w:tcPr>
            <w:tcW w:w="1668" w:type="dxa"/>
            <w:vMerge w:val="restart"/>
            <w:vAlign w:val="center"/>
          </w:tcPr>
          <w:p w:rsidR="00A249BB" w:rsidRPr="007465AA" w:rsidRDefault="00A249BB" w:rsidP="00F82689">
            <w:pPr>
              <w:rPr>
                <w:sz w:val="18"/>
                <w:szCs w:val="18"/>
              </w:rPr>
            </w:pPr>
            <w:r w:rsidRPr="007465AA">
              <w:rPr>
                <w:sz w:val="18"/>
                <w:szCs w:val="18"/>
              </w:rPr>
              <w:lastRenderedPageBreak/>
              <w:t xml:space="preserve">Calidad de la Información </w:t>
            </w:r>
          </w:p>
        </w:tc>
        <w:tc>
          <w:tcPr>
            <w:tcW w:w="5528" w:type="dxa"/>
          </w:tcPr>
          <w:p w:rsidR="00A249BB" w:rsidRPr="007465AA" w:rsidRDefault="00A249BB" w:rsidP="00F82689">
            <w:pPr>
              <w:rPr>
                <w:sz w:val="18"/>
                <w:szCs w:val="18"/>
              </w:rPr>
            </w:pPr>
            <w:r w:rsidRPr="007465AA">
              <w:rPr>
                <w:sz w:val="18"/>
                <w:szCs w:val="18"/>
              </w:rPr>
              <w:t>Estructuración</w:t>
            </w:r>
          </w:p>
        </w:tc>
        <w:tc>
          <w:tcPr>
            <w:tcW w:w="709" w:type="dxa"/>
            <w:vAlign w:val="center"/>
          </w:tcPr>
          <w:p w:rsidR="00A249BB" w:rsidRPr="007465AA" w:rsidRDefault="00CD4BC9" w:rsidP="00F82689">
            <w:pPr>
              <w:jc w:val="center"/>
              <w:rPr>
                <w:sz w:val="18"/>
                <w:szCs w:val="18"/>
              </w:rPr>
            </w:pPr>
            <w:r>
              <w:rPr>
                <w:sz w:val="18"/>
                <w:szCs w:val="18"/>
              </w:rPr>
              <w:t>X</w:t>
            </w:r>
          </w:p>
        </w:tc>
        <w:tc>
          <w:tcPr>
            <w:tcW w:w="2777" w:type="dxa"/>
          </w:tcPr>
          <w:p w:rsidR="00A249BB" w:rsidRPr="007465AA" w:rsidRDefault="00F56395" w:rsidP="00F82689">
            <w:pPr>
              <w:rPr>
                <w:sz w:val="18"/>
                <w:szCs w:val="18"/>
              </w:rPr>
            </w:pPr>
            <w:r>
              <w:rPr>
                <w:sz w:val="18"/>
                <w:szCs w:val="18"/>
              </w:rPr>
              <w:t>Si</w:t>
            </w: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 xml:space="preserve">Accesibilidad </w:t>
            </w:r>
          </w:p>
        </w:tc>
        <w:tc>
          <w:tcPr>
            <w:tcW w:w="709" w:type="dxa"/>
            <w:vAlign w:val="center"/>
          </w:tcPr>
          <w:p w:rsidR="00A249BB" w:rsidRPr="007465AA" w:rsidRDefault="00CD4BC9" w:rsidP="00F82689">
            <w:pPr>
              <w:jc w:val="center"/>
              <w:rPr>
                <w:sz w:val="18"/>
                <w:szCs w:val="18"/>
              </w:rPr>
            </w:pPr>
            <w:r>
              <w:rPr>
                <w:sz w:val="18"/>
                <w:szCs w:val="18"/>
              </w:rPr>
              <w:t>X</w:t>
            </w:r>
          </w:p>
        </w:tc>
        <w:tc>
          <w:tcPr>
            <w:tcW w:w="2777" w:type="dxa"/>
          </w:tcPr>
          <w:p w:rsidR="00A249BB" w:rsidRPr="007465AA" w:rsidRDefault="00695963" w:rsidP="00F82689">
            <w:pPr>
              <w:rPr>
                <w:sz w:val="18"/>
                <w:szCs w:val="18"/>
              </w:rPr>
            </w:pPr>
            <w:r>
              <w:rPr>
                <w:sz w:val="18"/>
                <w:szCs w:val="18"/>
              </w:rPr>
              <w:t>Si</w:t>
            </w: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Claridad</w:t>
            </w:r>
          </w:p>
        </w:tc>
        <w:tc>
          <w:tcPr>
            <w:tcW w:w="709" w:type="dxa"/>
            <w:vAlign w:val="center"/>
          </w:tcPr>
          <w:p w:rsidR="00A249BB" w:rsidRPr="007465AA" w:rsidRDefault="00A249BB" w:rsidP="00F82689">
            <w:pPr>
              <w:jc w:val="center"/>
              <w:rPr>
                <w:sz w:val="18"/>
                <w:szCs w:val="18"/>
              </w:rPr>
            </w:pPr>
          </w:p>
        </w:tc>
        <w:tc>
          <w:tcPr>
            <w:tcW w:w="2777" w:type="dxa"/>
          </w:tcPr>
          <w:p w:rsidR="00A249BB" w:rsidRPr="007465AA" w:rsidRDefault="00A249BB" w:rsidP="00F82689">
            <w:pPr>
              <w:rPr>
                <w:sz w:val="18"/>
                <w:szCs w:val="18"/>
              </w:rPr>
            </w:pP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 xml:space="preserve">Reutilización </w:t>
            </w:r>
          </w:p>
        </w:tc>
        <w:tc>
          <w:tcPr>
            <w:tcW w:w="709" w:type="dxa"/>
            <w:vAlign w:val="center"/>
          </w:tcPr>
          <w:p w:rsidR="00A249BB" w:rsidRPr="007465AA" w:rsidRDefault="00CD4BC9" w:rsidP="00F82689">
            <w:pPr>
              <w:jc w:val="center"/>
              <w:rPr>
                <w:sz w:val="18"/>
                <w:szCs w:val="18"/>
              </w:rPr>
            </w:pPr>
            <w:r>
              <w:rPr>
                <w:sz w:val="18"/>
                <w:szCs w:val="18"/>
              </w:rPr>
              <w:t>X</w:t>
            </w:r>
          </w:p>
        </w:tc>
        <w:tc>
          <w:tcPr>
            <w:tcW w:w="2777" w:type="dxa"/>
          </w:tcPr>
          <w:p w:rsidR="00A249BB" w:rsidRPr="007465AA" w:rsidRDefault="00F56395" w:rsidP="00F82689">
            <w:pPr>
              <w:rPr>
                <w:sz w:val="18"/>
                <w:szCs w:val="18"/>
              </w:rPr>
            </w:pPr>
            <w:r>
              <w:rPr>
                <w:sz w:val="18"/>
                <w:szCs w:val="18"/>
              </w:rPr>
              <w:t>Si</w:t>
            </w:r>
          </w:p>
        </w:tc>
      </w:tr>
      <w:tr w:rsidR="00A249BB" w:rsidRPr="007465AA" w:rsidTr="007465AA">
        <w:tc>
          <w:tcPr>
            <w:tcW w:w="1668" w:type="dxa"/>
            <w:vMerge/>
          </w:tcPr>
          <w:p w:rsidR="00A249BB" w:rsidRPr="007465AA" w:rsidRDefault="00A249BB" w:rsidP="00F82689">
            <w:pPr>
              <w:rPr>
                <w:sz w:val="18"/>
                <w:szCs w:val="18"/>
              </w:rPr>
            </w:pPr>
          </w:p>
        </w:tc>
        <w:tc>
          <w:tcPr>
            <w:tcW w:w="5528" w:type="dxa"/>
          </w:tcPr>
          <w:p w:rsidR="00A249BB" w:rsidRPr="007465AA" w:rsidRDefault="00A249BB" w:rsidP="00F82689">
            <w:pPr>
              <w:rPr>
                <w:sz w:val="18"/>
                <w:szCs w:val="18"/>
              </w:rPr>
            </w:pPr>
            <w:r w:rsidRPr="007465AA">
              <w:rPr>
                <w:sz w:val="18"/>
                <w:szCs w:val="18"/>
              </w:rPr>
              <w:t xml:space="preserve">Datación y Actualización </w:t>
            </w:r>
          </w:p>
        </w:tc>
        <w:tc>
          <w:tcPr>
            <w:tcW w:w="709" w:type="dxa"/>
            <w:vAlign w:val="center"/>
          </w:tcPr>
          <w:p w:rsidR="00A249BB" w:rsidRPr="007465AA" w:rsidRDefault="00CD4BC9" w:rsidP="00F82689">
            <w:pPr>
              <w:jc w:val="center"/>
              <w:rPr>
                <w:sz w:val="18"/>
                <w:szCs w:val="18"/>
              </w:rPr>
            </w:pPr>
            <w:r>
              <w:rPr>
                <w:sz w:val="18"/>
                <w:szCs w:val="18"/>
              </w:rPr>
              <w:t>X</w:t>
            </w:r>
          </w:p>
        </w:tc>
        <w:tc>
          <w:tcPr>
            <w:tcW w:w="2777" w:type="dxa"/>
          </w:tcPr>
          <w:p w:rsidR="00A249BB" w:rsidRPr="007465AA" w:rsidRDefault="00695963" w:rsidP="00F82689">
            <w:pPr>
              <w:rPr>
                <w:sz w:val="18"/>
                <w:szCs w:val="18"/>
              </w:rPr>
            </w:pPr>
            <w:proofErr w:type="spellStart"/>
            <w:r>
              <w:rPr>
                <w:sz w:val="18"/>
                <w:szCs w:val="18"/>
              </w:rPr>
              <w:t>Si</w:t>
            </w:r>
            <w:proofErr w:type="spellEnd"/>
            <w:r w:rsidR="00150118">
              <w:rPr>
                <w:sz w:val="18"/>
                <w:szCs w:val="18"/>
              </w:rPr>
              <w:t>. La última revisión se ha efectuado en mayo de 2022</w:t>
            </w:r>
          </w:p>
        </w:tc>
      </w:tr>
      <w:tr w:rsidR="00A249BB" w:rsidRPr="007465AA" w:rsidTr="007465AA">
        <w:tc>
          <w:tcPr>
            <w:tcW w:w="7196" w:type="dxa"/>
            <w:gridSpan w:val="2"/>
          </w:tcPr>
          <w:p w:rsidR="00A249BB" w:rsidRPr="007465AA" w:rsidRDefault="00A249BB" w:rsidP="00F82689">
            <w:pPr>
              <w:jc w:val="right"/>
              <w:rPr>
                <w:b/>
                <w:sz w:val="18"/>
                <w:szCs w:val="18"/>
              </w:rPr>
            </w:pPr>
            <w:r w:rsidRPr="007465AA">
              <w:rPr>
                <w:b/>
                <w:sz w:val="18"/>
                <w:szCs w:val="18"/>
              </w:rPr>
              <w:t>Total Recomendaciones</w:t>
            </w:r>
          </w:p>
        </w:tc>
        <w:tc>
          <w:tcPr>
            <w:tcW w:w="709" w:type="dxa"/>
            <w:vAlign w:val="center"/>
          </w:tcPr>
          <w:p w:rsidR="00A249BB" w:rsidRPr="007465AA" w:rsidRDefault="00CD4BC9" w:rsidP="00F82689">
            <w:pPr>
              <w:jc w:val="center"/>
              <w:rPr>
                <w:b/>
                <w:sz w:val="18"/>
                <w:szCs w:val="18"/>
              </w:rPr>
            </w:pPr>
            <w:r>
              <w:rPr>
                <w:b/>
                <w:sz w:val="18"/>
                <w:szCs w:val="18"/>
              </w:rPr>
              <w:t>14</w:t>
            </w:r>
          </w:p>
        </w:tc>
        <w:tc>
          <w:tcPr>
            <w:tcW w:w="2777" w:type="dxa"/>
          </w:tcPr>
          <w:p w:rsidR="00A249BB" w:rsidRPr="007465AA" w:rsidRDefault="00A249BB" w:rsidP="00F82689">
            <w:pPr>
              <w:rPr>
                <w:b/>
                <w:sz w:val="18"/>
                <w:szCs w:val="18"/>
              </w:rPr>
            </w:pPr>
          </w:p>
        </w:tc>
      </w:tr>
    </w:tbl>
    <w:p w:rsidR="003A1694" w:rsidRDefault="003A1694" w:rsidP="00AC4A6F"/>
    <w:p w:rsidR="00DF56A7" w:rsidRDefault="00DF56A7" w:rsidP="00DF56A7">
      <w:pPr>
        <w:jc w:val="both"/>
      </w:pPr>
    </w:p>
    <w:p w:rsidR="00BA4354" w:rsidRDefault="00F56395" w:rsidP="00DF56A7">
      <w:pPr>
        <w:jc w:val="both"/>
      </w:pPr>
      <w:r>
        <w:t>Imprenta de Billetes, S.A,</w:t>
      </w:r>
      <w:r w:rsidR="00C52EE5">
        <w:t xml:space="preserve"> ha aplicado </w:t>
      </w:r>
      <w:r w:rsidR="00D822BB">
        <w:t xml:space="preserve">trece de </w:t>
      </w:r>
      <w:r w:rsidR="002C774B">
        <w:t>las</w:t>
      </w:r>
      <w:r>
        <w:t xml:space="preserve"> </w:t>
      </w:r>
      <w:r w:rsidR="00C52EE5" w:rsidRPr="0076567C">
        <w:t xml:space="preserve"> </w:t>
      </w:r>
      <w:r w:rsidR="00D822BB">
        <w:t xml:space="preserve">catorce </w:t>
      </w:r>
      <w:r w:rsidR="00C52EE5" w:rsidRPr="0076567C">
        <w:t>recomendaciones</w:t>
      </w:r>
      <w:r w:rsidR="00C52EE5">
        <w:t xml:space="preserve"> derivadas de la evaluac</w:t>
      </w:r>
      <w:r>
        <w:t>ión realizada en 2021</w:t>
      </w:r>
      <w:r w:rsidR="00C52EE5">
        <w:t>.</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822BB" w:rsidRPr="00F31BC3" w:rsidRDefault="00D822B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E26C9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F8268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2C774B" w:rsidRPr="008677FD" w:rsidTr="00D822B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C774B" w:rsidRPr="008677FD" w:rsidRDefault="002C774B"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22BB">
              <w:rPr>
                <w:sz w:val="16"/>
                <w:szCs w:val="16"/>
              </w:rPr>
              <w:t>100,0</w:t>
            </w:r>
          </w:p>
        </w:tc>
      </w:tr>
      <w:tr w:rsidR="002C774B" w:rsidRPr="008677FD" w:rsidTr="00D822B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C774B" w:rsidRPr="008677FD" w:rsidRDefault="002C774B"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95,0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80,0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100,0</w:t>
            </w:r>
          </w:p>
        </w:tc>
        <w:tc>
          <w:tcPr>
            <w:tcW w:w="0" w:type="auto"/>
            <w:noWrap/>
            <w:vAlign w:val="center"/>
          </w:tcPr>
          <w:p w:rsidR="002C774B" w:rsidRPr="00D822BB" w:rsidRDefault="002C774B" w:rsidP="00D822BB">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22BB">
              <w:rPr>
                <w:sz w:val="16"/>
                <w:szCs w:val="16"/>
              </w:rPr>
              <w:t>96,4</w:t>
            </w:r>
          </w:p>
        </w:tc>
      </w:tr>
      <w:tr w:rsidR="002C774B" w:rsidRPr="008677FD" w:rsidTr="00D822B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C774B" w:rsidRPr="008677FD" w:rsidRDefault="002C774B"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96,9</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87,5</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100,0</w:t>
            </w:r>
          </w:p>
        </w:tc>
        <w:tc>
          <w:tcPr>
            <w:tcW w:w="0" w:type="auto"/>
            <w:noWrap/>
            <w:vAlign w:val="center"/>
          </w:tcPr>
          <w:p w:rsidR="002C774B" w:rsidRPr="00D822BB" w:rsidRDefault="002C774B" w:rsidP="00D822B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22BB">
              <w:rPr>
                <w:b/>
                <w:i/>
                <w:sz w:val="16"/>
                <w:szCs w:val="16"/>
              </w:rPr>
              <w:t>98,2</w:t>
            </w:r>
          </w:p>
        </w:tc>
      </w:tr>
    </w:tbl>
    <w:p w:rsidR="00FA5AFD" w:rsidRDefault="00FA5AFD" w:rsidP="00F05E2C">
      <w:pPr>
        <w:pStyle w:val="Cuerpodelboletn"/>
        <w:rPr>
          <w:lang w:bidi="es-ES"/>
        </w:rPr>
      </w:pPr>
    </w:p>
    <w:p w:rsidR="00A670E9" w:rsidRDefault="004061BC" w:rsidP="00D822BB">
      <w:pPr>
        <w:pStyle w:val="Cuerpodelboletn"/>
      </w:pPr>
      <w:r>
        <w:rPr>
          <w:lang w:bidi="es-ES"/>
        </w:rPr>
        <w:t xml:space="preserve">El Índice de Cumplimiento de la Información Obligatoria (ICIO) se sitúa en el </w:t>
      </w:r>
      <w:r w:rsidR="00D822BB">
        <w:rPr>
          <w:lang w:bidi="es-ES"/>
        </w:rPr>
        <w:t>98</w:t>
      </w:r>
      <w:r w:rsidR="00EB68A3">
        <w:rPr>
          <w:lang w:bidi="es-ES"/>
        </w:rPr>
        <w:t>,2</w:t>
      </w:r>
      <w:r>
        <w:rPr>
          <w:lang w:bidi="es-ES"/>
        </w:rPr>
        <w:t>%.</w:t>
      </w:r>
      <w:r w:rsidR="00BB3652">
        <w:rPr>
          <w:lang w:bidi="es-ES"/>
        </w:rPr>
        <w:t xml:space="preserve"> Respecto de 202</w:t>
      </w:r>
      <w:r w:rsidR="00D822BB">
        <w:rPr>
          <w:lang w:bidi="es-ES"/>
        </w:rPr>
        <w:t>1</w:t>
      </w:r>
      <w:r w:rsidR="00BB3652">
        <w:rPr>
          <w:lang w:bidi="es-ES"/>
        </w:rPr>
        <w:t xml:space="preserve"> se produce un incremento de </w:t>
      </w:r>
      <w:r w:rsidR="00D822BB">
        <w:rPr>
          <w:lang w:bidi="es-ES"/>
        </w:rPr>
        <w:t>35,7</w:t>
      </w:r>
      <w:r w:rsidR="00BB3652">
        <w:rPr>
          <w:lang w:bidi="es-ES"/>
        </w:rPr>
        <w:t xml:space="preserve"> puntos porcentuales atribuible</w:t>
      </w:r>
      <w:r w:rsidR="0076567C">
        <w:rPr>
          <w:lang w:bidi="es-ES"/>
        </w:rPr>
        <w:t xml:space="preserve">s a la aplicación de </w:t>
      </w:r>
      <w:r w:rsidR="00D822BB">
        <w:rPr>
          <w:lang w:bidi="es-ES"/>
        </w:rPr>
        <w:t xml:space="preserve">la práctica totalidad de </w:t>
      </w:r>
      <w:r w:rsidR="0076567C">
        <w:rPr>
          <w:lang w:bidi="es-ES"/>
        </w:rPr>
        <w:t xml:space="preserve">las recomendaciones efectuadas en </w:t>
      </w:r>
      <w:r w:rsidR="00D822BB">
        <w:rPr>
          <w:lang w:bidi="es-ES"/>
        </w:rPr>
        <w:t>ese año.</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no puede menos que </w:t>
      </w:r>
      <w:r w:rsidRPr="00BB3652">
        <w:rPr>
          <w:b/>
        </w:rPr>
        <w:t xml:space="preserve">valorar </w:t>
      </w:r>
      <w:r w:rsidR="00D822BB">
        <w:rPr>
          <w:b/>
        </w:rPr>
        <w:t>muy posi</w:t>
      </w:r>
      <w:r w:rsidRPr="00BB3652">
        <w:rPr>
          <w:b/>
        </w:rPr>
        <w:t>tivamente</w:t>
      </w:r>
      <w:r>
        <w:t xml:space="preserve"> la evolución del cumplimiento de las obligaciones de publicidad activa por parte de </w:t>
      </w:r>
      <w:r w:rsidR="00D822BB">
        <w:t>IMBISA</w:t>
      </w:r>
      <w:r>
        <w:t xml:space="preserve">. </w:t>
      </w:r>
      <w:r w:rsidR="00D822BB">
        <w:t>S</w:t>
      </w:r>
      <w:r>
        <w:t xml:space="preserve">e ha aplicado </w:t>
      </w:r>
      <w:r w:rsidR="00D822BB">
        <w:t>el 93%</w:t>
      </w:r>
      <w:r>
        <w:t xml:space="preserve"> de las recomendaciones </w:t>
      </w:r>
      <w:r w:rsidR="000F6BCF">
        <w:t xml:space="preserve">derivadas </w:t>
      </w:r>
      <w:r>
        <w:t>de la evaluación realizada en 202</w:t>
      </w:r>
      <w:r w:rsidR="00D822BB">
        <w:t>1 y como consecuencia de esto, el ICIO se ha incrementado en un 57%.</w:t>
      </w:r>
    </w:p>
    <w:p w:rsidR="00D11BC8" w:rsidRDefault="00D822BB" w:rsidP="00BB3652">
      <w:pPr>
        <w:pStyle w:val="Cuerpodelboletn"/>
      </w:pPr>
      <w:r>
        <w:t xml:space="preserve">Para alcanzar un 100% de cumplimiento bastaría con que IMBISA publicase o enlazase a los informes de auditoría y fiscalización elaborados por el Tribunal de Cuentas o, en el caso de que no se hubiese emitido ningún informe por parte del Tribunal, que se indicase expresamente en el portal de transparencia. Por otra parte, tanto las cuentas anuales como los informes de auditoría </w:t>
      </w:r>
    </w:p>
    <w:p w:rsidR="00D11BC8" w:rsidRDefault="00D11BC8" w:rsidP="00BB3652">
      <w:pPr>
        <w:pStyle w:val="Cuerpodelboletn"/>
      </w:pPr>
      <w:r w:rsidRPr="00D11BC8">
        <w:rPr>
          <w:b/>
          <w:noProof/>
          <w:color w:val="auto"/>
          <w:sz w:val="30"/>
          <w:szCs w:val="30"/>
          <w:lang w:eastAsia="es-ES"/>
        </w:rPr>
        <w:lastRenderedPageBreak/>
        <mc:AlternateContent>
          <mc:Choice Requires="wps">
            <w:drawing>
              <wp:anchor distT="0" distB="0" distL="114300" distR="114300" simplePos="0" relativeHeight="251727872" behindDoc="0" locked="0" layoutInCell="1" allowOverlap="1" wp14:anchorId="730FCA59" wp14:editId="3FD2BAE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D11BC8">
        <w:rPr>
          <w:b/>
          <w:noProof/>
          <w:color w:val="auto"/>
          <w:sz w:val="30"/>
          <w:szCs w:val="30"/>
          <w:lang w:eastAsia="es-ES"/>
        </w:rPr>
        <mc:AlternateContent>
          <mc:Choice Requires="wps">
            <w:drawing>
              <wp:anchor distT="0" distB="0" distL="114300" distR="114300" simplePos="0" relativeHeight="251726848" behindDoc="0" locked="0" layoutInCell="1" allowOverlap="1" wp14:anchorId="52C8DC08" wp14:editId="7EADF7F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11BC8" w:rsidRPr="00F31BC3" w:rsidRDefault="00D11BC8" w:rsidP="00D11BC8">
                            <w:r w:rsidRPr="00965C69">
                              <w:rPr>
                                <w:noProof/>
                                <w:lang w:eastAsia="es-ES"/>
                              </w:rPr>
                              <w:drawing>
                                <wp:inline distT="0" distB="0" distL="0" distR="0" wp14:anchorId="67A18431" wp14:editId="3A5937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QT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wOoUEw8C&#10;AAAJBAAADgAAAAAAAAAAAAAAAAAuAgAAZHJzL2Uyb0RvYy54bWxQSwECLQAUAAYACAAAACEABAho&#10;Qd0AAAAJAQAADwAAAAAAAAAAAAAAAABpBAAAZHJzL2Rvd25yZXYueG1sUEsFBgAAAAAEAAQA8wAA&#10;AHMFAAAAAA==&#10;" fillcolor="#50866c" stroked="f">
                <v:textbox inset=",7.2pt,,7.2pt">
                  <w:txbxContent>
                    <w:p w:rsidR="00D11BC8" w:rsidRPr="00F31BC3" w:rsidRDefault="00D11BC8" w:rsidP="00D11BC8">
                      <w:r w:rsidRPr="00965C69">
                        <w:rPr>
                          <w:noProof/>
                          <w:lang w:eastAsia="es-ES"/>
                        </w:rPr>
                        <w:drawing>
                          <wp:inline distT="0" distB="0" distL="0" distR="0" wp14:anchorId="67A18431" wp14:editId="3A5937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822BB" w:rsidRDefault="00D822BB" w:rsidP="00BB3652">
      <w:pPr>
        <w:pStyle w:val="Cuerpodelboletn"/>
      </w:pPr>
      <w:r>
        <w:t>se publican en formato de imagen, por lo que no cumplen el requisito de publicación en formatos reutilizables.</w:t>
      </w:r>
    </w:p>
    <w:p w:rsidR="00D822BB" w:rsidRDefault="00D822BB" w:rsidP="004061BC">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150118">
        <w:rPr>
          <w:rFonts w:ascii="Century Gothic" w:hAnsi="Century Gothic"/>
        </w:rPr>
        <w:t>junio</w:t>
      </w:r>
      <w:r>
        <w:rPr>
          <w:rFonts w:ascii="Century Gothic" w:hAnsi="Century Gothic"/>
        </w:rPr>
        <w:t xml:space="preserve"> de 202</w:t>
      </w:r>
      <w:r w:rsidR="00D822BB">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31DE9485" wp14:editId="42F48D8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3AE569E0" wp14:editId="0E1B925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822BB" w:rsidRPr="00F31BC3" w:rsidRDefault="00D822BB" w:rsidP="002D27E4">
                            <w:r w:rsidRPr="00965C69">
                              <w:rPr>
                                <w:noProof/>
                                <w:lang w:eastAsia="es-ES"/>
                              </w:rPr>
                              <w:drawing>
                                <wp:inline distT="0" distB="0" distL="0" distR="0" wp14:anchorId="1906E0FD" wp14:editId="37F21A1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D822BB" w:rsidRPr="00F31BC3" w:rsidRDefault="00D822BB" w:rsidP="002D27E4">
                      <w:r w:rsidRPr="00965C69">
                        <w:rPr>
                          <w:noProof/>
                          <w:lang w:eastAsia="es-ES"/>
                        </w:rPr>
                        <w:drawing>
                          <wp:inline distT="0" distB="0" distL="0" distR="0" wp14:anchorId="1906E0FD" wp14:editId="37F21A1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125A2D62" wp14:editId="288BB1D0">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12314EA9" wp14:editId="08A3518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822BB" w:rsidRPr="00F31BC3" w:rsidRDefault="00D822BB" w:rsidP="002D27E4">
                                <w:r w:rsidRPr="00965C69">
                                  <w:rPr>
                                    <w:noProof/>
                                    <w:lang w:eastAsia="es-ES"/>
                                  </w:rPr>
                                  <w:drawing>
                                    <wp:inline distT="0" distB="0" distL="0" distR="0" wp14:anchorId="76EF3913" wp14:editId="526D745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BB" w:rsidRDefault="00D822BB" w:rsidP="00F31BC3">
      <w:r>
        <w:separator/>
      </w:r>
    </w:p>
  </w:endnote>
  <w:endnote w:type="continuationSeparator" w:id="0">
    <w:p w:rsidR="00D822BB" w:rsidRDefault="00D822B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BB" w:rsidRDefault="00D822BB" w:rsidP="00F31BC3">
      <w:r>
        <w:separator/>
      </w:r>
    </w:p>
  </w:footnote>
  <w:footnote w:type="continuationSeparator" w:id="0">
    <w:p w:rsidR="00D822BB" w:rsidRDefault="00D822BB"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BB" w:rsidRDefault="00D822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715A"/>
    <w:rsid w:val="00040AF4"/>
    <w:rsid w:val="00053A0E"/>
    <w:rsid w:val="0005642F"/>
    <w:rsid w:val="00072B7E"/>
    <w:rsid w:val="000775A5"/>
    <w:rsid w:val="00085C93"/>
    <w:rsid w:val="000A72E5"/>
    <w:rsid w:val="000A77F5"/>
    <w:rsid w:val="000D3907"/>
    <w:rsid w:val="000D5417"/>
    <w:rsid w:val="000E0A9E"/>
    <w:rsid w:val="000F0DA5"/>
    <w:rsid w:val="000F6BCF"/>
    <w:rsid w:val="00104DE9"/>
    <w:rsid w:val="00104E94"/>
    <w:rsid w:val="001149B1"/>
    <w:rsid w:val="00132732"/>
    <w:rsid w:val="00146C3C"/>
    <w:rsid w:val="00150118"/>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C774B"/>
    <w:rsid w:val="002D0702"/>
    <w:rsid w:val="002D0BB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95963"/>
    <w:rsid w:val="0069673B"/>
    <w:rsid w:val="006B2C2E"/>
    <w:rsid w:val="006B75D8"/>
    <w:rsid w:val="006C0CDD"/>
    <w:rsid w:val="006C6136"/>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1374"/>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77FD"/>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D4BC9"/>
    <w:rsid w:val="00CF21EB"/>
    <w:rsid w:val="00D014E1"/>
    <w:rsid w:val="00D01CA1"/>
    <w:rsid w:val="00D11BC8"/>
    <w:rsid w:val="00D1453D"/>
    <w:rsid w:val="00D4085C"/>
    <w:rsid w:val="00D41F4C"/>
    <w:rsid w:val="00D45F5C"/>
    <w:rsid w:val="00D520C8"/>
    <w:rsid w:val="00D70570"/>
    <w:rsid w:val="00D822BB"/>
    <w:rsid w:val="00D9090A"/>
    <w:rsid w:val="00D96084"/>
    <w:rsid w:val="00DA6660"/>
    <w:rsid w:val="00DC5B52"/>
    <w:rsid w:val="00DD515F"/>
    <w:rsid w:val="00DF25D7"/>
    <w:rsid w:val="00DF54AF"/>
    <w:rsid w:val="00DF555F"/>
    <w:rsid w:val="00DF56A7"/>
    <w:rsid w:val="00E023B5"/>
    <w:rsid w:val="00E17DF6"/>
    <w:rsid w:val="00E26C90"/>
    <w:rsid w:val="00E33169"/>
    <w:rsid w:val="00E51AC4"/>
    <w:rsid w:val="00E6528C"/>
    <w:rsid w:val="00E73F4D"/>
    <w:rsid w:val="00E77172"/>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16FA3"/>
    <w:rsid w:val="00F24BAF"/>
    <w:rsid w:val="00F25044"/>
    <w:rsid w:val="00F31BC3"/>
    <w:rsid w:val="00F36022"/>
    <w:rsid w:val="00F56395"/>
    <w:rsid w:val="00F614CD"/>
    <w:rsid w:val="00F7274D"/>
    <w:rsid w:val="00F82689"/>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ennegrita">
    <w:name w:val="Strong"/>
    <w:basedOn w:val="Fuentedeprrafopredeter"/>
    <w:uiPriority w:val="22"/>
    <w:qFormat/>
    <w:rsid w:val="00F826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ennegrita">
    <w:name w:val="Strong"/>
    <w:basedOn w:val="Fuentedeprrafopredeter"/>
    <w:uiPriority w:val="22"/>
    <w:qFormat/>
    <w:rsid w:val="00F82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80537099">
      <w:bodyDiv w:val="1"/>
      <w:marLeft w:val="0"/>
      <w:marRight w:val="0"/>
      <w:marTop w:val="0"/>
      <w:marBottom w:val="0"/>
      <w:divBdr>
        <w:top w:val="none" w:sz="0" w:space="0" w:color="auto"/>
        <w:left w:val="none" w:sz="0" w:space="0" w:color="auto"/>
        <w:bottom w:val="none" w:sz="0" w:space="0" w:color="auto"/>
        <w:right w:val="none" w:sz="0" w:space="0" w:color="auto"/>
      </w:divBdr>
      <w:divsChild>
        <w:div w:id="1922442919">
          <w:marLeft w:val="0"/>
          <w:marRight w:val="0"/>
          <w:marTop w:val="0"/>
          <w:marBottom w:val="0"/>
          <w:divBdr>
            <w:top w:val="none" w:sz="0" w:space="0" w:color="auto"/>
            <w:left w:val="none" w:sz="0" w:space="0" w:color="auto"/>
            <w:bottom w:val="none" w:sz="0" w:space="0" w:color="auto"/>
            <w:right w:val="none" w:sz="0" w:space="0" w:color="auto"/>
          </w:divBdr>
          <w:divsChild>
            <w:div w:id="1657372527">
              <w:marLeft w:val="0"/>
              <w:marRight w:val="0"/>
              <w:marTop w:val="0"/>
              <w:marBottom w:val="0"/>
              <w:divBdr>
                <w:top w:val="none" w:sz="0" w:space="0" w:color="auto"/>
                <w:left w:val="none" w:sz="0" w:space="0" w:color="auto"/>
                <w:bottom w:val="none" w:sz="0" w:space="0" w:color="auto"/>
                <w:right w:val="none" w:sz="0" w:space="0" w:color="auto"/>
              </w:divBdr>
              <w:divsChild>
                <w:div w:id="160586177">
                  <w:marLeft w:val="0"/>
                  <w:marRight w:val="0"/>
                  <w:marTop w:val="0"/>
                  <w:marBottom w:val="0"/>
                  <w:divBdr>
                    <w:top w:val="none" w:sz="0" w:space="0" w:color="auto"/>
                    <w:left w:val="none" w:sz="0" w:space="0" w:color="auto"/>
                    <w:bottom w:val="none" w:sz="0" w:space="0" w:color="auto"/>
                    <w:right w:val="none" w:sz="0" w:space="0" w:color="auto"/>
                  </w:divBdr>
                  <w:divsChild>
                    <w:div w:id="701059131">
                      <w:marLeft w:val="0"/>
                      <w:marRight w:val="0"/>
                      <w:marTop w:val="0"/>
                      <w:marBottom w:val="0"/>
                      <w:divBdr>
                        <w:top w:val="single" w:sz="6" w:space="0" w:color="DDDDDD"/>
                        <w:left w:val="single" w:sz="6" w:space="0" w:color="DDDDDD"/>
                        <w:bottom w:val="single" w:sz="6" w:space="0" w:color="DDDDDD"/>
                        <w:right w:val="single" w:sz="6" w:space="0" w:color="DDDDDD"/>
                      </w:divBdr>
                      <w:divsChild>
                        <w:div w:id="711732275">
                          <w:marLeft w:val="0"/>
                          <w:marRight w:val="0"/>
                          <w:marTop w:val="0"/>
                          <w:marBottom w:val="0"/>
                          <w:divBdr>
                            <w:top w:val="none" w:sz="0" w:space="0" w:color="auto"/>
                            <w:left w:val="none" w:sz="0" w:space="0" w:color="auto"/>
                            <w:bottom w:val="none" w:sz="0" w:space="0" w:color="auto"/>
                            <w:right w:val="none" w:sz="0" w:space="0" w:color="auto"/>
                          </w:divBdr>
                          <w:divsChild>
                            <w:div w:id="4688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6925F3"/>
    <w:rsid w:val="00722728"/>
    <w:rsid w:val="00787EBD"/>
    <w:rsid w:val="007C3485"/>
    <w:rsid w:val="008E118A"/>
    <w:rsid w:val="00A104A7"/>
    <w:rsid w:val="00AB484A"/>
    <w:rsid w:val="00C32372"/>
    <w:rsid w:val="00C37739"/>
    <w:rsid w:val="00C57575"/>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11DE2-5BAA-4D24-A43C-323356BB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60</TotalTime>
  <Pages>5</Pages>
  <Words>858</Words>
  <Characters>4725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YOLANDA DIEZ DOMINGUEZ</cp:lastModifiedBy>
  <cp:revision>10</cp:revision>
  <cp:lastPrinted>2008-09-26T23:14:00Z</cp:lastPrinted>
  <dcterms:created xsi:type="dcterms:W3CDTF">2022-03-31T07:50:00Z</dcterms:created>
  <dcterms:modified xsi:type="dcterms:W3CDTF">2022-09-08T11:02:00Z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