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F7A" w:rsidRDefault="00EA41E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15F7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15F7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15F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F.S.P. Instituto de Cultura Gitana </w:t>
                                </w:r>
                              </w:sdtContent>
                            </w:sdt>
                            <w:r w:rsidR="00E15F7A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E15F7A" w:rsidRDefault="00EA41E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15F7A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15F7A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E15F7A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F.S.P. Instituto de Cultura Gitana </w:t>
                          </w:r>
                        </w:sdtContent>
                      </w:sdt>
                      <w:r w:rsidR="00E15F7A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5F7A" w:rsidRDefault="00E15F7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A41E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937B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937B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937B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D10B32">
              <w:rPr>
                <w:sz w:val="18"/>
                <w:szCs w:val="18"/>
              </w:rPr>
              <w:t>: Mejorar la visibilidad del acceso al Portal de Tran</w:t>
            </w:r>
            <w:bookmarkStart w:id="0" w:name="_GoBack"/>
            <w:bookmarkEnd w:id="0"/>
            <w:r w:rsidR="00D10B32">
              <w:rPr>
                <w:sz w:val="18"/>
                <w:szCs w:val="18"/>
              </w:rPr>
              <w:t>sparencia</w:t>
            </w:r>
          </w:p>
        </w:tc>
        <w:tc>
          <w:tcPr>
            <w:tcW w:w="709" w:type="dxa"/>
            <w:vAlign w:val="center"/>
          </w:tcPr>
          <w:p w:rsidR="00A249BB" w:rsidRPr="007465AA" w:rsidRDefault="005D0221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D10B32" w:rsidP="00D10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5D0221">
              <w:rPr>
                <w:sz w:val="18"/>
                <w:szCs w:val="18"/>
              </w:rPr>
              <w:t xml:space="preserve">El enlace del portal de transparencia </w:t>
            </w:r>
            <w:r>
              <w:rPr>
                <w:sz w:val="18"/>
                <w:szCs w:val="18"/>
              </w:rPr>
              <w:t>sigue encontrándose</w:t>
            </w:r>
            <w:r w:rsidR="005D02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 final de</w:t>
            </w:r>
            <w:r w:rsidR="005D0221">
              <w:rPr>
                <w:sz w:val="18"/>
                <w:szCs w:val="18"/>
              </w:rPr>
              <w:t xml:space="preserve"> la página </w:t>
            </w:r>
            <w:r>
              <w:rPr>
                <w:sz w:val="18"/>
                <w:szCs w:val="18"/>
              </w:rPr>
              <w:t>h</w:t>
            </w:r>
            <w:r w:rsidR="005D0221">
              <w:rPr>
                <w:sz w:val="18"/>
                <w:szCs w:val="18"/>
              </w:rPr>
              <w:t>ome en un lugar poco visible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9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0937BD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937BD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D10B32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D10B32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D10B32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0937BD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10B32" w:rsidP="00D10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siguen </w:t>
            </w:r>
            <w:r w:rsidR="009F145A">
              <w:rPr>
                <w:sz w:val="18"/>
                <w:szCs w:val="18"/>
              </w:rPr>
              <w:t>publicándose</w:t>
            </w:r>
            <w:r>
              <w:rPr>
                <w:sz w:val="18"/>
                <w:szCs w:val="18"/>
              </w:rPr>
              <w:t xml:space="preserve"> sólo los estatutos y sus modificaciones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0937BD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937BD" w:rsidP="00D10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10B3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D10B32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0937BD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10B32" w:rsidP="00D10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Sigue sin publicarse información sobre la estructura de gestión.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7465AA" w:rsidRDefault="000937BD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937BD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  <w:r w:rsidR="00D10B32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0937BD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10B32" w:rsidP="00D10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siguen publicándose los correspondientes al Director y miembros del Consejo Asesor. No se publican los correspondientes a los patronos electos.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709" w:type="dxa"/>
          </w:tcPr>
          <w:p w:rsidR="001A0BD4" w:rsidRPr="007465AA" w:rsidRDefault="000937BD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937BD" w:rsidP="00E15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Si. </w:t>
            </w:r>
            <w:r w:rsidR="00E15F7A">
              <w:rPr>
                <w:sz w:val="18"/>
                <w:szCs w:val="18"/>
              </w:rPr>
              <w:t>Se publica</w:t>
            </w:r>
            <w:r>
              <w:rPr>
                <w:sz w:val="18"/>
                <w:szCs w:val="18"/>
              </w:rPr>
              <w:t xml:space="preserve"> información de contratos de 2021. </w:t>
            </w:r>
            <w:r w:rsidR="005728DA">
              <w:rPr>
                <w:sz w:val="18"/>
                <w:szCs w:val="18"/>
              </w:rPr>
              <w:t>El cuadro resumen que se publica no incluye todos los contenidos obligatorios que establece la LTAIBG para esta obligación.</w:t>
            </w:r>
          </w:p>
        </w:tc>
      </w:tr>
      <w:tr w:rsidR="005728DA" w:rsidRPr="007465AA" w:rsidTr="007465AA">
        <w:tc>
          <w:tcPr>
            <w:tcW w:w="1668" w:type="dxa"/>
            <w:vMerge/>
            <w:vAlign w:val="center"/>
          </w:tcPr>
          <w:p w:rsidR="005728DA" w:rsidRPr="007465AA" w:rsidRDefault="005728DA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728DA" w:rsidRPr="007465AA" w:rsidRDefault="005728DA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709" w:type="dxa"/>
          </w:tcPr>
          <w:p w:rsidR="005728DA" w:rsidRDefault="005728DA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728DA" w:rsidRDefault="005728DA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09" w:type="dxa"/>
          </w:tcPr>
          <w:p w:rsidR="001A0BD4" w:rsidRPr="007465AA" w:rsidRDefault="000937BD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937BD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372D56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72D56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 Menores</w:t>
            </w:r>
          </w:p>
        </w:tc>
        <w:tc>
          <w:tcPr>
            <w:tcW w:w="709" w:type="dxa"/>
          </w:tcPr>
          <w:p w:rsidR="001A0BD4" w:rsidRPr="007465AA" w:rsidRDefault="00372D56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728DA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372D56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72D56" w:rsidP="00E15F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Referido a 2021 pero no </w:t>
            </w:r>
            <w:r w:rsidR="009F145A">
              <w:rPr>
                <w:sz w:val="18"/>
                <w:szCs w:val="18"/>
              </w:rPr>
              <w:t xml:space="preserve">se </w:t>
            </w:r>
            <w:r w:rsidR="00E15F7A">
              <w:rPr>
                <w:sz w:val="18"/>
                <w:szCs w:val="18"/>
              </w:rPr>
              <w:t>informa sobre las modificaciones</w:t>
            </w:r>
            <w:r>
              <w:rPr>
                <w:sz w:val="18"/>
                <w:szCs w:val="18"/>
              </w:rPr>
              <w:t xml:space="preserve"> </w:t>
            </w:r>
            <w:r w:rsidR="00E15F7A">
              <w:rPr>
                <w:sz w:val="18"/>
                <w:szCs w:val="18"/>
              </w:rPr>
              <w:t>ni las obligaciones económica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372D56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72D56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6930F5">
              <w:rPr>
                <w:sz w:val="18"/>
                <w:szCs w:val="18"/>
              </w:rPr>
              <w:t xml:space="preserve">. Sólo aparece una referencia a la subvención concedida por el Ministerio de Cultura y Deporte sin </w:t>
            </w:r>
            <w:r w:rsidR="006930F5">
              <w:rPr>
                <w:sz w:val="18"/>
                <w:szCs w:val="18"/>
              </w:rPr>
              <w:lastRenderedPageBreak/>
              <w:t>cuantía y sin fecha. No hay referencia a las subvenciones concedidas por la Fundación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372D56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930F5" w:rsidP="000937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 ha localizado información del presupuesto 2022 en el enlace Plan de actuación y presupuesto 2022.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372D56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F145A" w:rsidP="009F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</w:t>
            </w:r>
            <w:r w:rsidR="00372D5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Se publica un informe para el año 2020</w:t>
            </w:r>
            <w:r w:rsidR="00372D56">
              <w:rPr>
                <w:sz w:val="18"/>
                <w:szCs w:val="18"/>
              </w:rPr>
              <w:t xml:space="preserve"> realizado por </w:t>
            </w:r>
            <w:r>
              <w:rPr>
                <w:sz w:val="18"/>
                <w:szCs w:val="18"/>
              </w:rPr>
              <w:t xml:space="preserve">una firma </w:t>
            </w:r>
            <w:r w:rsidR="00372D56">
              <w:rPr>
                <w:sz w:val="18"/>
                <w:szCs w:val="18"/>
              </w:rPr>
              <w:t xml:space="preserve">externa. No </w:t>
            </w:r>
            <w:r>
              <w:rPr>
                <w:sz w:val="18"/>
                <w:szCs w:val="18"/>
              </w:rPr>
              <w:t xml:space="preserve">se informa sobre los informes elaborados </w:t>
            </w:r>
            <w:r w:rsidR="006930F5">
              <w:rPr>
                <w:sz w:val="18"/>
                <w:szCs w:val="18"/>
              </w:rPr>
              <w:t>por el T. Cuentas.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372D56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72D56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937BD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372D56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72D56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9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9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9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9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937B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372D56" w:rsidP="0009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E15F7A" w:rsidP="0009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 publica la fecha de la última revisión o actualización de la información publicada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0937B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9F145A" w:rsidP="007461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777" w:type="dxa"/>
          </w:tcPr>
          <w:p w:rsidR="00A249BB" w:rsidRPr="007465AA" w:rsidRDefault="00A249BB" w:rsidP="000937B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372D56" w:rsidP="00DF56A7">
      <w:pPr>
        <w:jc w:val="both"/>
      </w:pPr>
      <w:r>
        <w:t>FSP Instituto de Cultura Gitana</w:t>
      </w:r>
      <w:r w:rsidR="00C52EE5">
        <w:t xml:space="preserve"> ha aplicado</w:t>
      </w:r>
      <w:r>
        <w:t xml:space="preserve"> </w:t>
      </w:r>
      <w:r w:rsidR="00E15F7A">
        <w:t>cinco</w:t>
      </w:r>
      <w:r w:rsidR="009F145A">
        <w:t xml:space="preserve"> – una de ellas parcialmente -</w:t>
      </w:r>
      <w:r>
        <w:t xml:space="preserve"> </w:t>
      </w:r>
      <w:r w:rsidR="00C52EE5">
        <w:t xml:space="preserve"> </w:t>
      </w:r>
      <w:r w:rsidR="00C52EE5" w:rsidRPr="0076567C">
        <w:t xml:space="preserve">de las </w:t>
      </w:r>
      <w:r w:rsidR="009F145A">
        <w:t>veinte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 w:rsidR="00170DD7"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5F7A" w:rsidRPr="00F31BC3" w:rsidRDefault="00E15F7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A41E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093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9F145A" w:rsidRPr="008677FD" w:rsidTr="009F1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F145A" w:rsidRPr="008677FD" w:rsidRDefault="009F145A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62,2</w:t>
            </w:r>
          </w:p>
        </w:tc>
      </w:tr>
      <w:tr w:rsidR="009F145A" w:rsidRPr="008677FD" w:rsidTr="009F145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F145A" w:rsidRPr="008677FD" w:rsidRDefault="009F145A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F145A" w:rsidRPr="009F145A" w:rsidRDefault="00C50CCD" w:rsidP="009F1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C50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52,</w:t>
            </w:r>
            <w:r w:rsidR="00C50CCD">
              <w:rPr>
                <w:sz w:val="16"/>
                <w:szCs w:val="16"/>
              </w:rPr>
              <w:t>3</w:t>
            </w:r>
          </w:p>
        </w:tc>
      </w:tr>
      <w:tr w:rsidR="009F145A" w:rsidRPr="008677FD" w:rsidTr="009F1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F145A" w:rsidRPr="008677FD" w:rsidRDefault="009F145A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F145A" w:rsidRPr="009F145A" w:rsidRDefault="00C50CCD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45,2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45A">
              <w:rPr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45A">
              <w:rPr>
                <w:b/>
                <w:i/>
                <w:sz w:val="16"/>
                <w:szCs w:val="16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45A">
              <w:rPr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45A">
              <w:rPr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45A">
              <w:rPr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9F1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45A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9F145A" w:rsidRPr="009F145A" w:rsidRDefault="009F145A" w:rsidP="00C50C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45A">
              <w:rPr>
                <w:b/>
                <w:i/>
                <w:sz w:val="16"/>
                <w:szCs w:val="16"/>
              </w:rPr>
              <w:t>56,</w:t>
            </w:r>
            <w:r w:rsidR="00C50CCD">
              <w:rPr>
                <w:b/>
                <w:i/>
                <w:sz w:val="16"/>
                <w:szCs w:val="16"/>
              </w:rPr>
              <w:t>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C50CCD">
      <w:pPr>
        <w:pStyle w:val="Cuerpodelboletn"/>
      </w:pPr>
      <w:r>
        <w:rPr>
          <w:lang w:bidi="es-ES"/>
        </w:rPr>
        <w:lastRenderedPageBreak/>
        <w:t xml:space="preserve">El Índice de Cumplimiento de la Información Obligatoria (ICIO) se sitúa en el </w:t>
      </w:r>
      <w:r w:rsidR="00C50CCD">
        <w:rPr>
          <w:lang w:bidi="es-ES"/>
        </w:rPr>
        <w:t>56,4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C50CCD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C50CCD">
        <w:rPr>
          <w:lang w:bidi="es-ES"/>
        </w:rPr>
        <w:t xml:space="preserve">23,9 </w:t>
      </w:r>
      <w:r w:rsidR="00BB3652">
        <w:rPr>
          <w:lang w:bidi="es-ES"/>
        </w:rPr>
        <w:t>puntos porcentuales atribuible</w:t>
      </w:r>
      <w:r w:rsidR="0076567C">
        <w:rPr>
          <w:lang w:bidi="es-ES"/>
        </w:rPr>
        <w:t xml:space="preserve">s a la aplicación de </w:t>
      </w:r>
      <w:r w:rsidR="00C50CCD">
        <w:rPr>
          <w:lang w:bidi="es-ES"/>
        </w:rPr>
        <w:t xml:space="preserve">algunas </w:t>
      </w:r>
      <w:r w:rsidR="0076567C">
        <w:rPr>
          <w:lang w:bidi="es-ES"/>
        </w:rPr>
        <w:t xml:space="preserve">de las recomendaciones efectuadas en </w:t>
      </w:r>
      <w:r w:rsidR="00C50CCD">
        <w:rPr>
          <w:lang w:bidi="es-ES"/>
        </w:rPr>
        <w:t xml:space="preserve">ese año.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C50CCD" w:rsidP="00A670E9">
      <w:pPr>
        <w:pStyle w:val="Cuerpodelboletn"/>
      </w:pPr>
      <w:r>
        <w:t xml:space="preserve">Aunque este </w:t>
      </w:r>
      <w:r w:rsidR="00BB3652">
        <w:t xml:space="preserve">CTBG </w:t>
      </w:r>
      <w:r>
        <w:t xml:space="preserve">valora positivamente </w:t>
      </w:r>
      <w:r w:rsidR="00BB3652">
        <w:t xml:space="preserve"> la evolución del cumplimiento de las obligaciones de publicidad activa por parte de</w:t>
      </w:r>
      <w:r>
        <w:t xml:space="preserve"> la Fundación Instituto de Cultura Gitana dado que el Índice de Cumplimiento de la Información Obligatoria se ha incrementado en más del 75%, no es menos cierto que todavía existe un amplio margen de mejora</w:t>
      </w:r>
      <w:r w:rsidR="00BB3652">
        <w:t xml:space="preserve">. </w:t>
      </w:r>
      <w:r w:rsidR="0076567C">
        <w:t>Sólo</w:t>
      </w:r>
      <w:r w:rsidR="00BB3652">
        <w:t xml:space="preserve"> se ha aplicado </w:t>
      </w:r>
      <w:r w:rsidR="0076567C">
        <w:t>una</w:t>
      </w:r>
      <w:r w:rsidR="00BB3652">
        <w:t xml:space="preserve"> </w:t>
      </w:r>
      <w:r w:rsidR="00E15F7A">
        <w:t>cuarta</w:t>
      </w:r>
      <w:r>
        <w:t xml:space="preserve"> parte </w:t>
      </w:r>
      <w:r w:rsidR="00BB3652">
        <w:t>de las recomendaciones efectuadas como consecuencia de la evaluación realizada en 202</w:t>
      </w:r>
      <w:r>
        <w:t>1 y c</w:t>
      </w:r>
      <w:r w:rsidR="00BB3652">
        <w:t xml:space="preserve">omo consecuencia de esto persisten </w:t>
      </w:r>
      <w:r>
        <w:t xml:space="preserve">muchos de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5F7A" w:rsidRPr="00F31BC3" w:rsidRDefault="00E15F7A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</w:p>
    <w:p w:rsidR="00C50CCD" w:rsidRDefault="00C50CCD" w:rsidP="00C50CCD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C50CCD" w:rsidRDefault="00C50CCD" w:rsidP="00C50CCD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parte la mayor parte de la información del bloque Institucional y Organizativa sigue localizándose al margen del Portal de Transparencia. No se ha aplicado la recomendación de enlazar desde el Portal a esta información. </w:t>
      </w:r>
    </w:p>
    <w:p w:rsidR="00E15F7A" w:rsidRDefault="00E15F7A" w:rsidP="00C50CCD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15F7A" w:rsidRDefault="00E15F7A" w:rsidP="00C50CCD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la misma manera el enlace al Portal de Transparencia no se ha trasladado a una parte más visible de la web institucional de la Fundación.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C50CCD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C50CCD" w:rsidRDefault="00C50CCD" w:rsidP="00C50CC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la normativa de carácter general aplicable a la Fundación</w:t>
      </w:r>
    </w:p>
    <w:p w:rsidR="00A670E9" w:rsidRDefault="00C50CCD" w:rsidP="00C50CC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Registro de Actividades de Tratamiento</w:t>
      </w:r>
      <w:r w:rsidR="00A670E9">
        <w:rPr>
          <w:rFonts w:ascii="Century Gothic" w:hAnsi="Century Gothic"/>
        </w:rPr>
        <w:t xml:space="preserve">.  </w:t>
      </w:r>
    </w:p>
    <w:p w:rsidR="00C50CCD" w:rsidRDefault="00C50CCD" w:rsidP="00C50CC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información sobre la estructura de gestión.</w:t>
      </w:r>
    </w:p>
    <w:p w:rsidR="00C50CCD" w:rsidRDefault="00C50CCD" w:rsidP="00C50CC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completarse la información sobre el perfil y trayectoria profesional al no publicarse la relativa a los patronos electivos.</w:t>
      </w:r>
    </w:p>
    <w:p w:rsidR="00C50CCD" w:rsidRDefault="00C50CCD" w:rsidP="00C50CCD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C50CCD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C50CCD">
        <w:rPr>
          <w:rFonts w:ascii="Century Gothic" w:hAnsi="Century Gothic"/>
        </w:rPr>
        <w:t>:</w:t>
      </w:r>
    </w:p>
    <w:p w:rsidR="000E1F21" w:rsidRDefault="000E1F21" w:rsidP="000E1F21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E1F21" w:rsidRDefault="00C50CCD" w:rsidP="00C50CC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información de los contratos está incompleta ya que no incluye ítems obligatorios según la LTAIBG como </w:t>
      </w:r>
      <w:r w:rsidR="000E1F21">
        <w:rPr>
          <w:rFonts w:ascii="Century Gothic" w:hAnsi="Century Gothic"/>
        </w:rPr>
        <w:t>el presupuesto de licitación, los instrumentos de publicidad –si proceden -, el número de licitadores y la empresa adjudicataria.</w:t>
      </w:r>
      <w:r w:rsidR="00961462">
        <w:rPr>
          <w:rFonts w:ascii="Century Gothic" w:hAnsi="Century Gothic"/>
        </w:rPr>
        <w:t xml:space="preserve"> </w:t>
      </w:r>
    </w:p>
    <w:p w:rsidR="00961462" w:rsidRDefault="00961462" w:rsidP="00C50CC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acceso al Perfil del Contratante de la Fundación redirige a la página inicial de la Plataforma de Contratación del Sector Público, lo que constituye una barrera a la accesibilidad a la información contractual, añadida a las que </w:t>
      </w:r>
      <w:r>
        <w:rPr>
          <w:rFonts w:ascii="Century Gothic" w:hAnsi="Century Gothic"/>
        </w:rPr>
        <w:lastRenderedPageBreak/>
        <w:t xml:space="preserve">implica el manejo de una herramienta como esta para personas no familiarizadas con ella. </w:t>
      </w:r>
    </w:p>
    <w:p w:rsidR="000E1F21" w:rsidRDefault="000E1F21" w:rsidP="00C50CC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C52EE5">
        <w:rPr>
          <w:rFonts w:ascii="Century Gothic" w:hAnsi="Century Gothic"/>
        </w:rPr>
        <w:t xml:space="preserve">o se publica información sobre </w:t>
      </w:r>
      <w:r>
        <w:rPr>
          <w:rFonts w:ascii="Century Gothic" w:hAnsi="Century Gothic"/>
        </w:rPr>
        <w:t xml:space="preserve">las modificaciones de </w:t>
      </w:r>
      <w:r w:rsidR="00C52EE5">
        <w:rPr>
          <w:rFonts w:ascii="Century Gothic" w:hAnsi="Century Gothic"/>
        </w:rPr>
        <w:t xml:space="preserve">los contratos adjudicados </w:t>
      </w:r>
    </w:p>
    <w:p w:rsidR="000E1F21" w:rsidRDefault="000E1F21" w:rsidP="00C50CC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información sobre los desistimientos o renuncias a contratos adjudicados.</w:t>
      </w:r>
    </w:p>
    <w:p w:rsidR="000E1F21" w:rsidRDefault="000E1F21" w:rsidP="00C50CC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información estadística sobre el peso de los contratos realizados según procedimiento de licitación sobre el total del gasto en contratación.  </w:t>
      </w:r>
    </w:p>
    <w:p w:rsidR="000E1F21" w:rsidRDefault="000E1F21" w:rsidP="002F4D90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0E1F21">
        <w:rPr>
          <w:rFonts w:ascii="Century Gothic" w:hAnsi="Century Gothic"/>
        </w:rPr>
        <w:t xml:space="preserve">La información sobre convenios no incluye las obligaciones económicas derivadas del convenio ni la existencia de posibles modificaciones de convenios suscritos. </w:t>
      </w:r>
    </w:p>
    <w:p w:rsidR="00C52EE5" w:rsidRDefault="000E1F21" w:rsidP="002F4D90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0E1F21">
        <w:rPr>
          <w:rFonts w:ascii="Century Gothic" w:hAnsi="Century Gothic"/>
        </w:rPr>
        <w:t>No se informa so</w:t>
      </w:r>
      <w:r>
        <w:rPr>
          <w:rFonts w:ascii="Century Gothic" w:hAnsi="Century Gothic"/>
        </w:rPr>
        <w:t>bre las subvenciones concedidas.</w:t>
      </w:r>
      <w:r w:rsidR="00961462">
        <w:rPr>
          <w:rFonts w:ascii="Century Gothic" w:hAnsi="Century Gothic"/>
        </w:rPr>
        <w:t xml:space="preserve"> La información sobre las subvenciones percibidas por la Fundación, no está completa ya que no se publica su importe y finalidad.</w:t>
      </w:r>
    </w:p>
    <w:p w:rsidR="000E1F21" w:rsidRDefault="000E1F21" w:rsidP="002F4D90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publica el informe de auditoría realizado por una firma externa correspondiente a 2020</w:t>
      </w:r>
      <w:r w:rsidR="0096146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no existe referencia a los informes de auditoría y fiscalización elaborados por el Tribunal de Cuentas.</w:t>
      </w:r>
    </w:p>
    <w:p w:rsidR="000E1F21" w:rsidRDefault="000E1F21" w:rsidP="002F4D90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información sobre las indemnizaciones percibidas por los máximos responsables de la Fundación </w:t>
      </w:r>
      <w:r w:rsidR="00647AFF">
        <w:rPr>
          <w:rFonts w:ascii="Century Gothic" w:hAnsi="Century Gothic"/>
        </w:rPr>
        <w:t xml:space="preserve">con ocasión del cese. </w:t>
      </w:r>
    </w:p>
    <w:p w:rsidR="00647AFF" w:rsidRDefault="00647AFF" w:rsidP="002F4D90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informa sobre las autorizaciones de compatibilidad concedidas a empleados de la Fundación.</w:t>
      </w:r>
    </w:p>
    <w:p w:rsidR="00647AFF" w:rsidRPr="000E1F21" w:rsidRDefault="00647AFF" w:rsidP="00647AFF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647AFF" w:rsidRDefault="00647AFF" w:rsidP="00647AFF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647AFF" w:rsidRDefault="00647AFF" w:rsidP="00647AFF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61462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647AFF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5F7A" w:rsidRPr="00F31BC3" w:rsidRDefault="00E15F7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15F7A" w:rsidRPr="00F31BC3" w:rsidRDefault="00E15F7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7A" w:rsidRDefault="00E15F7A" w:rsidP="00F31BC3">
      <w:r>
        <w:separator/>
      </w:r>
    </w:p>
  </w:endnote>
  <w:endnote w:type="continuationSeparator" w:id="0">
    <w:p w:rsidR="00E15F7A" w:rsidRDefault="00E15F7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7A" w:rsidRDefault="00E15F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7A" w:rsidRDefault="00E15F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7A" w:rsidRDefault="00E15F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7A" w:rsidRDefault="00E15F7A" w:rsidP="00F31BC3">
      <w:r>
        <w:separator/>
      </w:r>
    </w:p>
  </w:footnote>
  <w:footnote w:type="continuationSeparator" w:id="0">
    <w:p w:rsidR="00E15F7A" w:rsidRDefault="00E15F7A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7A" w:rsidRDefault="00E15F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7A" w:rsidRDefault="00E15F7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7A" w:rsidRDefault="00E15F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35D2"/>
    <w:rsid w:val="000937BD"/>
    <w:rsid w:val="000A72E5"/>
    <w:rsid w:val="000A77F5"/>
    <w:rsid w:val="000D3907"/>
    <w:rsid w:val="000D5417"/>
    <w:rsid w:val="000E0A9E"/>
    <w:rsid w:val="000E1F21"/>
    <w:rsid w:val="000F0DA5"/>
    <w:rsid w:val="00104DE9"/>
    <w:rsid w:val="00104E94"/>
    <w:rsid w:val="001149B1"/>
    <w:rsid w:val="00132732"/>
    <w:rsid w:val="00146C3C"/>
    <w:rsid w:val="00164876"/>
    <w:rsid w:val="00170DD7"/>
    <w:rsid w:val="001763F8"/>
    <w:rsid w:val="00183301"/>
    <w:rsid w:val="00187CDD"/>
    <w:rsid w:val="0019448F"/>
    <w:rsid w:val="00196703"/>
    <w:rsid w:val="001A0BD4"/>
    <w:rsid w:val="001A0DA8"/>
    <w:rsid w:val="001A5305"/>
    <w:rsid w:val="001B605E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2F4D90"/>
    <w:rsid w:val="0031769F"/>
    <w:rsid w:val="00337C82"/>
    <w:rsid w:val="00347477"/>
    <w:rsid w:val="00347877"/>
    <w:rsid w:val="00352994"/>
    <w:rsid w:val="00355DC0"/>
    <w:rsid w:val="00372D56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728DA"/>
    <w:rsid w:val="00582A8C"/>
    <w:rsid w:val="005B1544"/>
    <w:rsid w:val="005C4778"/>
    <w:rsid w:val="005D0221"/>
    <w:rsid w:val="005E2505"/>
    <w:rsid w:val="005E6704"/>
    <w:rsid w:val="005F580F"/>
    <w:rsid w:val="00603DFC"/>
    <w:rsid w:val="00607613"/>
    <w:rsid w:val="006253FA"/>
    <w:rsid w:val="006266A5"/>
    <w:rsid w:val="00633EAA"/>
    <w:rsid w:val="00647AFF"/>
    <w:rsid w:val="006930F5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17A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CA4"/>
    <w:rsid w:val="00865E5A"/>
    <w:rsid w:val="008677FD"/>
    <w:rsid w:val="00882A5B"/>
    <w:rsid w:val="00891E6F"/>
    <w:rsid w:val="00894358"/>
    <w:rsid w:val="0089455A"/>
    <w:rsid w:val="00897D04"/>
    <w:rsid w:val="008A5AAE"/>
    <w:rsid w:val="008C6074"/>
    <w:rsid w:val="008D6E75"/>
    <w:rsid w:val="008F2EF6"/>
    <w:rsid w:val="00902A71"/>
    <w:rsid w:val="009039FD"/>
    <w:rsid w:val="00903FE0"/>
    <w:rsid w:val="00912DB4"/>
    <w:rsid w:val="00947271"/>
    <w:rsid w:val="00961462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145A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1123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CC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0B32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07AF"/>
    <w:rsid w:val="00DD515F"/>
    <w:rsid w:val="00DF25D7"/>
    <w:rsid w:val="00DF54AF"/>
    <w:rsid w:val="00DF555F"/>
    <w:rsid w:val="00DF56A7"/>
    <w:rsid w:val="00E023B5"/>
    <w:rsid w:val="00E15F7A"/>
    <w:rsid w:val="00E17DF6"/>
    <w:rsid w:val="00E33169"/>
    <w:rsid w:val="00E51AC4"/>
    <w:rsid w:val="00E6528C"/>
    <w:rsid w:val="00E73F4D"/>
    <w:rsid w:val="00E83650"/>
    <w:rsid w:val="00EA41E6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8F4F2A"/>
    <w:rsid w:val="00A104A7"/>
    <w:rsid w:val="00AB484A"/>
    <w:rsid w:val="00AC163B"/>
    <w:rsid w:val="00C32372"/>
    <w:rsid w:val="00DA008C"/>
    <w:rsid w:val="00DE3DE6"/>
    <w:rsid w:val="00E01BF2"/>
    <w:rsid w:val="00EA0738"/>
    <w:rsid w:val="00EB2177"/>
    <w:rsid w:val="00EF5732"/>
    <w:rsid w:val="00F0267E"/>
    <w:rsid w:val="00FA040C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34A99-E15A-4123-88EE-461163F6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69</TotalTime>
  <Pages>6</Pages>
  <Words>1388</Words>
  <Characters>7635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7</cp:revision>
  <cp:lastPrinted>2022-02-25T08:35:00Z</cp:lastPrinted>
  <dcterms:created xsi:type="dcterms:W3CDTF">2022-02-25T08:51:00Z</dcterms:created>
  <dcterms:modified xsi:type="dcterms:W3CDTF">2022-09-08T11:05:00Z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