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0C3" w:rsidRDefault="003E195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7800C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7800C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7800C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MUFACE</w:t>
                                </w:r>
                              </w:sdtContent>
                            </w:sdt>
                            <w:r w:rsidR="007800C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7800C3" w:rsidRDefault="003E195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7800C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7800C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7800C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MUFACE</w:t>
                          </w:r>
                        </w:sdtContent>
                      </w:sdt>
                      <w:r w:rsidR="007800C3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800C3" w:rsidRDefault="007800C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F5D0C" w:rsidRDefault="003F5D0C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E195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151E82" w:rsidTr="007465AA">
        <w:tc>
          <w:tcPr>
            <w:tcW w:w="1668" w:type="dxa"/>
            <w:shd w:val="clear" w:color="auto" w:fill="008A3E"/>
          </w:tcPr>
          <w:p w:rsidR="00A249BB" w:rsidRPr="00151E82" w:rsidRDefault="00A249BB" w:rsidP="0006188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51E82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151E82" w:rsidRDefault="00A249BB" w:rsidP="0006188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51E82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151E82" w:rsidRDefault="00A249BB" w:rsidP="0006188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51E82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151E82" w:rsidTr="007465AA">
        <w:tc>
          <w:tcPr>
            <w:tcW w:w="1668" w:type="dxa"/>
            <w:vMerge w:val="restart"/>
            <w:vAlign w:val="center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151E82" w:rsidRDefault="00540929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151E82" w:rsidRDefault="00A249BB" w:rsidP="0006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</w:tr>
      <w:tr w:rsidR="00A249BB" w:rsidRPr="00151E82" w:rsidTr="007465AA">
        <w:tc>
          <w:tcPr>
            <w:tcW w:w="1668" w:type="dxa"/>
            <w:vMerge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Activación de los enlaces contenidos en el Portal de Transparencia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249BB" w:rsidRPr="00151E82" w:rsidRDefault="00A249BB" w:rsidP="001B6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</w:tr>
      <w:tr w:rsidR="00A249BB" w:rsidRPr="00151E82" w:rsidTr="007465AA">
        <w:tc>
          <w:tcPr>
            <w:tcW w:w="1668" w:type="dxa"/>
            <w:vMerge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151E82" w:rsidRDefault="00A249BB" w:rsidP="001B6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</w:tr>
      <w:tr w:rsidR="00A249BB" w:rsidRPr="00151E82" w:rsidTr="007465AA">
        <w:tc>
          <w:tcPr>
            <w:tcW w:w="1668" w:type="dxa"/>
            <w:vMerge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151E82" w:rsidRDefault="00A249BB" w:rsidP="001B6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</w:tr>
      <w:tr w:rsidR="007800C3" w:rsidRPr="00151E82" w:rsidTr="007465AA">
        <w:tc>
          <w:tcPr>
            <w:tcW w:w="1668" w:type="dxa"/>
            <w:vMerge w:val="restart"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Directrices, instrucciones, acuerdos, circulares o respuestas a consultas</w:t>
            </w:r>
            <w:r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B92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151E8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En el apartado Información de Relevancia Jurídica, se publica la normativa de carácter general aplicable a MUFACE, varios convenios, una encomienda de gestión y otras informaciones, ninguna de ellas relacionada con el contenido material de esta obligación.  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B9296C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 xml:space="preserve">No. 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B9296C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 xml:space="preserve">Si. En el </w:t>
            </w:r>
            <w:r>
              <w:rPr>
                <w:sz w:val="18"/>
                <w:szCs w:val="18"/>
              </w:rPr>
              <w:t>acceso</w:t>
            </w:r>
            <w:r w:rsidRPr="00151E82">
              <w:rPr>
                <w:sz w:val="18"/>
                <w:szCs w:val="18"/>
              </w:rPr>
              <w:t xml:space="preserve"> Relevancia Jurídica publican los convenios que tienen en vigor así como sus prórrogas. Años 2021 y 2022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B92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51E82">
              <w:rPr>
                <w:sz w:val="18"/>
                <w:szCs w:val="18"/>
              </w:rPr>
              <w:t xml:space="preserve">En el </w:t>
            </w:r>
            <w:r>
              <w:rPr>
                <w:sz w:val="18"/>
                <w:szCs w:val="18"/>
              </w:rPr>
              <w:t>acceso</w:t>
            </w:r>
            <w:r w:rsidRPr="00151E82">
              <w:rPr>
                <w:sz w:val="18"/>
                <w:szCs w:val="18"/>
              </w:rPr>
              <w:t xml:space="preserve"> anterior </w:t>
            </w:r>
            <w:r>
              <w:rPr>
                <w:sz w:val="18"/>
                <w:szCs w:val="18"/>
              </w:rPr>
              <w:t xml:space="preserve">se </w:t>
            </w:r>
            <w:r w:rsidRPr="00151E82">
              <w:rPr>
                <w:sz w:val="18"/>
                <w:szCs w:val="18"/>
              </w:rPr>
              <w:t>publica la</w:t>
            </w:r>
            <w:r>
              <w:rPr>
                <w:sz w:val="18"/>
                <w:szCs w:val="18"/>
              </w:rPr>
              <w:t xml:space="preserve"> prórroga de la </w:t>
            </w:r>
            <w:r w:rsidRPr="00151E82">
              <w:rPr>
                <w:sz w:val="18"/>
                <w:szCs w:val="18"/>
              </w:rPr>
              <w:t xml:space="preserve"> encomiendas de gestión </w:t>
            </w:r>
            <w:r>
              <w:rPr>
                <w:sz w:val="18"/>
                <w:szCs w:val="18"/>
              </w:rPr>
              <w:t xml:space="preserve"> al </w:t>
            </w:r>
            <w:r w:rsidRPr="00151E82">
              <w:rPr>
                <w:sz w:val="18"/>
                <w:szCs w:val="18"/>
              </w:rPr>
              <w:t xml:space="preserve">INSS. 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Subcontrataciones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No aparece info</w:t>
            </w:r>
            <w:r>
              <w:rPr>
                <w:sz w:val="18"/>
                <w:szCs w:val="18"/>
              </w:rPr>
              <w:t>rmación sobre subcontrataciones derivadas de encomiendas o encargos a medios propios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Subvenciones concedidas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F12F83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 xml:space="preserve">No. En el </w:t>
            </w:r>
            <w:r>
              <w:rPr>
                <w:sz w:val="18"/>
                <w:szCs w:val="18"/>
              </w:rPr>
              <w:t>acceso</w:t>
            </w:r>
            <w:r w:rsidRPr="00151E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información de relevancia jurídica aparece la convocatoria del premio de pintura pero no se informa sobre los beneficiarios ni sobre su cuantía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B92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ha considerado cumplida </w:t>
            </w:r>
            <w:r>
              <w:rPr>
                <w:sz w:val="18"/>
                <w:szCs w:val="18"/>
              </w:rPr>
              <w:lastRenderedPageBreak/>
              <w:t>la recomendación dado que MUFACE publica una descripción de las principales partidas de ingresos y gastos</w:t>
            </w:r>
            <w:r w:rsidRPr="00151E82">
              <w:rPr>
                <w:sz w:val="18"/>
                <w:szCs w:val="18"/>
              </w:rPr>
              <w:t xml:space="preserve">. 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7800C3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No.</w:t>
            </w:r>
            <w:r>
              <w:rPr>
                <w:sz w:val="18"/>
                <w:szCs w:val="18"/>
              </w:rPr>
              <w:t xml:space="preserve"> </w:t>
            </w:r>
            <w:r w:rsidRPr="00151E82">
              <w:rPr>
                <w:sz w:val="18"/>
                <w:szCs w:val="18"/>
              </w:rPr>
              <w:t xml:space="preserve">Aunque en el apartado de cuentas anuales </w:t>
            </w:r>
            <w:r>
              <w:rPr>
                <w:sz w:val="18"/>
                <w:szCs w:val="18"/>
              </w:rPr>
              <w:t xml:space="preserve">se </w:t>
            </w:r>
            <w:r w:rsidRPr="00151E82">
              <w:rPr>
                <w:sz w:val="18"/>
                <w:szCs w:val="18"/>
              </w:rPr>
              <w:t xml:space="preserve">indica que recogen los informes del T. Cuentas éstos no </w:t>
            </w:r>
            <w:r>
              <w:rPr>
                <w:sz w:val="18"/>
                <w:szCs w:val="18"/>
              </w:rPr>
              <w:t>se publican ni se enlaza a ellos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Retribuciones de los máximos responsables</w:t>
            </w:r>
            <w:r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F12F83">
            <w:pPr>
              <w:rPr>
                <w:sz w:val="18"/>
                <w:szCs w:val="18"/>
              </w:rPr>
            </w:pPr>
            <w:proofErr w:type="spellStart"/>
            <w:r w:rsidRPr="00151E82"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, pero la información se refiere a</w:t>
            </w:r>
            <w:r w:rsidRPr="00151E82">
              <w:rPr>
                <w:sz w:val="18"/>
                <w:szCs w:val="18"/>
              </w:rPr>
              <w:t xml:space="preserve"> 2020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proofErr w:type="spellStart"/>
            <w:r w:rsidRPr="00151E82">
              <w:rPr>
                <w:sz w:val="18"/>
                <w:szCs w:val="18"/>
              </w:rPr>
              <w:t>Si</w:t>
            </w:r>
            <w:proofErr w:type="spellEnd"/>
            <w:r w:rsidRPr="00151E82">
              <w:rPr>
                <w:sz w:val="18"/>
                <w:szCs w:val="18"/>
              </w:rPr>
              <w:t>. Señalan que no hay información disponible en este momento. No hay datación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151E82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1B6B72">
            <w:pPr>
              <w:rPr>
                <w:sz w:val="18"/>
                <w:szCs w:val="18"/>
              </w:rPr>
            </w:pPr>
            <w:proofErr w:type="spellStart"/>
            <w:r w:rsidRPr="007800C3">
              <w:rPr>
                <w:sz w:val="18"/>
                <w:szCs w:val="18"/>
              </w:rPr>
              <w:t>Si</w:t>
            </w:r>
            <w:proofErr w:type="spellEnd"/>
            <w:r w:rsidRPr="007800C3">
              <w:rPr>
                <w:sz w:val="18"/>
                <w:szCs w:val="18"/>
              </w:rPr>
              <w:t>. Señalan que no hay información disponible en este momento. No hay datación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  <w:r>
              <w:rPr>
                <w:sz w:val="18"/>
                <w:szCs w:val="18"/>
              </w:rPr>
              <w:t>: Completar la información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La información se localiza en los anuarios correspondientes a los distintos ejercicios. </w:t>
            </w:r>
          </w:p>
        </w:tc>
      </w:tr>
      <w:tr w:rsidR="007800C3" w:rsidRPr="00151E82" w:rsidTr="007465AA">
        <w:tc>
          <w:tcPr>
            <w:tcW w:w="1668" w:type="dxa"/>
            <w:vMerge/>
            <w:vAlign w:val="center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800C3" w:rsidRPr="00151E82" w:rsidRDefault="007800C3" w:rsidP="00061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Información Patrimonial</w:t>
            </w:r>
          </w:p>
        </w:tc>
        <w:tc>
          <w:tcPr>
            <w:tcW w:w="709" w:type="dxa"/>
          </w:tcPr>
          <w:p w:rsidR="007800C3" w:rsidRPr="00151E82" w:rsidRDefault="007800C3" w:rsidP="001B6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800C3" w:rsidRDefault="007800C3" w:rsidP="00061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Se publican subastas de bienes patrimoniales pero no la relación de bienes propiedad de la Mutualidad.</w:t>
            </w:r>
          </w:p>
        </w:tc>
      </w:tr>
      <w:tr w:rsidR="00A249BB" w:rsidRPr="00151E82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151E82" w:rsidRDefault="00A249BB" w:rsidP="001B6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</w:tr>
      <w:tr w:rsidR="00A249BB" w:rsidRPr="00151E82" w:rsidTr="007465AA">
        <w:tc>
          <w:tcPr>
            <w:tcW w:w="1668" w:type="dxa"/>
            <w:vMerge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151E82" w:rsidRDefault="00A249BB" w:rsidP="001B6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</w:tr>
      <w:tr w:rsidR="00A249BB" w:rsidRPr="00151E82" w:rsidTr="007465AA">
        <w:tc>
          <w:tcPr>
            <w:tcW w:w="1668" w:type="dxa"/>
            <w:vMerge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151E82" w:rsidRDefault="00A249BB" w:rsidP="0006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</w:tr>
      <w:tr w:rsidR="00A249BB" w:rsidRPr="00151E82" w:rsidTr="007465AA">
        <w:tc>
          <w:tcPr>
            <w:tcW w:w="1668" w:type="dxa"/>
            <w:vMerge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151E82" w:rsidRDefault="00A249BB" w:rsidP="0006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</w:tr>
      <w:tr w:rsidR="00A249BB" w:rsidRPr="00151E82" w:rsidTr="007465AA">
        <w:tc>
          <w:tcPr>
            <w:tcW w:w="1668" w:type="dxa"/>
            <w:vMerge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151E82" w:rsidRDefault="00A249BB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151E82" w:rsidRDefault="00FB3E8C" w:rsidP="00061888">
            <w:pPr>
              <w:jc w:val="center"/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151E82" w:rsidRDefault="00FB3E8C" w:rsidP="00061888">
            <w:pPr>
              <w:rPr>
                <w:sz w:val="18"/>
                <w:szCs w:val="18"/>
              </w:rPr>
            </w:pPr>
            <w:r w:rsidRPr="00151E82">
              <w:rPr>
                <w:sz w:val="18"/>
                <w:szCs w:val="18"/>
              </w:rPr>
              <w:t>No hay actualización</w:t>
            </w:r>
          </w:p>
        </w:tc>
      </w:tr>
      <w:tr w:rsidR="00A249BB" w:rsidRPr="00151E82" w:rsidTr="007465AA">
        <w:tc>
          <w:tcPr>
            <w:tcW w:w="7196" w:type="dxa"/>
            <w:gridSpan w:val="2"/>
          </w:tcPr>
          <w:p w:rsidR="00A249BB" w:rsidRPr="00151E82" w:rsidRDefault="00A249BB" w:rsidP="00061888">
            <w:pPr>
              <w:jc w:val="right"/>
              <w:rPr>
                <w:b/>
                <w:sz w:val="18"/>
                <w:szCs w:val="18"/>
              </w:rPr>
            </w:pPr>
            <w:r w:rsidRPr="00151E82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151E82" w:rsidRDefault="00FB3E8C" w:rsidP="001B6B72">
            <w:pPr>
              <w:jc w:val="center"/>
              <w:rPr>
                <w:b/>
                <w:sz w:val="18"/>
                <w:szCs w:val="18"/>
              </w:rPr>
            </w:pPr>
            <w:r w:rsidRPr="00151E82">
              <w:rPr>
                <w:b/>
                <w:sz w:val="18"/>
                <w:szCs w:val="18"/>
              </w:rPr>
              <w:t>1</w:t>
            </w:r>
            <w:r w:rsidR="001B6B7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77" w:type="dxa"/>
          </w:tcPr>
          <w:p w:rsidR="00A249BB" w:rsidRPr="00151E82" w:rsidRDefault="00A249BB" w:rsidP="00061888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6567C" w:rsidP="00DF56A7">
      <w:pPr>
        <w:jc w:val="both"/>
      </w:pPr>
      <w:r>
        <w:t>M</w:t>
      </w:r>
      <w:r w:rsidR="00FB3E8C">
        <w:t xml:space="preserve">UFACE </w:t>
      </w:r>
      <w:r w:rsidR="00C52EE5">
        <w:t xml:space="preserve"> ha aplicado </w:t>
      </w:r>
      <w:r w:rsidR="007800C3">
        <w:t>ocho</w:t>
      </w:r>
      <w:r w:rsidR="00C52EE5" w:rsidRPr="0076567C">
        <w:t xml:space="preserve"> de las </w:t>
      </w:r>
      <w:r w:rsidR="001B6B72">
        <w:t>diecisiete</w:t>
      </w:r>
      <w:r w:rsidR="00FB3E8C">
        <w:t xml:space="preserve"> </w:t>
      </w:r>
      <w:r w:rsidR="00C52EE5" w:rsidRPr="0076567C">
        <w:t>recomendaciones</w:t>
      </w:r>
      <w:r w:rsidR="00C52EE5">
        <w:t xml:space="preserve"> derivadas de</w:t>
      </w:r>
      <w:r w:rsidR="00FB3E8C">
        <w:t xml:space="preserve"> la evaluación realizada en 2021</w:t>
      </w:r>
      <w:r w:rsidR="00C52EE5">
        <w:t>.</w:t>
      </w:r>
    </w:p>
    <w:p w:rsidR="00FA5AFD" w:rsidRDefault="00FA5AFD" w:rsidP="00AC4A6F"/>
    <w:p w:rsidR="007063E1" w:rsidRDefault="007063E1" w:rsidP="00AC4A6F"/>
    <w:p w:rsidR="007063E1" w:rsidRDefault="007063E1" w:rsidP="00AC4A6F"/>
    <w:p w:rsidR="007063E1" w:rsidRDefault="007063E1" w:rsidP="00AC4A6F"/>
    <w:p w:rsidR="007063E1" w:rsidRDefault="007063E1" w:rsidP="00AC4A6F"/>
    <w:p w:rsidR="007063E1" w:rsidRDefault="007063E1" w:rsidP="00AC4A6F"/>
    <w:p w:rsidR="007063E1" w:rsidRDefault="007063E1" w:rsidP="00AC4A6F"/>
    <w:p w:rsidR="007063E1" w:rsidRDefault="007063E1" w:rsidP="00AC4A6F"/>
    <w:p w:rsidR="007063E1" w:rsidRDefault="007063E1" w:rsidP="00AC4A6F"/>
    <w:p w:rsidR="007063E1" w:rsidRDefault="007063E1" w:rsidP="00AC4A6F"/>
    <w:p w:rsidR="007063E1" w:rsidRDefault="007063E1" w:rsidP="00AC4A6F"/>
    <w:p w:rsidR="007063E1" w:rsidRDefault="007063E1" w:rsidP="00AC4A6F"/>
    <w:p w:rsidR="007063E1" w:rsidRDefault="007063E1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800C3" w:rsidRPr="00F31BC3" w:rsidRDefault="007800C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3F5D0C" w:rsidRPr="00F31BC3" w:rsidRDefault="003F5D0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E195D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940" w:type="dxa"/>
        <w:tblInd w:w="108" w:type="dxa"/>
        <w:tblLook w:val="04A0" w:firstRow="1" w:lastRow="0" w:firstColumn="1" w:lastColumn="0" w:noHBand="0" w:noVBand="1"/>
      </w:tblPr>
      <w:tblGrid>
        <w:gridCol w:w="4820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B6B72" w:rsidRPr="001B6B72" w:rsidTr="001B6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B6B72" w:rsidRPr="001B6B72" w:rsidRDefault="001B6B72" w:rsidP="001B6B72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B6B72" w:rsidRPr="001B6B72" w:rsidRDefault="001B6B72" w:rsidP="001B6B7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B6B72" w:rsidRPr="001B6B72" w:rsidRDefault="001B6B72" w:rsidP="001B6B7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B6B72" w:rsidRPr="001B6B72" w:rsidRDefault="001B6B72" w:rsidP="001B6B7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B6B72" w:rsidRPr="001B6B72" w:rsidRDefault="001B6B72" w:rsidP="001B6B7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B6B72" w:rsidRPr="001B6B72" w:rsidRDefault="001B6B72" w:rsidP="001B6B7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B6B72" w:rsidRPr="001B6B72" w:rsidRDefault="001B6B72" w:rsidP="001B6B7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B6B72" w:rsidRPr="001B6B72" w:rsidRDefault="001B6B72" w:rsidP="001B6B7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B6B72" w:rsidRPr="001B6B72" w:rsidRDefault="001B6B72" w:rsidP="001B6B7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F6261D" w:rsidRPr="001B6B72" w:rsidTr="003F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6261D" w:rsidRPr="001B6B72" w:rsidRDefault="00F6261D" w:rsidP="001B6B72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97,5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95,0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45,0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91,1</w:t>
            </w:r>
          </w:p>
        </w:tc>
      </w:tr>
      <w:tr w:rsidR="00F6261D" w:rsidRPr="001B6B72" w:rsidTr="003F5D0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F6261D" w:rsidRPr="001B6B72" w:rsidRDefault="00F6261D" w:rsidP="001B6B72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6261D" w:rsidRPr="00F6261D" w:rsidRDefault="00F6261D" w:rsidP="003F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261D">
              <w:rPr>
                <w:sz w:val="16"/>
                <w:szCs w:val="16"/>
              </w:rPr>
              <w:t>71,4</w:t>
            </w:r>
          </w:p>
        </w:tc>
      </w:tr>
      <w:tr w:rsidR="005F4734" w:rsidRPr="001B6B72" w:rsidTr="005F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F4734" w:rsidRPr="001B6B72" w:rsidRDefault="005F4734" w:rsidP="001B6B72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46,7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46,7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54,8</w:t>
            </w:r>
          </w:p>
        </w:tc>
      </w:tr>
      <w:tr w:rsidR="00F6261D" w:rsidRPr="001B6B72" w:rsidTr="005F473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F6261D" w:rsidRPr="001B6B72" w:rsidRDefault="00F6261D" w:rsidP="001B6B72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B6B72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6261D" w:rsidRPr="005F4734" w:rsidRDefault="00F6261D" w:rsidP="005F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6261D" w:rsidRPr="005F4734" w:rsidRDefault="00F6261D" w:rsidP="005F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6261D" w:rsidRPr="005F4734" w:rsidRDefault="00F6261D" w:rsidP="005F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6261D" w:rsidRPr="005F4734" w:rsidRDefault="00F6261D" w:rsidP="005F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6261D" w:rsidRPr="005F4734" w:rsidRDefault="00F6261D" w:rsidP="005F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6261D" w:rsidRPr="005F4734" w:rsidRDefault="00F6261D" w:rsidP="005F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6261D" w:rsidRPr="005F4734" w:rsidRDefault="00F6261D" w:rsidP="005F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6261D" w:rsidRPr="005F4734" w:rsidRDefault="00F6261D" w:rsidP="005F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4734">
              <w:rPr>
                <w:sz w:val="16"/>
                <w:szCs w:val="16"/>
              </w:rPr>
              <w:t>0,0</w:t>
            </w:r>
          </w:p>
        </w:tc>
      </w:tr>
      <w:tr w:rsidR="005F4734" w:rsidRPr="001B6B72" w:rsidTr="005F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F4734" w:rsidRPr="001B6B72" w:rsidRDefault="005F4734" w:rsidP="001B6B72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1B6B72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F4734">
              <w:rPr>
                <w:b/>
                <w:i/>
                <w:sz w:val="16"/>
                <w:szCs w:val="16"/>
              </w:rPr>
              <w:t>73,1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F4734">
              <w:rPr>
                <w:b/>
                <w:i/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F4734">
              <w:rPr>
                <w:b/>
                <w:i/>
                <w:sz w:val="16"/>
                <w:szCs w:val="16"/>
              </w:rPr>
              <w:t>70,4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F4734">
              <w:rPr>
                <w:b/>
                <w:i/>
                <w:sz w:val="16"/>
                <w:szCs w:val="16"/>
              </w:rPr>
              <w:t>63,0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F4734">
              <w:rPr>
                <w:b/>
                <w:i/>
                <w:sz w:val="16"/>
                <w:szCs w:val="16"/>
              </w:rPr>
              <w:t>74,1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F4734">
              <w:rPr>
                <w:b/>
                <w:i/>
                <w:sz w:val="16"/>
                <w:szCs w:val="16"/>
              </w:rPr>
              <w:t>74,1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F4734">
              <w:rPr>
                <w:b/>
                <w:i/>
                <w:sz w:val="16"/>
                <w:szCs w:val="16"/>
              </w:rPr>
              <w:t>46,3</w:t>
            </w:r>
          </w:p>
        </w:tc>
        <w:tc>
          <w:tcPr>
            <w:tcW w:w="0" w:type="auto"/>
            <w:noWrap/>
            <w:vAlign w:val="center"/>
          </w:tcPr>
          <w:p w:rsidR="005F4734" w:rsidRPr="005F4734" w:rsidRDefault="005F4734" w:rsidP="005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F4734">
              <w:rPr>
                <w:b/>
                <w:i/>
                <w:sz w:val="16"/>
                <w:szCs w:val="16"/>
              </w:rPr>
              <w:t>66,8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F5D0C" w:rsidRDefault="003F5D0C" w:rsidP="00BB3652">
      <w:pPr>
        <w:pStyle w:val="Cuerpodelboletn"/>
        <w:rPr>
          <w:lang w:bidi="es-ES"/>
        </w:rPr>
      </w:pPr>
    </w:p>
    <w:p w:rsidR="00A670E9" w:rsidRDefault="004061BC" w:rsidP="003F5D0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5F4734">
        <w:rPr>
          <w:lang w:bidi="es-ES"/>
        </w:rPr>
        <w:t>66,8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3F5D0C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5F4734">
        <w:rPr>
          <w:lang w:bidi="es-ES"/>
        </w:rPr>
        <w:t xml:space="preserve">21 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5F4734">
        <w:rPr>
          <w:lang w:bidi="es-ES"/>
        </w:rPr>
        <w:t>ocho</w:t>
      </w:r>
      <w:r w:rsidR="003F5D0C">
        <w:rPr>
          <w:lang w:bidi="es-ES"/>
        </w:rPr>
        <w:t xml:space="preserve"> de las</w:t>
      </w:r>
      <w:r w:rsidR="0076567C">
        <w:rPr>
          <w:lang w:bidi="es-ES"/>
        </w:rPr>
        <w:t xml:space="preserve"> recomendaciones efectuadas en 202</w:t>
      </w:r>
      <w:r w:rsidR="003F5D0C">
        <w:rPr>
          <w:lang w:bidi="es-ES"/>
        </w:rPr>
        <w:t xml:space="preserve">1.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3F5D0C" w:rsidP="00A670E9">
      <w:pPr>
        <w:pStyle w:val="Cuerpodelboletn"/>
      </w:pPr>
      <w:r>
        <w:t>Aunque este</w:t>
      </w:r>
      <w:r w:rsidR="00BB3652">
        <w:t xml:space="preserve"> CTBG </w:t>
      </w:r>
      <w:r w:rsidR="00BB3652" w:rsidRPr="00BB3652">
        <w:rPr>
          <w:b/>
        </w:rPr>
        <w:t xml:space="preserve">valora </w:t>
      </w:r>
      <w:r>
        <w:rPr>
          <w:b/>
        </w:rPr>
        <w:t>posi</w:t>
      </w:r>
      <w:r w:rsidR="00BB3652" w:rsidRPr="00BB3652">
        <w:rPr>
          <w:b/>
        </w:rPr>
        <w:t>tivamente</w:t>
      </w:r>
      <w:r w:rsidR="00BB3652">
        <w:t xml:space="preserve"> la evolución del cumplimiento de las obligaciones de publicidad activa por parte de </w:t>
      </w:r>
      <w:r>
        <w:t>MUFACE</w:t>
      </w:r>
      <w:r w:rsidR="005F4734">
        <w:t xml:space="preserve"> que se ha incrementado en el 46%. No obstante,</w:t>
      </w:r>
      <w:r>
        <w:t xml:space="preserve"> sólo s</w:t>
      </w:r>
      <w:r w:rsidR="00BB3652">
        <w:t xml:space="preserve">e ha aplicado </w:t>
      </w:r>
      <w:r>
        <w:t>el 4</w:t>
      </w:r>
      <w:r w:rsidR="005F4734">
        <w:t>7</w:t>
      </w:r>
      <w:r>
        <w:t xml:space="preserve">% de las recomendaciones efectuadas en 2021, razón por la cual </w:t>
      </w:r>
      <w:r w:rsidR="00BB3652">
        <w:t xml:space="preserve">persisten </w:t>
      </w:r>
      <w:r>
        <w:t xml:space="preserve">algunos de </w:t>
      </w:r>
      <w:r w:rsidR="00BB3652">
        <w:t>lo</w:t>
      </w:r>
      <w:r>
        <w:t>s déficits evidenciados en dicho</w:t>
      </w:r>
      <w:r w:rsidR="00BB3652">
        <w:t xml:space="preserve"> </w:t>
      </w:r>
      <w:r>
        <w:t>año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800C3" w:rsidRPr="00F31BC3" w:rsidRDefault="007800C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3F5D0C" w:rsidRPr="00F31BC3" w:rsidRDefault="003F5D0C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</w:t>
      </w:r>
      <w:r w:rsidR="003F5D0C">
        <w:rPr>
          <w:rFonts w:ascii="Century Gothic" w:hAnsi="Century Gothic"/>
        </w:rPr>
        <w:t>localizándose información fuera del Portal de Transparencia de MUFACE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3F5D0C" w:rsidRDefault="003F5D0C" w:rsidP="003F5D0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de relevancia jurídica: las </w:t>
      </w:r>
      <w:r w:rsidRPr="00484E63">
        <w:rPr>
          <w:rFonts w:ascii="Century Gothic" w:hAnsi="Century Gothic"/>
        </w:rPr>
        <w:t>Directrices, Instrucciones, Circulares y respuestas a consultas</w:t>
      </w:r>
      <w:r>
        <w:rPr>
          <w:rFonts w:ascii="Century Gothic" w:hAnsi="Century Gothic"/>
        </w:rPr>
        <w:t xml:space="preserve"> </w:t>
      </w:r>
      <w:r w:rsidR="00246915">
        <w:rPr>
          <w:rFonts w:ascii="Century Gothic" w:hAnsi="Century Gothic"/>
        </w:rPr>
        <w:t>que supongan una interpretación del derecho o surtan efectos sobre terceros</w:t>
      </w:r>
      <w:r w:rsidR="007063E1">
        <w:rPr>
          <w:rFonts w:ascii="Century Gothic" w:hAnsi="Century Gothic"/>
        </w:rPr>
        <w:t xml:space="preserve">. </w:t>
      </w:r>
      <w:r w:rsidR="0013654A">
        <w:rPr>
          <w:rFonts w:ascii="Century Gothic" w:hAnsi="Century Gothic"/>
        </w:rPr>
        <w:t>Sólo se han localizado tres resoluciones en diferentes apartados que no se corresponden con el contenido material de esta obligación.</w:t>
      </w:r>
    </w:p>
    <w:p w:rsidR="003F5D0C" w:rsidRDefault="003F5D0C" w:rsidP="003F5D0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F5D0C" w:rsidRDefault="003F5D0C" w:rsidP="003F5D0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 no se publica:</w:t>
      </w:r>
    </w:p>
    <w:p w:rsidR="003F5D0C" w:rsidRDefault="003F5D0C" w:rsidP="003F5D0C">
      <w:pPr>
        <w:pStyle w:val="Prrafodelista"/>
      </w:pPr>
    </w:p>
    <w:p w:rsidR="003F5D0C" w:rsidRDefault="003F5D0C" w:rsidP="003F5D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los contratos</w:t>
      </w:r>
    </w:p>
    <w:p w:rsidR="003F5D0C" w:rsidRDefault="003F5D0C" w:rsidP="003F5D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datos estadísticos sobre contratación</w:t>
      </w:r>
    </w:p>
    <w:p w:rsidR="003F5D0C" w:rsidRDefault="003F5D0C" w:rsidP="003F5D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subcontrataciones derivadas de los encargos a medios propios y encomiendas de gestión.</w:t>
      </w:r>
    </w:p>
    <w:p w:rsidR="003F5D0C" w:rsidRDefault="003F5D0C" w:rsidP="003F5D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</w:t>
      </w:r>
      <w:r w:rsidR="005F4734">
        <w:rPr>
          <w:rFonts w:ascii="Century Gothic" w:hAnsi="Century Gothic"/>
        </w:rPr>
        <w:t xml:space="preserve"> y/o percibidas</w:t>
      </w:r>
    </w:p>
    <w:p w:rsidR="003F5D0C" w:rsidRDefault="003F5D0C" w:rsidP="003F5D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elaborados por el Tribunal de Cuentas.</w:t>
      </w:r>
    </w:p>
    <w:p w:rsidR="003F5D0C" w:rsidRDefault="003F5D0C" w:rsidP="003F5D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de compatibilidad concedidas a empleados</w:t>
      </w:r>
    </w:p>
    <w:p w:rsidR="005F4734" w:rsidRDefault="005F4734" w:rsidP="005F473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3F5D0C" w:rsidRDefault="003F5D0C" w:rsidP="003F5D0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11296">
        <w:rPr>
          <w:rFonts w:ascii="Century Gothic" w:hAnsi="Century Gothic"/>
        </w:rPr>
        <w:t xml:space="preserve">En el bloque de información </w:t>
      </w:r>
      <w:r>
        <w:rPr>
          <w:rFonts w:ascii="Century Gothic" w:hAnsi="Century Gothic"/>
        </w:rPr>
        <w:t>patrimonial</w:t>
      </w:r>
      <w:r w:rsidRPr="00511296">
        <w:rPr>
          <w:rFonts w:ascii="Century Gothic" w:hAnsi="Century Gothic"/>
        </w:rPr>
        <w:t xml:space="preserve"> no se publica</w:t>
      </w:r>
      <w:r>
        <w:rPr>
          <w:rFonts w:ascii="Century Gothic" w:hAnsi="Century Gothic"/>
        </w:rPr>
        <w:t xml:space="preserve"> la relación de bienes inmuebles que sean propiedad de </w:t>
      </w:r>
      <w:r w:rsidR="00246915">
        <w:rPr>
          <w:rFonts w:ascii="Century Gothic" w:hAnsi="Century Gothic"/>
        </w:rPr>
        <w:t>MUFACE</w:t>
      </w:r>
      <w:r>
        <w:rPr>
          <w:rFonts w:ascii="Century Gothic" w:hAnsi="Century Gothic"/>
        </w:rPr>
        <w:t xml:space="preserve"> o sobre los que ostente algún derecho real.</w:t>
      </w:r>
    </w:p>
    <w:p w:rsidR="003F5D0C" w:rsidRDefault="003F5D0C" w:rsidP="003F5D0C">
      <w:pPr>
        <w:pStyle w:val="Prrafodelista"/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>gran parte de la información no está datada</w:t>
      </w:r>
      <w:r w:rsidR="003F5D0C">
        <w:rPr>
          <w:rFonts w:ascii="Century Gothic" w:hAnsi="Century Gothic"/>
        </w:rPr>
        <w:t xml:space="preserve">, en algunos casos, por ejemplo las retribuciones, </w:t>
      </w:r>
      <w:r w:rsidR="0076567C">
        <w:rPr>
          <w:rFonts w:ascii="Century Gothic" w:hAnsi="Century Gothic"/>
        </w:rPr>
        <w:t xml:space="preserve"> </w:t>
      </w:r>
      <w:r w:rsidR="003F5D0C">
        <w:rPr>
          <w:rFonts w:ascii="Century Gothic" w:hAnsi="Century Gothic"/>
        </w:rPr>
        <w:t xml:space="preserve">la información está desactualizada </w:t>
      </w:r>
      <w:r w:rsidR="0076567C">
        <w:rPr>
          <w:rFonts w:ascii="Century Gothic" w:hAnsi="Century Gothic"/>
        </w:rPr>
        <w:t xml:space="preserve">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Transparencia.</w:t>
      </w:r>
    </w:p>
    <w:p w:rsidR="003F5D0C" w:rsidRDefault="003F5D0C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recurriéndose a información de fuentes centralizadas para la publicación de informaciones.</w:t>
      </w:r>
    </w:p>
    <w:p w:rsidR="003F5D0C" w:rsidRDefault="003F5D0C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 ha observado que alg</w:t>
      </w:r>
      <w:r w:rsidR="00B9296C">
        <w:rPr>
          <w:rFonts w:ascii="Century Gothic" w:hAnsi="Century Gothic"/>
        </w:rPr>
        <w:t>unos de los enlaces están rotos</w:t>
      </w:r>
      <w:r w:rsidR="005F4734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F4734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3F5D0C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800C3" w:rsidRPr="00F31BC3" w:rsidRDefault="007800C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3F5D0C" w:rsidRPr="00F31BC3" w:rsidRDefault="003F5D0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800C3" w:rsidRPr="00F31BC3" w:rsidRDefault="007800C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F5D0C" w:rsidRPr="00F31BC3" w:rsidRDefault="003F5D0C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C3" w:rsidRDefault="007800C3" w:rsidP="00F31BC3">
      <w:r>
        <w:separator/>
      </w:r>
    </w:p>
  </w:endnote>
  <w:endnote w:type="continuationSeparator" w:id="0">
    <w:p w:rsidR="007800C3" w:rsidRDefault="007800C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C3" w:rsidRDefault="007800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C3" w:rsidRDefault="007800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C3" w:rsidRDefault="007800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C3" w:rsidRDefault="007800C3" w:rsidP="00F31BC3">
      <w:r>
        <w:separator/>
      </w:r>
    </w:p>
  </w:footnote>
  <w:footnote w:type="continuationSeparator" w:id="0">
    <w:p w:rsidR="007800C3" w:rsidRDefault="007800C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C3" w:rsidRDefault="007800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C3" w:rsidRDefault="007800C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C3" w:rsidRDefault="007800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57E60"/>
    <w:multiLevelType w:val="multilevel"/>
    <w:tmpl w:val="E982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1D7B34"/>
    <w:multiLevelType w:val="multilevel"/>
    <w:tmpl w:val="B3DC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B40CE"/>
    <w:multiLevelType w:val="multilevel"/>
    <w:tmpl w:val="9E38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0"/>
  </w:num>
  <w:num w:numId="5">
    <w:abstractNumId w:val="14"/>
  </w:num>
  <w:num w:numId="6">
    <w:abstractNumId w:val="17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1"/>
  </w:num>
  <w:num w:numId="13">
    <w:abstractNumId w:val="7"/>
  </w:num>
  <w:num w:numId="14">
    <w:abstractNumId w:val="21"/>
  </w:num>
  <w:num w:numId="15">
    <w:abstractNumId w:val="2"/>
  </w:num>
  <w:num w:numId="16">
    <w:abstractNumId w:val="22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3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0246"/>
    <w:rsid w:val="00011946"/>
    <w:rsid w:val="00016718"/>
    <w:rsid w:val="00032D8A"/>
    <w:rsid w:val="00040AF4"/>
    <w:rsid w:val="000420D3"/>
    <w:rsid w:val="00053A0E"/>
    <w:rsid w:val="0005642F"/>
    <w:rsid w:val="00061888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0F157A"/>
    <w:rsid w:val="00104DE9"/>
    <w:rsid w:val="00104E94"/>
    <w:rsid w:val="001149B1"/>
    <w:rsid w:val="00132732"/>
    <w:rsid w:val="0013654A"/>
    <w:rsid w:val="00137BD9"/>
    <w:rsid w:val="00146C3C"/>
    <w:rsid w:val="00151E82"/>
    <w:rsid w:val="00156EF2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6B7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46915"/>
    <w:rsid w:val="00250846"/>
    <w:rsid w:val="00263F79"/>
    <w:rsid w:val="00286621"/>
    <w:rsid w:val="002C19B9"/>
    <w:rsid w:val="002C1DD9"/>
    <w:rsid w:val="002C41B4"/>
    <w:rsid w:val="002D0702"/>
    <w:rsid w:val="002D27E4"/>
    <w:rsid w:val="002E409F"/>
    <w:rsid w:val="002E644A"/>
    <w:rsid w:val="002F06DC"/>
    <w:rsid w:val="002F4D33"/>
    <w:rsid w:val="0031769F"/>
    <w:rsid w:val="00337C82"/>
    <w:rsid w:val="00347477"/>
    <w:rsid w:val="00347877"/>
    <w:rsid w:val="00352994"/>
    <w:rsid w:val="00355DC0"/>
    <w:rsid w:val="00393F48"/>
    <w:rsid w:val="003A0DBF"/>
    <w:rsid w:val="003A1694"/>
    <w:rsid w:val="003A390C"/>
    <w:rsid w:val="003B399C"/>
    <w:rsid w:val="003B57E6"/>
    <w:rsid w:val="003B6B96"/>
    <w:rsid w:val="003D2C4A"/>
    <w:rsid w:val="003E195D"/>
    <w:rsid w:val="003E564B"/>
    <w:rsid w:val="003E5D2F"/>
    <w:rsid w:val="003F4DDD"/>
    <w:rsid w:val="003F5D0C"/>
    <w:rsid w:val="003F6EDC"/>
    <w:rsid w:val="004061BC"/>
    <w:rsid w:val="00411C2D"/>
    <w:rsid w:val="00415DBD"/>
    <w:rsid w:val="00422B18"/>
    <w:rsid w:val="004720A5"/>
    <w:rsid w:val="0047735C"/>
    <w:rsid w:val="004859CC"/>
    <w:rsid w:val="004A1663"/>
    <w:rsid w:val="004C1812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4734"/>
    <w:rsid w:val="005F580F"/>
    <w:rsid w:val="005F7886"/>
    <w:rsid w:val="00603DFC"/>
    <w:rsid w:val="00607613"/>
    <w:rsid w:val="006253FA"/>
    <w:rsid w:val="006266A5"/>
    <w:rsid w:val="00633EAA"/>
    <w:rsid w:val="00651348"/>
    <w:rsid w:val="0069673B"/>
    <w:rsid w:val="006B2C2E"/>
    <w:rsid w:val="006B75D8"/>
    <w:rsid w:val="006C0CDD"/>
    <w:rsid w:val="006D49E7"/>
    <w:rsid w:val="006D4C90"/>
    <w:rsid w:val="006E75DE"/>
    <w:rsid w:val="00702A3B"/>
    <w:rsid w:val="007063E1"/>
    <w:rsid w:val="007071A8"/>
    <w:rsid w:val="00707515"/>
    <w:rsid w:val="00707C14"/>
    <w:rsid w:val="00714C54"/>
    <w:rsid w:val="00717272"/>
    <w:rsid w:val="0073626B"/>
    <w:rsid w:val="00745A43"/>
    <w:rsid w:val="007465AA"/>
    <w:rsid w:val="00751FAA"/>
    <w:rsid w:val="00760E4B"/>
    <w:rsid w:val="0076567C"/>
    <w:rsid w:val="0076640C"/>
    <w:rsid w:val="00767C60"/>
    <w:rsid w:val="00774C97"/>
    <w:rsid w:val="00777FB3"/>
    <w:rsid w:val="007800C3"/>
    <w:rsid w:val="00781700"/>
    <w:rsid w:val="00790143"/>
    <w:rsid w:val="007942B7"/>
    <w:rsid w:val="007954A6"/>
    <w:rsid w:val="007C65C5"/>
    <w:rsid w:val="007D1701"/>
    <w:rsid w:val="007D5CBF"/>
    <w:rsid w:val="007D69D9"/>
    <w:rsid w:val="007E1190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B30D8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1187"/>
    <w:rsid w:val="00A82709"/>
    <w:rsid w:val="00AA0AE1"/>
    <w:rsid w:val="00AC2723"/>
    <w:rsid w:val="00AC4A6F"/>
    <w:rsid w:val="00AC712C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9296C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2F83"/>
    <w:rsid w:val="00F132F9"/>
    <w:rsid w:val="00F24BAF"/>
    <w:rsid w:val="00F25044"/>
    <w:rsid w:val="00F31BC3"/>
    <w:rsid w:val="00F36022"/>
    <w:rsid w:val="00F41A7D"/>
    <w:rsid w:val="00F614CD"/>
    <w:rsid w:val="00F6261D"/>
    <w:rsid w:val="00F7274D"/>
    <w:rsid w:val="00F95333"/>
    <w:rsid w:val="00FA0C58"/>
    <w:rsid w:val="00FA11BE"/>
    <w:rsid w:val="00FA1831"/>
    <w:rsid w:val="00FA1911"/>
    <w:rsid w:val="00FA5997"/>
    <w:rsid w:val="00FA5AFD"/>
    <w:rsid w:val="00FB3E8C"/>
    <w:rsid w:val="00FB44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5A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745A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745A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B6B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5A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745A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745A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B6B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9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25747"/>
    <w:rsid w:val="008E118A"/>
    <w:rsid w:val="009003DC"/>
    <w:rsid w:val="009B37B2"/>
    <w:rsid w:val="00A104A7"/>
    <w:rsid w:val="00AB484A"/>
    <w:rsid w:val="00B4738F"/>
    <w:rsid w:val="00C32372"/>
    <w:rsid w:val="00DA008C"/>
    <w:rsid w:val="00DE3DE6"/>
    <w:rsid w:val="00E73E21"/>
    <w:rsid w:val="00EA0738"/>
    <w:rsid w:val="00EB2177"/>
    <w:rsid w:val="00EF5732"/>
    <w:rsid w:val="00F0267E"/>
    <w:rsid w:val="00F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A0325-C762-4578-8000-638B3040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215</TotalTime>
  <Pages>6</Pages>
  <Words>1200</Words>
  <Characters>6604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14</cp:revision>
  <cp:lastPrinted>2022-03-21T09:37:00Z</cp:lastPrinted>
  <dcterms:created xsi:type="dcterms:W3CDTF">2022-03-15T10:32:00Z</dcterms:created>
  <dcterms:modified xsi:type="dcterms:W3CDTF">2022-09-08T11:16:00Z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