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DE2" w:rsidRPr="00A807DA" w:rsidRDefault="00434E7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40DE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40DE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40DE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Fundación</w:t>
                                </w:r>
                              </w:sdtContent>
                            </w:sdt>
                            <w:r w:rsidR="00140DE2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140DE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Centro para la Memoria de las Víctimas del Terrorismo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F2A2B" w:rsidRPr="00A807DA" w:rsidRDefault="00BF2A2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Fundación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Centro para la Memoria de las Víctimas del Terrorismo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0DE2" w:rsidRDefault="00140DE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F2A2B" w:rsidRDefault="00BF2A2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34E7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A7B4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A7B4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A7B4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A7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A7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7A7B43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A1FBB" w:rsidP="002E4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1A1FBB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1A1FB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CA6628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A1FBB" w:rsidP="003E6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140DE2">
              <w:rPr>
                <w:sz w:val="18"/>
                <w:szCs w:val="18"/>
              </w:rPr>
              <w:t xml:space="preserve">. Sigue sin </w:t>
            </w:r>
            <w:r w:rsidR="003E6616">
              <w:rPr>
                <w:sz w:val="18"/>
                <w:szCs w:val="18"/>
              </w:rPr>
              <w:t>publicarse</w:t>
            </w:r>
            <w:r w:rsidR="00140DE2">
              <w:rPr>
                <w:sz w:val="18"/>
                <w:szCs w:val="18"/>
              </w:rPr>
              <w:t xml:space="preserve"> la normativa de carácter general, más allá de los estatutos, que regula las actividades de la Fundación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8D3145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D3145" w:rsidP="003E6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3E6616">
              <w:rPr>
                <w:sz w:val="18"/>
                <w:szCs w:val="18"/>
              </w:rPr>
              <w:t>.  Se publica el Reglamento Europeo de Protección de Datos pero no el registro de actividades de tratamiento. Por otra parte, se enlaza a la LOPD de 1999 que está derogada</w:t>
            </w:r>
            <w:proofErr w:type="gramStart"/>
            <w:r w:rsidR="003E6616">
              <w:rPr>
                <w:sz w:val="18"/>
                <w:szCs w:val="18"/>
              </w:rPr>
              <w:t>..</w:t>
            </w:r>
            <w:proofErr w:type="gramEnd"/>
            <w:r w:rsidR="003E6616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8D3145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F30A0" w:rsidP="001A1F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3E6616">
              <w:rPr>
                <w:sz w:val="18"/>
                <w:szCs w:val="18"/>
              </w:rPr>
              <w:t>Se publica fuera del Portal de Transparencia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  <w:r w:rsidR="001A1FB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F30A0" w:rsidP="001A1F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1A1FBB">
              <w:rPr>
                <w:sz w:val="18"/>
                <w:szCs w:val="18"/>
              </w:rPr>
              <w:t>Los miembros del patronato son de carácter institucional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1A1FB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A1FBB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Sigue sin publicarse el perfil y trayectoria profesional del Director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1689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Remite a la PCSP</w:t>
            </w:r>
            <w:r w:rsidR="00140DE2">
              <w:rPr>
                <w:sz w:val="18"/>
                <w:szCs w:val="18"/>
              </w:rPr>
              <w:t xml:space="preserve"> que no incluye las modificaciones entre los criterios de búsqueda de licitaciones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1689" w:rsidP="001A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1689" w:rsidP="001A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971689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A1FBB" w:rsidP="00283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 p</w:t>
            </w:r>
            <w:r w:rsidR="00971689">
              <w:rPr>
                <w:sz w:val="18"/>
                <w:szCs w:val="18"/>
              </w:rPr>
              <w:t>ub</w:t>
            </w:r>
            <w:r w:rsidR="00901F2E">
              <w:rPr>
                <w:sz w:val="18"/>
                <w:szCs w:val="18"/>
              </w:rPr>
              <w:t xml:space="preserve">lican las </w:t>
            </w:r>
            <w:r w:rsidR="0028384F">
              <w:rPr>
                <w:sz w:val="18"/>
                <w:szCs w:val="18"/>
              </w:rPr>
              <w:t>aportaciones</w:t>
            </w:r>
            <w:r w:rsidR="00901F2E">
              <w:rPr>
                <w:sz w:val="18"/>
                <w:szCs w:val="18"/>
              </w:rPr>
              <w:t xml:space="preserve"> percibidas </w:t>
            </w:r>
            <w:r w:rsidR="00971689">
              <w:rPr>
                <w:sz w:val="18"/>
                <w:szCs w:val="18"/>
              </w:rPr>
              <w:t xml:space="preserve"> </w:t>
            </w:r>
            <w:r w:rsidR="0028384F">
              <w:rPr>
                <w:sz w:val="18"/>
                <w:szCs w:val="18"/>
              </w:rPr>
              <w:t>con cargo a</w:t>
            </w:r>
            <w:r w:rsidR="00971689">
              <w:rPr>
                <w:sz w:val="18"/>
                <w:szCs w:val="18"/>
              </w:rPr>
              <w:t xml:space="preserve"> los PGE. </w:t>
            </w:r>
            <w:r w:rsidR="00557489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se</w:t>
            </w:r>
            <w:r w:rsidR="00557489">
              <w:rPr>
                <w:sz w:val="18"/>
                <w:szCs w:val="18"/>
              </w:rPr>
              <w:t xml:space="preserve"> informa sobre las </w:t>
            </w:r>
            <w:r w:rsidR="003E6616">
              <w:rPr>
                <w:sz w:val="18"/>
                <w:szCs w:val="18"/>
              </w:rPr>
              <w:t>subvenciones o ayudas que pueda</w:t>
            </w:r>
            <w:r w:rsidR="00557489">
              <w:rPr>
                <w:sz w:val="18"/>
                <w:szCs w:val="18"/>
              </w:rPr>
              <w:t xml:space="preserve"> conceder</w:t>
            </w:r>
            <w:r w:rsidR="003E6616">
              <w:rPr>
                <w:sz w:val="18"/>
                <w:szCs w:val="18"/>
              </w:rPr>
              <w:t xml:space="preserve"> la Fundación</w:t>
            </w:r>
            <w:r w:rsidR="00557489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901F2E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01F2E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901F2E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A1FBB" w:rsidP="001A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F30A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Aunque se publica </w:t>
            </w:r>
            <w:r w:rsidR="00901F2E">
              <w:rPr>
                <w:sz w:val="18"/>
                <w:szCs w:val="18"/>
              </w:rPr>
              <w:t xml:space="preserve"> el informe del año 2020 de la </w:t>
            </w:r>
            <w:r w:rsidR="00901F2E">
              <w:rPr>
                <w:sz w:val="18"/>
                <w:szCs w:val="18"/>
              </w:rPr>
              <w:lastRenderedPageBreak/>
              <w:t>IGAE</w:t>
            </w:r>
            <w:r>
              <w:rPr>
                <w:sz w:val="18"/>
                <w:szCs w:val="18"/>
              </w:rPr>
              <w:t xml:space="preserve">, no existe </w:t>
            </w:r>
            <w:r w:rsidR="00901F2E">
              <w:rPr>
                <w:sz w:val="18"/>
                <w:szCs w:val="18"/>
              </w:rPr>
              <w:t xml:space="preserve"> información </w:t>
            </w:r>
            <w:r>
              <w:rPr>
                <w:sz w:val="18"/>
                <w:szCs w:val="18"/>
              </w:rPr>
              <w:t>sobre los informes de auditoría y fiscalización elaborados por el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901F2E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A1FBB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901F2E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4081A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901F2E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4081A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A7B4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E641D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4081A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A7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1A1FBB">
              <w:rPr>
                <w:sz w:val="18"/>
                <w:szCs w:val="18"/>
              </w:rPr>
              <w:t>: publicación de cuadros resumen de la información procedente de fuentes centralizadas</w:t>
            </w:r>
          </w:p>
        </w:tc>
        <w:tc>
          <w:tcPr>
            <w:tcW w:w="709" w:type="dxa"/>
            <w:vAlign w:val="center"/>
          </w:tcPr>
          <w:p w:rsidR="00A249BB" w:rsidRPr="007465AA" w:rsidRDefault="00D4081A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A1FBB" w:rsidP="007A7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A7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A7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A7B4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D4081A" w:rsidP="007A7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4081A" w:rsidP="001A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A7B4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D4081A" w:rsidP="007A7B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77" w:type="dxa"/>
          </w:tcPr>
          <w:p w:rsidR="00A249BB" w:rsidRPr="007465AA" w:rsidRDefault="00A249BB" w:rsidP="007A7B4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54CB3" w:rsidP="00DF56A7">
      <w:pPr>
        <w:jc w:val="both"/>
      </w:pPr>
      <w:r>
        <w:t>La Fundación CMVT</w:t>
      </w:r>
      <w:r w:rsidR="00C52EE5">
        <w:t xml:space="preserve"> ha aplicado </w:t>
      </w:r>
      <w:r w:rsidR="001A1FBB">
        <w:t>tres – una de ellas parcialmente -</w:t>
      </w:r>
      <w:r w:rsidR="00C52EE5" w:rsidRPr="0076567C">
        <w:t xml:space="preserve"> de las </w:t>
      </w:r>
      <w:r>
        <w:t xml:space="preserve">dieciocho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0DE2" w:rsidRPr="00F31BC3" w:rsidRDefault="00140DE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F2A2B" w:rsidRPr="00F31BC3" w:rsidRDefault="00BF2A2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34E7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7A7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F2A2B" w:rsidRPr="008677FD" w:rsidTr="00BF2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F2A2B" w:rsidRPr="008677FD" w:rsidRDefault="00BF2A2B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71,4</w:t>
            </w:r>
          </w:p>
        </w:tc>
      </w:tr>
      <w:tr w:rsidR="00BF2A2B" w:rsidRPr="008677FD" w:rsidTr="00BF2A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F2A2B" w:rsidRPr="008677FD" w:rsidRDefault="00BF2A2B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bookmarkStart w:id="0" w:name="_GoBack"/>
            <w:bookmarkEnd w:id="0"/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F2A2B">
              <w:rPr>
                <w:sz w:val="16"/>
                <w:szCs w:val="16"/>
              </w:rPr>
              <w:t>28,6</w:t>
            </w:r>
          </w:p>
        </w:tc>
      </w:tr>
      <w:tr w:rsidR="00BF2A2B" w:rsidRPr="008677FD" w:rsidTr="00BF2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F2A2B" w:rsidRPr="008677FD" w:rsidRDefault="00BF2A2B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42,1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47,4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47,4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52,6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36,8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vAlign w:val="center"/>
          </w:tcPr>
          <w:p w:rsidR="00BF2A2B" w:rsidRPr="00BF2A2B" w:rsidRDefault="00BF2A2B" w:rsidP="00BF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F2A2B">
              <w:rPr>
                <w:b/>
                <w:i/>
                <w:sz w:val="16"/>
                <w:szCs w:val="16"/>
              </w:rPr>
              <w:t>45,1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F2A2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F2A2B">
        <w:rPr>
          <w:lang w:bidi="es-ES"/>
        </w:rPr>
        <w:t>45,1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BF2A2B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BF2A2B">
        <w:rPr>
          <w:lang w:bidi="es-ES"/>
        </w:rPr>
        <w:t>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BF2A2B">
        <w:rPr>
          <w:lang w:bidi="es-ES"/>
        </w:rPr>
        <w:t>tres</w:t>
      </w:r>
      <w:r w:rsidR="0076567C">
        <w:rPr>
          <w:lang w:bidi="es-ES"/>
        </w:rPr>
        <w:t xml:space="preserve"> de las recomendaciones efectuadas en </w:t>
      </w:r>
      <w:r w:rsidR="00BF2A2B">
        <w:rPr>
          <w:lang w:bidi="es-ES"/>
        </w:rPr>
        <w:t>dicho año</w:t>
      </w:r>
      <w:r w:rsidR="0076567C">
        <w:t xml:space="preserve"> </w:t>
      </w:r>
    </w:p>
    <w:p w:rsidR="00EB68A3" w:rsidRDefault="00EB68A3" w:rsidP="00F05E2C">
      <w:pPr>
        <w:pStyle w:val="Cuerpodelboletn"/>
      </w:pPr>
    </w:p>
    <w:p w:rsidR="0028384F" w:rsidRDefault="0028384F" w:rsidP="00F05E2C">
      <w:pPr>
        <w:pStyle w:val="Cuerpodelboletn"/>
      </w:pPr>
    </w:p>
    <w:p w:rsidR="0028384F" w:rsidRDefault="0028384F" w:rsidP="00F05E2C">
      <w:pPr>
        <w:pStyle w:val="Cuerpodelboletn"/>
      </w:pPr>
    </w:p>
    <w:p w:rsidR="0028384F" w:rsidRDefault="0028384F" w:rsidP="00F05E2C">
      <w:pPr>
        <w:pStyle w:val="Cuerpodelboletn"/>
        <w:sectPr w:rsidR="0028384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F2A2B" w:rsidP="00A670E9">
      <w:pPr>
        <w:pStyle w:val="Cuerpodelboletn"/>
      </w:pPr>
      <w:r>
        <w:t xml:space="preserve">Aunque la Fundación Centro para la Memoria de las Víctimas del Terrorismo mejora </w:t>
      </w:r>
      <w:r w:rsidR="00140DE2">
        <w:t>el</w:t>
      </w:r>
      <w:r>
        <w:t xml:space="preserve"> cumplimiento de las obligaciones de publicidad activa, no es menos cierto que sigue subsistiendo un amplio margen de mejora. </w:t>
      </w:r>
      <w:r w:rsidR="0076567C">
        <w:t>Sólo</w:t>
      </w:r>
      <w:r w:rsidR="00BB3652">
        <w:t xml:space="preserve"> se ha aplicado </w:t>
      </w:r>
      <w:r>
        <w:t>un 17%</w:t>
      </w:r>
      <w:r w:rsidR="00BB3652">
        <w:t xml:space="preserve"> de las recomendaciones </w:t>
      </w:r>
      <w:r w:rsidR="00140DE2">
        <w:t>derivadas</w:t>
      </w:r>
      <w:r w:rsidR="00BB3652">
        <w:t xml:space="preserve"> de la evaluación realizada en 202</w:t>
      </w:r>
      <w:r>
        <w:t>1 y c</w:t>
      </w:r>
      <w:r w:rsidR="00BB3652">
        <w:t>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0DE2" w:rsidRPr="00F31BC3" w:rsidRDefault="00140DE2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F2A2B" w:rsidRPr="00F31BC3" w:rsidRDefault="00BF2A2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organizarse la información conforme al patrón definido por la LTAIBG y </w:t>
      </w:r>
      <w:r w:rsidR="00BF2A2B">
        <w:rPr>
          <w:rFonts w:ascii="Century Gothic" w:hAnsi="Century Gothic"/>
        </w:rPr>
        <w:t xml:space="preserve">sigue sin enlazarse desde el Portal de Transparencia a las informaciones obligatorias que se localizan en otros accesos de la web institucional de la Fundación. 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F2A2B" w:rsidRDefault="00BF2A2B" w:rsidP="00BF2A2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BF2A2B" w:rsidRDefault="00BF2A2B" w:rsidP="00BF2A2B">
      <w:pPr>
        <w:pStyle w:val="Prrafodelista"/>
      </w:pPr>
    </w:p>
    <w:p w:rsidR="00BF2A2B" w:rsidRDefault="00BF2A2B" w:rsidP="00BF2A2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Registro de Actividades de Tratamiento. 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completarse la información sobre el perfil y trayectoria profesional ya que no se publica el correspondiente al Director.</w:t>
      </w:r>
    </w:p>
    <w:p w:rsidR="00BF2A2B" w:rsidRDefault="00BF2A2B" w:rsidP="00BF2A2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BF2A2B" w:rsidRDefault="00BF2A2B" w:rsidP="00BF2A2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BF2A2B" w:rsidRDefault="00BF2A2B" w:rsidP="00BF2A2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las modificaciones de los contratos adjudicados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estadística sobre el peso de los contratos realizados según procedimiento de licitación sobre el total del gasto en contratación. 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</w:t>
      </w:r>
      <w:r w:rsidRPr="000E1F21">
        <w:rPr>
          <w:rFonts w:ascii="Century Gothic" w:hAnsi="Century Gothic"/>
        </w:rPr>
        <w:t xml:space="preserve"> información sobre convenios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</w:t>
      </w:r>
      <w:r w:rsidRPr="000E1F21">
        <w:rPr>
          <w:rFonts w:ascii="Century Gothic" w:hAnsi="Century Gothic"/>
        </w:rPr>
        <w:t>se informa so</w:t>
      </w:r>
      <w:r>
        <w:rPr>
          <w:rFonts w:ascii="Century Gothic" w:hAnsi="Century Gothic"/>
        </w:rPr>
        <w:t>bre las subvenciones concedidas.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presupuestos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 el informe de auditoría realizado por la IGAE correspondiente a 2020 no existe referencia a los informes de auditoría y fiscalización elaborados por el Tribunal de Cuentas, que es el contenido material de esta obligación.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retribuciones de sus máximos responsables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las indemnizaciones percibidas por los máximos responsables de la Fundación con ocasión del cese. </w:t>
      </w:r>
    </w:p>
    <w:p w:rsidR="00BF2A2B" w:rsidRDefault="00BF2A2B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informa sobre las autorizaciones de compatibilidad concedidas a empleados de la Fundación.</w:t>
      </w:r>
    </w:p>
    <w:p w:rsidR="00352754" w:rsidRDefault="00352754" w:rsidP="00BF2A2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informa sobre las autorizaciones para el ejercicio de actividades privadas al cese de altos cargos</w:t>
      </w:r>
    </w:p>
    <w:p w:rsidR="00BF2A2B" w:rsidRPr="000E1F21" w:rsidRDefault="00BF2A2B" w:rsidP="00BF2A2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40DE2" w:rsidRDefault="00BF2A2B" w:rsidP="00BF2A2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</w:r>
      <w:r w:rsidR="00352754">
        <w:rPr>
          <w:rFonts w:ascii="Century Gothic" w:hAnsi="Century Gothic"/>
        </w:rPr>
        <w:t xml:space="preserve"> </w:t>
      </w:r>
    </w:p>
    <w:p w:rsidR="00140DE2" w:rsidRDefault="00140DE2" w:rsidP="00140DE2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F2A2B" w:rsidRDefault="00140DE2" w:rsidP="00140DE2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</w:t>
      </w:r>
      <w:r w:rsidR="00352754">
        <w:rPr>
          <w:rFonts w:ascii="Century Gothic" w:hAnsi="Century Gothic"/>
        </w:rPr>
        <w:t xml:space="preserve"> cuadros resumen de la información a la que se accede a través de fuentes centralizadas, como la Plataforma de Contratación del Sector Público.</w:t>
      </w:r>
    </w:p>
    <w:p w:rsidR="00BF2A2B" w:rsidRDefault="00BF2A2B" w:rsidP="00BF2A2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F2A2B" w:rsidRDefault="00BF2A2B" w:rsidP="00BF2A2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parte, no se ha aplicado la recomendación de indicar expresamente </w:t>
      </w:r>
      <w:r w:rsidR="00352754" w:rsidRPr="00352754">
        <w:rPr>
          <w:rFonts w:ascii="Century Gothic" w:hAnsi="Century Gothic"/>
        </w:rPr>
        <w:t xml:space="preserve">esta circunstancia </w:t>
      </w:r>
      <w:r>
        <w:rPr>
          <w:rFonts w:ascii="Century Gothic" w:hAnsi="Century Gothic"/>
        </w:rPr>
        <w:t>para aquellas informaciones obligatorias respecto de las que no haya habido actividad – por ejemplo, que no se hubiese solicitado y concedido ninguna autorización de compatibilidad -  .</w:t>
      </w:r>
    </w:p>
    <w:p w:rsidR="004061BC" w:rsidRDefault="004061BC" w:rsidP="00352754">
      <w:pPr>
        <w:pStyle w:val="Sinespaciado"/>
        <w:spacing w:line="276" w:lineRule="auto"/>
        <w:ind w:left="576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A4E16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35275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0DE2" w:rsidRPr="00F31BC3" w:rsidRDefault="00140DE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F2A2B" w:rsidRPr="00F31BC3" w:rsidRDefault="00BF2A2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40DE2" w:rsidRPr="00F31BC3" w:rsidRDefault="00140DE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F2A2B" w:rsidRPr="00F31BC3" w:rsidRDefault="00BF2A2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E2" w:rsidRDefault="00140DE2" w:rsidP="00F31BC3">
      <w:r>
        <w:separator/>
      </w:r>
    </w:p>
  </w:endnote>
  <w:endnote w:type="continuationSeparator" w:id="0">
    <w:p w:rsidR="00140DE2" w:rsidRDefault="00140DE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E2" w:rsidRDefault="00140DE2" w:rsidP="00F31BC3">
      <w:r>
        <w:separator/>
      </w:r>
    </w:p>
  </w:footnote>
  <w:footnote w:type="continuationSeparator" w:id="0">
    <w:p w:rsidR="00140DE2" w:rsidRDefault="00140DE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E2" w:rsidRDefault="00140D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0DE2"/>
    <w:rsid w:val="00146C3C"/>
    <w:rsid w:val="001608A2"/>
    <w:rsid w:val="00164876"/>
    <w:rsid w:val="001763F8"/>
    <w:rsid w:val="00183301"/>
    <w:rsid w:val="00187CDD"/>
    <w:rsid w:val="0019448F"/>
    <w:rsid w:val="00196703"/>
    <w:rsid w:val="001A0BD4"/>
    <w:rsid w:val="001A0DA8"/>
    <w:rsid w:val="001A1FBB"/>
    <w:rsid w:val="001A5305"/>
    <w:rsid w:val="001C2217"/>
    <w:rsid w:val="001C3E2F"/>
    <w:rsid w:val="001C4509"/>
    <w:rsid w:val="001C7C78"/>
    <w:rsid w:val="001C7D84"/>
    <w:rsid w:val="001E5AAD"/>
    <w:rsid w:val="001E641D"/>
    <w:rsid w:val="0021682B"/>
    <w:rsid w:val="00231D61"/>
    <w:rsid w:val="00243294"/>
    <w:rsid w:val="00244EDA"/>
    <w:rsid w:val="002467FA"/>
    <w:rsid w:val="00250846"/>
    <w:rsid w:val="00263F79"/>
    <w:rsid w:val="0028384F"/>
    <w:rsid w:val="002A4E16"/>
    <w:rsid w:val="002C19B9"/>
    <w:rsid w:val="002C1DD9"/>
    <w:rsid w:val="002C41B4"/>
    <w:rsid w:val="002D0702"/>
    <w:rsid w:val="002D27E4"/>
    <w:rsid w:val="002E409F"/>
    <w:rsid w:val="002E45B4"/>
    <w:rsid w:val="002E644A"/>
    <w:rsid w:val="002F06DC"/>
    <w:rsid w:val="0031769F"/>
    <w:rsid w:val="00337C82"/>
    <w:rsid w:val="00347477"/>
    <w:rsid w:val="00347877"/>
    <w:rsid w:val="00352754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6616"/>
    <w:rsid w:val="003F4DDD"/>
    <w:rsid w:val="003F6EDC"/>
    <w:rsid w:val="004061BC"/>
    <w:rsid w:val="00415DBD"/>
    <w:rsid w:val="00422B18"/>
    <w:rsid w:val="00434E7D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748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6D16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7B43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4CB3"/>
    <w:rsid w:val="00865E5A"/>
    <w:rsid w:val="008677FD"/>
    <w:rsid w:val="00882A5B"/>
    <w:rsid w:val="00891E6F"/>
    <w:rsid w:val="00894358"/>
    <w:rsid w:val="0089455A"/>
    <w:rsid w:val="00897D04"/>
    <w:rsid w:val="008A5AAE"/>
    <w:rsid w:val="008D3145"/>
    <w:rsid w:val="008D6E75"/>
    <w:rsid w:val="008F2EF6"/>
    <w:rsid w:val="00901F2E"/>
    <w:rsid w:val="00902A71"/>
    <w:rsid w:val="009039FD"/>
    <w:rsid w:val="00903FE0"/>
    <w:rsid w:val="00912DB4"/>
    <w:rsid w:val="00947271"/>
    <w:rsid w:val="009654DA"/>
    <w:rsid w:val="00965C69"/>
    <w:rsid w:val="0097168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07DA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2A2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6628"/>
    <w:rsid w:val="00CB6837"/>
    <w:rsid w:val="00CC3B31"/>
    <w:rsid w:val="00CC48E8"/>
    <w:rsid w:val="00CD3DE8"/>
    <w:rsid w:val="00CF21EB"/>
    <w:rsid w:val="00D014E1"/>
    <w:rsid w:val="00D01CA1"/>
    <w:rsid w:val="00D1453D"/>
    <w:rsid w:val="00D4081A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1DB6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30A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B0454"/>
    <w:rsid w:val="00A104A7"/>
    <w:rsid w:val="00AB484A"/>
    <w:rsid w:val="00BC68F3"/>
    <w:rsid w:val="00C32372"/>
    <w:rsid w:val="00DA008C"/>
    <w:rsid w:val="00DE3DE6"/>
    <w:rsid w:val="00EA0738"/>
    <w:rsid w:val="00EB2177"/>
    <w:rsid w:val="00EF5732"/>
    <w:rsid w:val="00F0267E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1E7CF-D2E7-4B72-9DF1-C2FFF84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204</TotalTime>
  <Pages>6</Pages>
  <Words>1231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12</cp:revision>
  <cp:lastPrinted>2022-02-25T09:08:00Z</cp:lastPrinted>
  <dcterms:created xsi:type="dcterms:W3CDTF">2022-02-22T13:10:00Z</dcterms:created>
  <dcterms:modified xsi:type="dcterms:W3CDTF">2022-07-11T07:36:00Z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