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1F64EA">
      <w:pPr>
        <w:tabs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96524" w:rsidRPr="00006957" w:rsidRDefault="0099652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UkiFb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96524" w:rsidRPr="00006957" w:rsidRDefault="0099652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524" w:rsidRDefault="0099652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96524" w:rsidRDefault="0099652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C6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F64EA">
              <w:rPr>
                <w:sz w:val="24"/>
                <w:szCs w:val="24"/>
              </w:rPr>
              <w:t>TRAGSATEC</w:t>
            </w:r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B6621A" w:rsidP="00AA3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0453">
              <w:rPr>
                <w:sz w:val="24"/>
                <w:szCs w:val="24"/>
              </w:rPr>
              <w:t xml:space="preserve"> de </w:t>
            </w:r>
            <w:r w:rsidR="00AA3523">
              <w:rPr>
                <w:sz w:val="24"/>
                <w:szCs w:val="24"/>
              </w:rPr>
              <w:t>junio</w:t>
            </w:r>
            <w:r w:rsidR="00D20453">
              <w:rPr>
                <w:sz w:val="24"/>
                <w:szCs w:val="24"/>
              </w:rPr>
              <w:t xml:space="preserve"> de 202</w:t>
            </w:r>
            <w:r w:rsidR="00ED7EE6">
              <w:rPr>
                <w:sz w:val="24"/>
                <w:szCs w:val="24"/>
              </w:rPr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1F64EA" w:rsidP="005D59B0">
            <w:pPr>
              <w:rPr>
                <w:sz w:val="24"/>
                <w:szCs w:val="24"/>
              </w:rPr>
            </w:pPr>
            <w:r w:rsidRPr="001F64EA">
              <w:rPr>
                <w:sz w:val="24"/>
                <w:szCs w:val="24"/>
              </w:rPr>
              <w:t>https://www.tragsa.es/es/grupo-tragsa/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C31B7C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1F64EA" w:rsidRDefault="001F64EA" w:rsidP="00E37EE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TRAGSATEC carece de una web institucional propia, toda la información relativa a la sociedad se publica en la web de TRAGSA. </w:t>
            </w:r>
          </w:p>
          <w:p w:rsidR="00CB5511" w:rsidRPr="000C6CFF" w:rsidRDefault="00ED7EE6" w:rsidP="0082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enlace al Portal de Transparencia se localiza </w:t>
            </w:r>
            <w:r w:rsidR="001F64EA">
              <w:rPr>
                <w:sz w:val="20"/>
                <w:szCs w:val="20"/>
              </w:rPr>
              <w:t>en el acceso “</w:t>
            </w:r>
            <w:r w:rsidR="00827C05">
              <w:rPr>
                <w:sz w:val="20"/>
                <w:szCs w:val="20"/>
              </w:rPr>
              <w:t>Grupo TRAGSA</w:t>
            </w:r>
            <w:r w:rsidR="001F64EA">
              <w:rPr>
                <w:sz w:val="20"/>
                <w:szCs w:val="20"/>
              </w:rPr>
              <w:t>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1F64EA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E37EEF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37EEF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organización de la información s</w:t>
            </w:r>
            <w:r w:rsidR="00ED7EE6">
              <w:rPr>
                <w:sz w:val="20"/>
                <w:szCs w:val="20"/>
              </w:rPr>
              <w:t xml:space="preserve">e ajusta al patrón de bloques de información que establece la LTAIBG. 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t xml:space="preserve"> </w:t>
      </w:r>
      <w:r w:rsidR="004D2663">
        <w:br w:type="textWrapping" w:clear="all"/>
      </w:r>
    </w:p>
    <w:p w:rsidR="00ED7EE6" w:rsidRDefault="001F64EA" w:rsidP="000E7845">
      <w:pPr>
        <w:jc w:val="center"/>
      </w:pPr>
      <w:r w:rsidRPr="001F64EA">
        <w:rPr>
          <w:noProof/>
        </w:rPr>
        <w:drawing>
          <wp:inline distT="0" distB="0" distL="0" distR="0" wp14:anchorId="64EA69EB" wp14:editId="35CFA3F4">
            <wp:extent cx="5612130" cy="30549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E6" w:rsidRDefault="00ED7EE6" w:rsidP="000E7845">
      <w:pPr>
        <w:jc w:val="center"/>
      </w:pPr>
    </w:p>
    <w:p w:rsidR="00ED7EE6" w:rsidRDefault="00ED7EE6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62AED">
        <w:trPr>
          <w:trHeight w:val="734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C62A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E85B09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6621A" w:rsidRPr="000E7845" w:rsidRDefault="00B6621A" w:rsidP="00B6621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4172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C41725" w:rsidP="001F64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fuera del Portal de transparencia, en </w:t>
            </w:r>
            <w:r w:rsidR="001F64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 “Quiénes somos”</w:t>
            </w:r>
            <w:r w:rsidR="00B6621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E3419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932E4" w:rsidRDefault="00C41725" w:rsidP="00545B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1F64EA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1F64EA" w:rsidP="00C96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F64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41725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41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B6621A" w:rsidP="001F64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B6621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que se revisó o actualizó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41725" w:rsidRDefault="00C96AC2" w:rsidP="00C4172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E34195" w:rsidP="0002723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E36E1" wp14:editId="30CC0B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288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96524" w:rsidRPr="00544081" w:rsidRDefault="00996524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96524" w:rsidRDefault="00996524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una descripción de la estructura organizativa de la sociedad</w:t>
                            </w:r>
                          </w:p>
                          <w:p w:rsidR="00996524" w:rsidRDefault="00996524" w:rsidP="000F050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0F0507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96524" w:rsidRDefault="00996524" w:rsidP="0002723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ind w:left="11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Salvo </w:t>
                            </w:r>
                            <w:r w:rsidRPr="00027235">
                              <w:rPr>
                                <w:sz w:val="20"/>
                                <w:szCs w:val="20"/>
                              </w:rPr>
                              <w:t>la información relativa a la nor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mativa aplicable a la sociedad, las restantes informaciones no están datadas.</w:t>
                            </w:r>
                          </w:p>
                          <w:p w:rsidR="00996524" w:rsidRPr="00027235" w:rsidRDefault="00996524" w:rsidP="0002723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ind w:left="11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de revisión o actualización de la información publicada.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7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">
                <v:textbox>
                  <w:txbxContent>
                    <w:p w:rsidR="00996524" w:rsidRDefault="0099652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96524" w:rsidRPr="00544081" w:rsidRDefault="00996524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96524" w:rsidRDefault="00996524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una descripción de la estructura organizativa de la sociedad</w:t>
                      </w:r>
                    </w:p>
                    <w:p w:rsidR="00996524" w:rsidRDefault="00996524" w:rsidP="000F0507">
                      <w:pPr>
                        <w:rPr>
                          <w:b/>
                          <w:color w:val="00642D"/>
                        </w:rPr>
                      </w:pPr>
                      <w:r w:rsidRPr="000F0507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96524" w:rsidRDefault="00996524" w:rsidP="0002723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ind w:left="113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Salvo </w:t>
                      </w:r>
                      <w:r w:rsidRPr="00027235">
                        <w:rPr>
                          <w:sz w:val="20"/>
                          <w:szCs w:val="20"/>
                        </w:rPr>
                        <w:t>la información relativa a la nor</w:t>
                      </w:r>
                      <w:r>
                        <w:rPr>
                          <w:sz w:val="20"/>
                          <w:szCs w:val="20"/>
                        </w:rPr>
                        <w:t>mativa aplicable a la sociedad, las restantes informaciones no están datadas.</w:t>
                      </w:r>
                    </w:p>
                    <w:p w:rsidR="00996524" w:rsidRPr="00027235" w:rsidRDefault="00996524" w:rsidP="0002723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ind w:left="113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de revisión o actualización de la información publicada.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96AC2" w:rsidRDefault="00C96AC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D56E1" w:rsidRDefault="003D56E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1D6ABE" w:rsidRDefault="00C33A23" w:rsidP="001D6AB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C96AC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1E6023" w:rsidP="007775D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cuadros resumen con esta información</w:t>
            </w:r>
            <w:r w:rsidR="000272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775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A73C6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96AC2" w:rsidRDefault="00A73C63" w:rsidP="001E60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proporciona un buscador que contiene las modificaciones como criterio de búsqueda</w:t>
            </w:r>
            <w:r w:rsidR="0002723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1E6023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1D6ABE" w:rsidRDefault="00A73C6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1E129A" w:rsidP="0002723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96AC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1E6023" w:rsidP="009673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cuadros resumen con esta información  </w:t>
            </w: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1E602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B5179" w:rsidRDefault="000243C8" w:rsidP="001E60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incluye información sobre modificaciones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  <w:r w:rsidR="003D56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y/o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96AC2" w:rsidRDefault="00C96AC2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D6ABE" w:rsidRDefault="00F22512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96AC2" w:rsidRDefault="00377A17" w:rsidP="00377A1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El presupuesto de TRAGSATEC se integra en el del Grupo SEPI. Por otra parte, e</w:t>
            </w:r>
            <w:r w:rsidR="001E60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enlace “Presupuestos” redirige al Plan Estratégico 2019-2023 posicionando en un apartado que contiene diferentes escenarios de ingresos y de resultados de explotación, pero no se publica el presupuesto de la sociedad.  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827C05" w:rsidP="000243C8">
            <w:pPr>
              <w:pStyle w:val="Cuerpodelboletn"/>
              <w:tabs>
                <w:tab w:val="center" w:pos="175"/>
              </w:tabs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  <w:r w:rsid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ab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B5179" w:rsidRPr="005B6C06" w:rsidRDefault="006B5179" w:rsidP="006B51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996524" w:rsidP="00996524">
            <w:pPr>
              <w:pStyle w:val="Cuerpodelboletn"/>
              <w:tabs>
                <w:tab w:val="center" w:pos="175"/>
              </w:tabs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1EF1" w:rsidRPr="00E67415" w:rsidRDefault="00FB1EF1" w:rsidP="00FB1EF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un informe de auditoría 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elaborad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firma privada. El contenido de la obligación se refiere a los informes tanto de auditoría como de fiscalización elaborados por órganos de control externo, es decir, en el caso de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TRAGSATEC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el </w:t>
            </w:r>
            <w:r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Tribunal de Cuentas.  </w:t>
            </w:r>
          </w:p>
          <w:p w:rsidR="000243C8" w:rsidRPr="00696EF5" w:rsidRDefault="00996524" w:rsidP="00FB1EF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FB1EF1"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 ha considerado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parcialmente </w:t>
            </w:r>
            <w:r w:rsidR="00FB1EF1" w:rsidRPr="00E6741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cumplida esta obligación.</w:t>
            </w:r>
          </w:p>
        </w:tc>
      </w:tr>
      <w:tr w:rsidR="00AD29E8" w:rsidRPr="007C6F6A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827C05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62AED" w:rsidRPr="00696EF5" w:rsidRDefault="00827C05" w:rsidP="000243C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las retribuciones del Presidente pero no las de los restantes miembros del equipo directivo</w:t>
            </w:r>
          </w:p>
        </w:tc>
      </w:tr>
      <w:tr w:rsidR="00AD29E8" w:rsidRPr="00C62AED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2AED" w:rsidRDefault="000243C8" w:rsidP="00C62A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243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B1EF1" w:rsidRDefault="00827C05" w:rsidP="00827C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Remite al Portal de Transparencia de la AGE. El problema para acceder a la información correspondiente 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TRAGSATEC</w:t>
            </w: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 que esta página contiene 7</w:t>
            </w:r>
            <w:r w:rsidR="0099652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363 registros, por lo que la información no es descargable en formato Excel ya que la descarga está limitada a 2000 registros. La única opción es visitar las 737 páginas que contienen esta información en el Portal de Transparencia de la AGE, lo que constituye una enorme barrera a la accesibilidad a la información. </w:t>
            </w:r>
          </w:p>
          <w:p w:rsidR="00665CC1" w:rsidRPr="00AD29E8" w:rsidRDefault="00827C05" w:rsidP="00827C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27C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estas razones no se ha considerado cumplida esta obligación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C41725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D6ABE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B1EF1" w:rsidRDefault="00FB1EF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t>A</w:t>
      </w:r>
      <w:r w:rsidR="00C33A23" w:rsidRPr="008A37B5">
        <w:rPr>
          <w:rStyle w:val="Ttulo2Car"/>
          <w:color w:val="00642D"/>
          <w:lang w:bidi="es-ES"/>
        </w:rPr>
        <w:t xml:space="preserve">nálisis </w:t>
      </w:r>
      <w:r w:rsidR="00C33A23"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799DC" wp14:editId="4FE6665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62103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96524" w:rsidRPr="00C5053A" w:rsidRDefault="00996524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desistimientos o renuncias a contratos adjudicados</w:t>
                            </w:r>
                          </w:p>
                          <w:p w:rsidR="00996524" w:rsidRPr="00696EF5" w:rsidRDefault="00996524" w:rsidP="00696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subvenciones o ayudas públicas concedidas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Aunque se publica un informe de auditoría correspondiente al ejercicio 2020 y elaborado por una firma privada, no se ha localizado información sobre informes de auditoría o fiscalización elaborados por órganos de control externo, en este caso, por el Tribunal de Cuentas, que es el contenido material de esta obligación. 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de los máximos responsables está incompleta ya que solo se informa sobre las percibidas por el Presidente.</w:t>
                            </w:r>
                          </w:p>
                          <w:p w:rsid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abandono del cargo.</w:t>
                            </w:r>
                          </w:p>
                          <w:p w:rsidR="00996524" w:rsidRP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96524">
                              <w:rPr>
                                <w:sz w:val="20"/>
                                <w:szCs w:val="20"/>
                              </w:rPr>
                              <w:t>No se publica en el Portal de Transparencia, información sobre autorizaciones de compatibilidad de empleados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6524" w:rsidRPr="00996524" w:rsidRDefault="00996524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96524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el ejercicio de actividades privadas al cese de altos cargos.</w:t>
                            </w:r>
                          </w:p>
                          <w:p w:rsidR="00996524" w:rsidRDefault="00996524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996524" w:rsidRDefault="00996524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96524" w:rsidRPr="001D6ABE" w:rsidRDefault="00996524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de la última revisión o actualización de la información publicada.</w:t>
                            </w:r>
                          </w:p>
                          <w:p w:rsidR="00996524" w:rsidRDefault="00996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489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">
                <v:textbox>
                  <w:txbxContent>
                    <w:p w:rsidR="00996524" w:rsidRDefault="0099652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96524" w:rsidRPr="00C5053A" w:rsidRDefault="00996524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desistimientos o renuncias a contratos adjudicados</w:t>
                      </w:r>
                    </w:p>
                    <w:p w:rsidR="00996524" w:rsidRPr="00696EF5" w:rsidRDefault="00996524" w:rsidP="00696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subvenciones o ayudas públicas concedidas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Aunque se publica un informe de auditoría correspondiente al ejercicio 2020 y elaborado por una firma privada, no se ha localizado información sobre informes de auditoría o fiscalización elaborados por órganos de control externo, en este caso, por el Tribunal de Cuentas, que es el contenido material de esta obligación. 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de los máximos responsables está incompleta ya que solo se informa sobre las percibidas por el Presidente.</w:t>
                      </w:r>
                    </w:p>
                    <w:p w:rsid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abandono del cargo.</w:t>
                      </w:r>
                    </w:p>
                    <w:p w:rsidR="00996524" w:rsidRP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996524">
                        <w:rPr>
                          <w:sz w:val="20"/>
                          <w:szCs w:val="20"/>
                        </w:rPr>
                        <w:t>No se publica en el Portal de Transparencia, información sobre autorizaciones de compatibilidad de empleados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96524" w:rsidRPr="00996524" w:rsidRDefault="00996524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996524">
                        <w:rPr>
                          <w:sz w:val="20"/>
                          <w:szCs w:val="20"/>
                        </w:rPr>
                        <w:t>No se ha localizado información sobre la autorización para el ejercicio de actividades privadas al cese de altos cargos.</w:t>
                      </w:r>
                    </w:p>
                    <w:p w:rsidR="00996524" w:rsidRDefault="00996524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996524" w:rsidRDefault="00996524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96524" w:rsidRPr="001D6ABE" w:rsidRDefault="00996524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de la última revisión o actualización de la información publicada.</w:t>
                      </w:r>
                    </w:p>
                    <w:p w:rsidR="00996524" w:rsidRDefault="00996524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7775DE" w:rsidRDefault="007775DE">
      <w:pPr>
        <w:rPr>
          <w:b/>
          <w:color w:val="50866C"/>
          <w:sz w:val="32"/>
        </w:rPr>
      </w:pPr>
    </w:p>
    <w:p w:rsidR="00377A17" w:rsidRDefault="00377A17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AA3523" w:rsidRDefault="00AA3523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A3523" w:rsidRPr="00FD0689" w:rsidTr="00AA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A3523" w:rsidRPr="00FD0689" w:rsidRDefault="00AA352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72,6</w:t>
            </w:r>
          </w:p>
        </w:tc>
      </w:tr>
      <w:tr w:rsidR="00AA3523" w:rsidRPr="00FD0689" w:rsidTr="00AA35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3523" w:rsidRPr="00FD0689" w:rsidRDefault="00AA352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52,7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523">
              <w:rPr>
                <w:sz w:val="16"/>
                <w:szCs w:val="16"/>
              </w:rPr>
              <w:t>59,2</w:t>
            </w:r>
          </w:p>
        </w:tc>
      </w:tr>
      <w:tr w:rsidR="00AA3523" w:rsidRPr="00A94BCA" w:rsidTr="00AA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A3523" w:rsidRPr="002A154B" w:rsidRDefault="00AA352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62,4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68,4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vAlign w:val="center"/>
          </w:tcPr>
          <w:p w:rsidR="00AA3523" w:rsidRPr="00AA3523" w:rsidRDefault="00AA3523" w:rsidP="00AA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AA3523">
              <w:rPr>
                <w:b/>
                <w:i/>
                <w:sz w:val="16"/>
                <w:szCs w:val="16"/>
              </w:rPr>
              <w:t>63,4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un </w:t>
      </w:r>
      <w:r w:rsidR="00AA3523">
        <w:rPr>
          <w:color w:val="auto"/>
        </w:rPr>
        <w:t>63,4</w:t>
      </w:r>
      <w:r w:rsidRPr="00B94A21">
        <w:rPr>
          <w:color w:val="auto"/>
        </w:rPr>
        <w:t>%. La falta de publicación de informaciones obligatorias – sólo se publica el</w:t>
      </w:r>
      <w:r w:rsidR="00B43765" w:rsidRPr="00B94A21">
        <w:rPr>
          <w:color w:val="auto"/>
        </w:rPr>
        <w:t xml:space="preserve"> </w:t>
      </w:r>
      <w:r w:rsidR="00AA3523">
        <w:rPr>
          <w:color w:val="auto"/>
        </w:rPr>
        <w:t>62,4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 xml:space="preserve">de las informaciones sujetas a publicidad activa –así como </w:t>
      </w:r>
      <w:r w:rsidR="008D1D88">
        <w:rPr>
          <w:color w:val="auto"/>
        </w:rPr>
        <w:t xml:space="preserve">la derivación al Portal de Transparencia de la AGE para la publicación de información </w:t>
      </w:r>
      <w:r w:rsidR="00291300">
        <w:rPr>
          <w:color w:val="auto"/>
        </w:rPr>
        <w:t xml:space="preserve">y </w:t>
      </w:r>
      <w:r w:rsidRPr="00B94A21">
        <w:rPr>
          <w:color w:val="auto"/>
        </w:rPr>
        <w:t>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FD949" wp14:editId="106FB7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3238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96524" w:rsidRPr="005C64FF" w:rsidRDefault="00996524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TRAGSATEC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Encargos de organismos públicos recibidos 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Normativa interna de funcionamiento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Múltiples documentos con las políticas de la sociedad para la prevención del delito, sobornos y comportamientos no éticos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Buzón Ético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de Sostenibilidad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Boletín anual</w:t>
                            </w:r>
                          </w:p>
                          <w:p w:rsidR="00996524" w:rsidRDefault="00996524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Plazo medio de pago a proveedores</w:t>
                            </w:r>
                          </w:p>
                          <w:p w:rsidR="00996524" w:rsidRPr="00F10BAB" w:rsidRDefault="00996524" w:rsidP="00F10BAB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524" w:rsidRDefault="00996524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25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">
                <v:textbox>
                  <w:txbxContent>
                    <w:p w:rsidR="00996524" w:rsidRDefault="0099652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96524" w:rsidRPr="005C64FF" w:rsidRDefault="00996524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TRAGSATEC</w:t>
                      </w:r>
                      <w:r w:rsidRPr="005C64FF">
                        <w:rPr>
                          <w:sz w:val="20"/>
                          <w:szCs w:val="20"/>
                        </w:rPr>
                        <w:t>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Encargos de organismos públicos recibidos 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Normativa interna de funcionamiento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Múltiples documentos con las políticas de la sociedad para la prevención del delito, sobornos y comportamientos no éticos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Buzón Ético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de Sostenibilidad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Boletín anual</w:t>
                      </w:r>
                    </w:p>
                    <w:p w:rsidR="00996524" w:rsidRDefault="00996524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Plazo medio de pago a proveedores</w:t>
                      </w:r>
                    </w:p>
                    <w:p w:rsidR="00996524" w:rsidRPr="00F10BAB" w:rsidRDefault="00996524" w:rsidP="00F10BAB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96524" w:rsidRDefault="00996524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F10BAB" w:rsidRDefault="00F10BAB"/>
    <w:p w:rsidR="00F10BAB" w:rsidRDefault="00F10BAB"/>
    <w:p w:rsidR="00F10BAB" w:rsidRDefault="00F10BAB"/>
    <w:p w:rsidR="00377A17" w:rsidRDefault="00377A17"/>
    <w:p w:rsidR="00377A17" w:rsidRDefault="00377A17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30059" wp14:editId="493153D6">
                <wp:simplePos x="0" y="0"/>
                <wp:positionH relativeFrom="column">
                  <wp:posOffset>228600</wp:posOffset>
                </wp:positionH>
                <wp:positionV relativeFrom="paragraph">
                  <wp:posOffset>-224790</wp:posOffset>
                </wp:positionV>
                <wp:extent cx="6264910" cy="22383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524" w:rsidRDefault="0099652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96524" w:rsidRPr="00FF06CE" w:rsidRDefault="0099652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06CE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podrían se extrapolables a otras organizaciones públicas, cabe destacar</w:t>
                            </w:r>
                          </w:p>
                          <w:p w:rsidR="00996524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cuadros resumen de contratación y convenios. </w:t>
                            </w:r>
                          </w:p>
                          <w:p w:rsidR="00996524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Habilitación de un espacio específico para la presentación de las solicitudes de acceso a información pública de la sociedad, en el que se informa sobre los canales de presentación de dichas solicitudes.</w:t>
                            </w:r>
                          </w:p>
                          <w:p w:rsidR="00996524" w:rsidRPr="00AD124D" w:rsidRDefault="00996524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las resoluciones denegatorias por aplicación de alguno de los límites del artículo 14 de la LTAIBG</w:t>
                            </w:r>
                          </w:p>
                          <w:p w:rsidR="00996524" w:rsidRPr="002A154B" w:rsidRDefault="00996524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pt;margin-top:-17.7pt;width:493.3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">
                <v:textbox>
                  <w:txbxContent>
                    <w:p w:rsidR="00996524" w:rsidRDefault="0099652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96524" w:rsidRPr="00FF06CE" w:rsidRDefault="00996524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FF06CE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que podrían se extrapolables a otras organizaciones públicas, cabe destacar</w:t>
                      </w:r>
                    </w:p>
                    <w:p w:rsidR="00996524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cuadros resumen de contratación y convenios. </w:t>
                      </w:r>
                    </w:p>
                    <w:p w:rsidR="00996524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Habilitación de un espacio específico para la presentación de las solicitudes de acceso a información pública de la sociedad, en el que se informa sobre los canales de presentación de dichas solicitudes.</w:t>
                      </w:r>
                    </w:p>
                    <w:p w:rsidR="00996524" w:rsidRPr="00AD124D" w:rsidRDefault="00996524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las resoluciones denegatorias por aplicación de alguno de los límites del artículo 14 de la LTAIBG</w:t>
                      </w:r>
                    </w:p>
                    <w:p w:rsidR="00996524" w:rsidRPr="002A154B" w:rsidRDefault="00996524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A17" w:rsidRDefault="00377A17"/>
    <w:p w:rsidR="00377A17" w:rsidRDefault="00377A17"/>
    <w:p w:rsidR="00377A17" w:rsidRDefault="00377A17"/>
    <w:p w:rsidR="00377A17" w:rsidRDefault="00377A17"/>
    <w:p w:rsidR="00377A17" w:rsidRDefault="00377A17"/>
    <w:p w:rsidR="00377A17" w:rsidRDefault="00377A17"/>
    <w:p w:rsidR="007F72A8" w:rsidRDefault="007F72A8"/>
    <w:p w:rsidR="002A154B" w:rsidRDefault="00377A17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2A154B">
        <w:rPr>
          <w:b/>
          <w:color w:val="00642D"/>
          <w:sz w:val="32"/>
        </w:rPr>
        <w:t>onclusiones y Recomendaciones</w:t>
      </w: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</w:t>
      </w:r>
      <w:r w:rsidR="001F64EA">
        <w:t>TRAGSATEC</w:t>
      </w:r>
      <w:r w:rsidR="00F16E31">
        <w:t xml:space="preserve">, </w:t>
      </w:r>
      <w:r w:rsidRPr="00FD0689">
        <w:t xml:space="preserve">en función de la información disponible en </w:t>
      </w:r>
      <w:r>
        <w:t>su Portal de Transparencia alcanza el</w:t>
      </w:r>
      <w:r w:rsidR="00B94A21">
        <w:t xml:space="preserve"> </w:t>
      </w:r>
      <w:r w:rsidR="00AA3523">
        <w:t>63,4</w:t>
      </w:r>
      <w:r w:rsidRPr="00B94A21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</w:t>
      </w:r>
      <w:r w:rsidR="001F64EA">
        <w:t>TRAGSATEC</w:t>
      </w:r>
      <w:r w:rsidR="00F16E31">
        <w:t xml:space="preserve">, </w:t>
      </w:r>
      <w:r w:rsidRPr="00FD0689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</w:p>
    <w:p w:rsidR="00AD124D" w:rsidRP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  <w:r w:rsidRPr="00AD124D">
        <w:rPr>
          <w:b/>
          <w:color w:val="00642D"/>
        </w:rPr>
        <w:t>Localización y Estructuración de la información</w:t>
      </w:r>
    </w:p>
    <w:p w:rsidR="00AD124D" w:rsidRPr="00AD124D" w:rsidRDefault="00AD124D" w:rsidP="00AD124D">
      <w:pPr>
        <w:spacing w:before="120" w:after="120" w:line="312" w:lineRule="auto"/>
        <w:jc w:val="both"/>
        <w:rPr>
          <w:b/>
          <w:color w:val="00642D"/>
        </w:rPr>
      </w:pPr>
    </w:p>
    <w:p w:rsidR="001179AB" w:rsidRPr="00AD124D" w:rsidRDefault="00AD124D" w:rsidP="00AD124D">
      <w:pPr>
        <w:spacing w:before="120" w:after="120" w:line="312" w:lineRule="auto"/>
        <w:jc w:val="both"/>
      </w:pPr>
      <w:r>
        <w:t xml:space="preserve">En el </w:t>
      </w:r>
      <w:r w:rsidRPr="00AD124D">
        <w:t xml:space="preserve">supuesto de que no sea posible la publicación de alguna de las informaciones vinculadas a </w:t>
      </w:r>
      <w:r>
        <w:t>los</w:t>
      </w:r>
      <w:r w:rsidRPr="00AD124D">
        <w:t xml:space="preserve"> bloques</w:t>
      </w:r>
      <w:r>
        <w:t xml:space="preserve"> de obligaciones</w:t>
      </w:r>
      <w:r w:rsidRPr="00AD124D">
        <w:t xml:space="preserve">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AD124D" w:rsidRDefault="00AD124D" w:rsidP="004A05BB">
      <w:pPr>
        <w:rPr>
          <w:b/>
          <w:color w:val="00642D"/>
        </w:rPr>
      </w:pPr>
    </w:p>
    <w:p w:rsidR="001179AB" w:rsidRPr="00AE7B99" w:rsidRDefault="001179AB" w:rsidP="004A05BB">
      <w:pPr>
        <w:rPr>
          <w:b/>
          <w:color w:val="00642D"/>
        </w:rPr>
      </w:pPr>
      <w:r w:rsidRPr="00AE7B99">
        <w:rPr>
          <w:b/>
          <w:color w:val="00642D"/>
        </w:rPr>
        <w:t>Incorporación de información</w:t>
      </w:r>
    </w:p>
    <w:p w:rsidR="001179AB" w:rsidRPr="00AE7B99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AE7B99">
        <w:rPr>
          <w:b/>
          <w:color w:val="00642D"/>
        </w:rPr>
        <w:t xml:space="preserve">Información Institucional, Organizativa y de Planificación. </w:t>
      </w:r>
    </w:p>
    <w:p w:rsidR="002D30F5" w:rsidRPr="00AE7B99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AE7B99">
        <w:rPr>
          <w:rFonts w:eastAsiaTheme="minorHAnsi"/>
          <w:lang w:eastAsia="en-US" w:bidi="es-ES"/>
        </w:rPr>
        <w:t>D</w:t>
      </w:r>
      <w:r w:rsidR="00790A5B" w:rsidRPr="00AE7B99">
        <w:rPr>
          <w:rFonts w:eastAsiaTheme="minorHAnsi"/>
          <w:lang w:eastAsia="en-US" w:bidi="es-ES"/>
        </w:rPr>
        <w:t>ebe</w:t>
      </w:r>
      <w:r w:rsidR="002D30F5" w:rsidRPr="00AE7B99">
        <w:rPr>
          <w:rFonts w:eastAsiaTheme="minorHAnsi"/>
          <w:lang w:eastAsia="en-US" w:bidi="es-ES"/>
        </w:rPr>
        <w:t xml:space="preserve"> publicar</w:t>
      </w:r>
      <w:r w:rsidR="00AE7B99">
        <w:rPr>
          <w:rFonts w:eastAsiaTheme="minorHAnsi"/>
          <w:lang w:eastAsia="en-US" w:bidi="es-ES"/>
        </w:rPr>
        <w:t>se</w:t>
      </w:r>
      <w:r w:rsidR="002D30F5" w:rsidRPr="00AE7B99">
        <w:rPr>
          <w:rFonts w:eastAsiaTheme="minorHAnsi"/>
          <w:lang w:eastAsia="en-US" w:bidi="es-ES"/>
        </w:rPr>
        <w:t xml:space="preserve"> </w:t>
      </w:r>
      <w:r w:rsidR="00291300">
        <w:rPr>
          <w:rFonts w:eastAsiaTheme="minorHAnsi"/>
          <w:lang w:eastAsia="en-US" w:bidi="es-ES"/>
        </w:rPr>
        <w:t>una descripción de la estructura organizativa de la sociedad</w:t>
      </w:r>
      <w:r w:rsidR="002D30F5" w:rsidRPr="00AE7B99">
        <w:t xml:space="preserve"> 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F10BAB" w:rsidRDefault="00F10BAB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>
        <w:rPr>
          <w:rFonts w:eastAsia="Times New Roman" w:cs="Times New Roman"/>
          <w:bCs/>
        </w:rPr>
        <w:t>Debe publicarse información sobre los desistimientos o renuncias a contratos adjudicados</w:t>
      </w:r>
    </w:p>
    <w:p w:rsidR="00AE7B99" w:rsidRDefault="00AE7B99" w:rsidP="00D03FCB">
      <w:pPr>
        <w:numPr>
          <w:ilvl w:val="0"/>
          <w:numId w:val="6"/>
        </w:numPr>
        <w:spacing w:before="120" w:after="120" w:line="312" w:lineRule="auto"/>
        <w:jc w:val="both"/>
      </w:pPr>
      <w:r>
        <w:t xml:space="preserve">Debe </w:t>
      </w:r>
      <w:r w:rsidR="00291300">
        <w:t>publicarse información sobre las subvenciones o ayudas públicas concedidas</w:t>
      </w:r>
      <w:r w:rsidR="00AA3523">
        <w:t xml:space="preserve"> y/o percibidas</w:t>
      </w:r>
    </w:p>
    <w:p w:rsidR="00291300" w:rsidRDefault="00291300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lastRenderedPageBreak/>
        <w:t xml:space="preserve">Deben publicarse – o enlazarse – los informes de auditoría y fiscalización elaborados por </w:t>
      </w:r>
      <w:r w:rsidR="00AA3523">
        <w:rPr>
          <w:rFonts w:eastAsiaTheme="majorEastAsia" w:cstheme="majorBidi"/>
          <w:bCs/>
        </w:rPr>
        <w:t>el Tribunal de Cuentas</w:t>
      </w:r>
      <w:r w:rsidR="00AD124D">
        <w:rPr>
          <w:rFonts w:eastAsiaTheme="majorEastAsia" w:cstheme="majorBidi"/>
          <w:bCs/>
        </w:rPr>
        <w:t>.</w:t>
      </w:r>
    </w:p>
    <w:p w:rsidR="00D03FCB" w:rsidRDefault="00F10BA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completarse la información </w:t>
      </w:r>
      <w:r w:rsidR="00AD124D">
        <w:rPr>
          <w:rFonts w:eastAsiaTheme="majorEastAsia" w:cstheme="majorBidi"/>
          <w:bCs/>
        </w:rPr>
        <w:t>sobre las retribuciones percibidas por los máximos responsables.</w:t>
      </w:r>
    </w:p>
    <w:p w:rsidR="00D03FCB" w:rsidRDefault="00AE7B9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</w:t>
      </w:r>
      <w:r w:rsidR="00AD124D">
        <w:rPr>
          <w:rFonts w:eastAsiaTheme="majorEastAsia" w:cstheme="majorBidi"/>
          <w:bCs/>
        </w:rPr>
        <w:t>publicarse</w:t>
      </w:r>
      <w:r>
        <w:rPr>
          <w:rFonts w:eastAsiaTheme="majorEastAsia" w:cstheme="majorBidi"/>
          <w:bCs/>
        </w:rPr>
        <w:t xml:space="preserve"> información sobre las indemnizaciones percibidas por </w:t>
      </w:r>
      <w:r w:rsidRPr="00AE7B99">
        <w:rPr>
          <w:rFonts w:eastAsiaTheme="majorEastAsia" w:cstheme="majorBidi"/>
          <w:bCs/>
        </w:rPr>
        <w:t xml:space="preserve">altos </w:t>
      </w:r>
      <w:r>
        <w:rPr>
          <w:rFonts w:eastAsiaTheme="majorEastAsia" w:cstheme="majorBidi"/>
          <w:bCs/>
        </w:rPr>
        <w:t>c</w:t>
      </w:r>
      <w:r w:rsidRPr="00AE7B99">
        <w:rPr>
          <w:rFonts w:eastAsiaTheme="majorEastAsia" w:cstheme="majorBidi"/>
          <w:bCs/>
        </w:rPr>
        <w:t>argos</w:t>
      </w:r>
      <w:r w:rsidR="00D03FCB">
        <w:rPr>
          <w:rFonts w:eastAsiaTheme="majorEastAsia" w:cstheme="majorBidi"/>
          <w:bCs/>
        </w:rPr>
        <w:t xml:space="preserve"> tras el cese.</w:t>
      </w:r>
    </w:p>
    <w:p w:rsidR="00CA0458" w:rsidRPr="005C64FF" w:rsidRDefault="00CA0458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 publicarse información sobre las autorizaciones de compat</w:t>
      </w:r>
      <w:r w:rsidR="00AA3523">
        <w:rPr>
          <w:rFonts w:eastAsiaTheme="majorEastAsia" w:cstheme="majorBidi"/>
          <w:bCs/>
        </w:rPr>
        <w:t>ibilidad concedidas a empleados en el Portal de Transparencia de la sociedad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</w:p>
    <w:p w:rsidR="00F10BAB" w:rsidRPr="00F10BAB" w:rsidRDefault="00F10BAB" w:rsidP="00F10BAB">
      <w:pPr>
        <w:pStyle w:val="Prrafodelista"/>
        <w:numPr>
          <w:ilvl w:val="0"/>
          <w:numId w:val="9"/>
        </w:numPr>
        <w:jc w:val="both"/>
      </w:pPr>
      <w:r w:rsidRPr="00F10BAB">
        <w:t xml:space="preserve">La información debe publicarse en la web de </w:t>
      </w:r>
      <w:r>
        <w:t>TRAGSA</w:t>
      </w:r>
      <w:r w:rsidRPr="00F10BAB"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en general el Portal de Transparencia no publica todas las informaciones obligatorias que son aplicables a los organismos dependientes de los diferentes Departamentos Ministeriales.</w:t>
      </w:r>
    </w:p>
    <w:p w:rsidR="00AE7B99" w:rsidRPr="0072460E" w:rsidRDefault="00AE7B99" w:rsidP="00AE7B99">
      <w:pPr>
        <w:pStyle w:val="Prrafodelista"/>
        <w:jc w:val="both"/>
      </w:pP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 xml:space="preserve">Madrid, </w:t>
      </w:r>
      <w:r w:rsidR="00AA3523">
        <w:t>junio</w:t>
      </w:r>
      <w:r>
        <w:t xml:space="preserve"> de 202</w:t>
      </w:r>
      <w:r w:rsidR="00A849E7">
        <w:t>2</w:t>
      </w:r>
    </w:p>
    <w:p w:rsidR="00121C30" w:rsidRDefault="00121C30">
      <w:r>
        <w:br w:type="page"/>
      </w:r>
    </w:p>
    <w:p w:rsidR="00121C30" w:rsidRPr="00121C30" w:rsidRDefault="00C31B7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24" w:rsidRDefault="00996524" w:rsidP="00932008">
      <w:pPr>
        <w:spacing w:after="0" w:line="240" w:lineRule="auto"/>
      </w:pPr>
      <w:r>
        <w:separator/>
      </w:r>
    </w:p>
  </w:endnote>
  <w:endnote w:type="continuationSeparator" w:id="0">
    <w:p w:rsidR="00996524" w:rsidRDefault="0099652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9965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24" w:rsidRDefault="00996524" w:rsidP="00932008">
      <w:pPr>
        <w:spacing w:after="0" w:line="240" w:lineRule="auto"/>
      </w:pPr>
      <w:r>
        <w:separator/>
      </w:r>
    </w:p>
  </w:footnote>
  <w:footnote w:type="continuationSeparator" w:id="0">
    <w:p w:rsidR="00996524" w:rsidRDefault="0099652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C31B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3204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C31B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3204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24" w:rsidRDefault="00C31B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3204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BD14533_"/>
      </v:shape>
    </w:pict>
  </w:numPicBullet>
  <w:abstractNum w:abstractNumId="0">
    <w:nsid w:val="01695525"/>
    <w:multiLevelType w:val="hybridMultilevel"/>
    <w:tmpl w:val="4D9A9DD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F5418"/>
    <w:multiLevelType w:val="hybridMultilevel"/>
    <w:tmpl w:val="BB22801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14206A3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362B2"/>
    <w:multiLevelType w:val="hybridMultilevel"/>
    <w:tmpl w:val="3DCC352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0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10"/>
  </w:num>
  <w:num w:numId="18">
    <w:abstractNumId w:val="20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43C8"/>
    <w:rsid w:val="000254E8"/>
    <w:rsid w:val="000262A3"/>
    <w:rsid w:val="00027235"/>
    <w:rsid w:val="00045308"/>
    <w:rsid w:val="00056F6C"/>
    <w:rsid w:val="0006345D"/>
    <w:rsid w:val="00064F29"/>
    <w:rsid w:val="00082E36"/>
    <w:rsid w:val="00085461"/>
    <w:rsid w:val="000965B3"/>
    <w:rsid w:val="000A5616"/>
    <w:rsid w:val="000C6CFF"/>
    <w:rsid w:val="000C7D64"/>
    <w:rsid w:val="000E7845"/>
    <w:rsid w:val="000F0507"/>
    <w:rsid w:val="00102733"/>
    <w:rsid w:val="001179AB"/>
    <w:rsid w:val="00121C30"/>
    <w:rsid w:val="00155C93"/>
    <w:rsid w:val="001561A4"/>
    <w:rsid w:val="0015759C"/>
    <w:rsid w:val="00177C0B"/>
    <w:rsid w:val="00196E94"/>
    <w:rsid w:val="001B6FFB"/>
    <w:rsid w:val="001D6ABE"/>
    <w:rsid w:val="001E129A"/>
    <w:rsid w:val="001E6023"/>
    <w:rsid w:val="001F64EA"/>
    <w:rsid w:val="00222C4B"/>
    <w:rsid w:val="00227D18"/>
    <w:rsid w:val="00231932"/>
    <w:rsid w:val="00286892"/>
    <w:rsid w:val="00291300"/>
    <w:rsid w:val="002A154B"/>
    <w:rsid w:val="002D30F5"/>
    <w:rsid w:val="0032102D"/>
    <w:rsid w:val="00345A70"/>
    <w:rsid w:val="00355B0B"/>
    <w:rsid w:val="00355F74"/>
    <w:rsid w:val="00377A17"/>
    <w:rsid w:val="00392269"/>
    <w:rsid w:val="003C3B3A"/>
    <w:rsid w:val="003D3077"/>
    <w:rsid w:val="003D56E1"/>
    <w:rsid w:val="003D6178"/>
    <w:rsid w:val="003E31AC"/>
    <w:rsid w:val="003F0D0D"/>
    <w:rsid w:val="003F271E"/>
    <w:rsid w:val="003F572A"/>
    <w:rsid w:val="00453CE5"/>
    <w:rsid w:val="004576C0"/>
    <w:rsid w:val="00490DAE"/>
    <w:rsid w:val="00497B1E"/>
    <w:rsid w:val="004A05BB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06"/>
    <w:rsid w:val="005B6CF5"/>
    <w:rsid w:val="005C2526"/>
    <w:rsid w:val="005C64FF"/>
    <w:rsid w:val="005D59B0"/>
    <w:rsid w:val="005F29B8"/>
    <w:rsid w:val="00607165"/>
    <w:rsid w:val="00616000"/>
    <w:rsid w:val="006429F6"/>
    <w:rsid w:val="006574D0"/>
    <w:rsid w:val="00665CC1"/>
    <w:rsid w:val="006855DB"/>
    <w:rsid w:val="00696EF5"/>
    <w:rsid w:val="006A2766"/>
    <w:rsid w:val="006B5179"/>
    <w:rsid w:val="006E4529"/>
    <w:rsid w:val="006F3CA6"/>
    <w:rsid w:val="00702FF8"/>
    <w:rsid w:val="00707DA4"/>
    <w:rsid w:val="00710031"/>
    <w:rsid w:val="0072156A"/>
    <w:rsid w:val="0072460E"/>
    <w:rsid w:val="00742778"/>
    <w:rsid w:val="00743756"/>
    <w:rsid w:val="00743886"/>
    <w:rsid w:val="007444C5"/>
    <w:rsid w:val="00746C83"/>
    <w:rsid w:val="00752065"/>
    <w:rsid w:val="007603B3"/>
    <w:rsid w:val="007775DE"/>
    <w:rsid w:val="00790A5B"/>
    <w:rsid w:val="0079783E"/>
    <w:rsid w:val="007B0F99"/>
    <w:rsid w:val="007C2443"/>
    <w:rsid w:val="007C6F6A"/>
    <w:rsid w:val="007F1D0F"/>
    <w:rsid w:val="007F5E3B"/>
    <w:rsid w:val="007F72A8"/>
    <w:rsid w:val="00806DE9"/>
    <w:rsid w:val="008075A4"/>
    <w:rsid w:val="008243B0"/>
    <w:rsid w:val="00826773"/>
    <w:rsid w:val="00827C05"/>
    <w:rsid w:val="0083209D"/>
    <w:rsid w:val="00843911"/>
    <w:rsid w:val="00844FA9"/>
    <w:rsid w:val="008509E1"/>
    <w:rsid w:val="008531D0"/>
    <w:rsid w:val="00873061"/>
    <w:rsid w:val="008770D3"/>
    <w:rsid w:val="008861AF"/>
    <w:rsid w:val="00894571"/>
    <w:rsid w:val="008A37B5"/>
    <w:rsid w:val="008C1E1E"/>
    <w:rsid w:val="008D1B91"/>
    <w:rsid w:val="008D1D88"/>
    <w:rsid w:val="008E7D0B"/>
    <w:rsid w:val="008F5CE3"/>
    <w:rsid w:val="009038B7"/>
    <w:rsid w:val="009214BE"/>
    <w:rsid w:val="00924073"/>
    <w:rsid w:val="00932008"/>
    <w:rsid w:val="009609E9"/>
    <w:rsid w:val="00967377"/>
    <w:rsid w:val="00996524"/>
    <w:rsid w:val="009A121C"/>
    <w:rsid w:val="00A27488"/>
    <w:rsid w:val="00A6166B"/>
    <w:rsid w:val="00A73C63"/>
    <w:rsid w:val="00A8146B"/>
    <w:rsid w:val="00A849E7"/>
    <w:rsid w:val="00AA102A"/>
    <w:rsid w:val="00AA3523"/>
    <w:rsid w:val="00AB3949"/>
    <w:rsid w:val="00AD06BA"/>
    <w:rsid w:val="00AD124D"/>
    <w:rsid w:val="00AD2022"/>
    <w:rsid w:val="00AD29E8"/>
    <w:rsid w:val="00AE7B99"/>
    <w:rsid w:val="00AF2AAB"/>
    <w:rsid w:val="00B316E5"/>
    <w:rsid w:val="00B40246"/>
    <w:rsid w:val="00B43765"/>
    <w:rsid w:val="00B6621A"/>
    <w:rsid w:val="00B841AE"/>
    <w:rsid w:val="00B932E4"/>
    <w:rsid w:val="00B94A21"/>
    <w:rsid w:val="00BA57D3"/>
    <w:rsid w:val="00BA65E3"/>
    <w:rsid w:val="00BB6799"/>
    <w:rsid w:val="00BC6B57"/>
    <w:rsid w:val="00BD4582"/>
    <w:rsid w:val="00BD5F93"/>
    <w:rsid w:val="00BE6A46"/>
    <w:rsid w:val="00BF35C8"/>
    <w:rsid w:val="00BF6F19"/>
    <w:rsid w:val="00C075B3"/>
    <w:rsid w:val="00C20F23"/>
    <w:rsid w:val="00C30AE1"/>
    <w:rsid w:val="00C31B7C"/>
    <w:rsid w:val="00C33A23"/>
    <w:rsid w:val="00C41725"/>
    <w:rsid w:val="00C43711"/>
    <w:rsid w:val="00C5053A"/>
    <w:rsid w:val="00C50D13"/>
    <w:rsid w:val="00C53AE3"/>
    <w:rsid w:val="00C5744D"/>
    <w:rsid w:val="00C6013A"/>
    <w:rsid w:val="00C62AED"/>
    <w:rsid w:val="00C65A7A"/>
    <w:rsid w:val="00C96AC2"/>
    <w:rsid w:val="00CA0458"/>
    <w:rsid w:val="00CA3820"/>
    <w:rsid w:val="00CB3761"/>
    <w:rsid w:val="00CB5511"/>
    <w:rsid w:val="00CC2049"/>
    <w:rsid w:val="00CC451F"/>
    <w:rsid w:val="00CF23B6"/>
    <w:rsid w:val="00D002D4"/>
    <w:rsid w:val="00D03FCB"/>
    <w:rsid w:val="00D051A3"/>
    <w:rsid w:val="00D164BD"/>
    <w:rsid w:val="00D20453"/>
    <w:rsid w:val="00D22277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195"/>
    <w:rsid w:val="00E37EEF"/>
    <w:rsid w:val="00E42BEA"/>
    <w:rsid w:val="00E47613"/>
    <w:rsid w:val="00E54A74"/>
    <w:rsid w:val="00E85B09"/>
    <w:rsid w:val="00E875F5"/>
    <w:rsid w:val="00EA1E0B"/>
    <w:rsid w:val="00EA7789"/>
    <w:rsid w:val="00ED7EE6"/>
    <w:rsid w:val="00EF3505"/>
    <w:rsid w:val="00F10BAB"/>
    <w:rsid w:val="00F14DA4"/>
    <w:rsid w:val="00F16E31"/>
    <w:rsid w:val="00F22512"/>
    <w:rsid w:val="00F47C3B"/>
    <w:rsid w:val="00F704A4"/>
    <w:rsid w:val="00F71D7D"/>
    <w:rsid w:val="00F96B96"/>
    <w:rsid w:val="00FB1EF1"/>
    <w:rsid w:val="00FE0FC5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A50E8"/>
    <w:rsid w:val="003D088C"/>
    <w:rsid w:val="0041412E"/>
    <w:rsid w:val="004C7436"/>
    <w:rsid w:val="00525E0F"/>
    <w:rsid w:val="00525ED8"/>
    <w:rsid w:val="005C439C"/>
    <w:rsid w:val="006E19CB"/>
    <w:rsid w:val="007A1A3C"/>
    <w:rsid w:val="00821CC9"/>
    <w:rsid w:val="00A66078"/>
    <w:rsid w:val="00B92530"/>
    <w:rsid w:val="00BF2C04"/>
    <w:rsid w:val="00D0779D"/>
    <w:rsid w:val="00D35513"/>
    <w:rsid w:val="00D9568B"/>
    <w:rsid w:val="00DB1124"/>
    <w:rsid w:val="00DC084A"/>
    <w:rsid w:val="00E550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DBFF8-9D36-4548-90C7-C2C9C43E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5816</TotalTime>
  <Pages>11</Pages>
  <Words>2115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23</cp:revision>
  <cp:lastPrinted>2007-10-26T10:03:00Z</cp:lastPrinted>
  <dcterms:created xsi:type="dcterms:W3CDTF">2021-08-30T12:06:00Z</dcterms:created>
  <dcterms:modified xsi:type="dcterms:W3CDTF">2022-09-08T10:59:00Z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