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-41275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473" w:rsidRDefault="002668B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79547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79547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79547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Agencia Estatal de Meteorología</w:t>
                                </w:r>
                              </w:sdtContent>
                            </w:sdt>
                            <w:r w:rsidR="00795473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3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tIfTlt0AAAAKAQAADwAAAGRycy9kb3ducmV2LnhtbEyPzU7DMBCE70i8g7VI3FqnqZJUIU6FingA&#10;ChJXJ97GUe11FDs/9OlxT3CcndHMt9VxtYbNOPrekYDdNgGG1DrVUyfg6/N9cwDmgyQljSMU8IMe&#10;jvXjQyVL5Rb6wPkcOhZLyJdSgA5hKDn3rUYr/dYNSNG7uNHKEOXYcTXKJZZbw9MkybmVPcUFLQc8&#10;aWyv58kKaG/T2+HUN/NyK76LZtUmu5AR4vlpfX0BFnANf2G440d0qCNT4yZSnhkBWZbGpIBNngG7&#10;+0mxj5dGQJrvE+B1xf+/UP8C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tIfTlt0A&#10;AAAKAQAADwAAAAAAAAAAAAAAAAARBQAAZHJzL2Rvd25yZXYueG1sUEsFBgAAAAAEAAQA8wAAABsG&#10;AAAAAA==&#10;" filled="f" stroked="f">
                <v:textbox inset=",7.2pt,,7.2pt">
                  <w:txbxContent>
                    <w:p w:rsidR="00795473" w:rsidRDefault="002668B0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79547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79547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79547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Agencia Estatal de Meteorología</w:t>
                          </w:r>
                        </w:sdtContent>
                      </w:sdt>
                      <w:r w:rsidR="00795473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5473" w:rsidRDefault="0079547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80ABF" w:rsidRDefault="00880AB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668B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130CA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30CA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30CA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>parencia</w:t>
            </w:r>
          </w:p>
        </w:tc>
        <w:tc>
          <w:tcPr>
            <w:tcW w:w="709" w:type="dxa"/>
            <w:vAlign w:val="center"/>
          </w:tcPr>
          <w:p w:rsidR="00A249BB" w:rsidRPr="007465AA" w:rsidRDefault="00130CA3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D5F52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130CA3">
              <w:rPr>
                <w:sz w:val="18"/>
                <w:szCs w:val="18"/>
              </w:rPr>
              <w:t>Figura al final de la página Home el acceso al Portal de Transparencia de la AGE. No tienen apartado propio.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30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30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30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CB6466">
              <w:rPr>
                <w:sz w:val="18"/>
                <w:szCs w:val="18"/>
              </w:rPr>
              <w:t>: completar información con la normativa de carácter general que regula las competencias, funciones y actividades de AEMET</w:t>
            </w:r>
          </w:p>
        </w:tc>
        <w:tc>
          <w:tcPr>
            <w:tcW w:w="709" w:type="dxa"/>
          </w:tcPr>
          <w:p w:rsidR="001A0BD4" w:rsidRPr="007465AA" w:rsidRDefault="00130CA3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D5F52" w:rsidP="00CB6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130CA3">
              <w:rPr>
                <w:sz w:val="18"/>
                <w:szCs w:val="18"/>
              </w:rPr>
              <w:t xml:space="preserve">En el enlace Conócenos-Quiénes somos- al final de la página se puede enlazar con su estatuto. No aparece referencia a más legislación.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45395D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5395D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información. En la sede electrónica –Protección de Datos- aparece un enlace a la AEPD.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CB6466">
              <w:rPr>
                <w:sz w:val="18"/>
                <w:szCs w:val="18"/>
              </w:rPr>
              <w:t>: completar información incluyendo órganos de gobierno y de gestión</w:t>
            </w:r>
          </w:p>
        </w:tc>
        <w:tc>
          <w:tcPr>
            <w:tcW w:w="709" w:type="dxa"/>
          </w:tcPr>
          <w:p w:rsidR="001A0BD4" w:rsidRPr="007465AA" w:rsidRDefault="00BB3912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D5F52" w:rsidP="00CB6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092909">
              <w:rPr>
                <w:sz w:val="18"/>
                <w:szCs w:val="18"/>
              </w:rPr>
              <w:t>. No se informa sobre el Consejo Rector de la Agencia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Identificación de los máximos responsables</w:t>
            </w:r>
          </w:p>
        </w:tc>
        <w:tc>
          <w:tcPr>
            <w:tcW w:w="709" w:type="dxa"/>
          </w:tcPr>
          <w:p w:rsidR="001A0BD4" w:rsidRPr="007465AA" w:rsidRDefault="00BB3912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B6466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BB3912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CB6466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9F02ED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Planes y Programas: completar información</w:t>
            </w:r>
          </w:p>
        </w:tc>
        <w:tc>
          <w:tcPr>
            <w:tcW w:w="709" w:type="dxa"/>
          </w:tcPr>
          <w:p w:rsidR="001A0BD4" w:rsidRPr="007465AA" w:rsidRDefault="00702B24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F02ED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siguen sin publicarse los planes anuales y el Plan Estratégico no </w:t>
            </w:r>
            <w:r w:rsidRPr="009F02ED">
              <w:rPr>
                <w:sz w:val="18"/>
                <w:szCs w:val="18"/>
              </w:rPr>
              <w:t>incluye ni los medios ni el tiempo necesario para la consecución de los objetivos previstos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</w:t>
            </w:r>
          </w:p>
        </w:tc>
        <w:tc>
          <w:tcPr>
            <w:tcW w:w="709" w:type="dxa"/>
          </w:tcPr>
          <w:p w:rsidR="001A0BD4" w:rsidRPr="007465AA" w:rsidRDefault="00AC2425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D5F52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AC2425">
              <w:rPr>
                <w:sz w:val="18"/>
                <w:szCs w:val="18"/>
              </w:rPr>
              <w:t>En el enlace- Conócenos-Nuestros Recursos- dan una explicación sobre su sistema de contratación sin aportar ningún dato.</w:t>
            </w:r>
            <w:r w:rsidR="00795473">
              <w:rPr>
                <w:sz w:val="18"/>
                <w:szCs w:val="18"/>
              </w:rPr>
              <w:t xml:space="preserve"> Tampoco se ha localizado en la web de AEMET un enlace al perfil del contratante de la Agencia </w:t>
            </w:r>
            <w:r w:rsidR="00795473">
              <w:rPr>
                <w:sz w:val="18"/>
                <w:szCs w:val="18"/>
              </w:rPr>
              <w:lastRenderedPageBreak/>
              <w:t>en la Plataforma de Contratación del Sector Público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AC2425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C2425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795473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709" w:type="dxa"/>
          </w:tcPr>
          <w:p w:rsidR="001A0BD4" w:rsidRPr="007465AA" w:rsidRDefault="00AC2425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C2425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AC2425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C2425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 Menores</w:t>
            </w:r>
          </w:p>
        </w:tc>
        <w:tc>
          <w:tcPr>
            <w:tcW w:w="709" w:type="dxa"/>
          </w:tcPr>
          <w:p w:rsidR="001A0BD4" w:rsidRPr="007465AA" w:rsidRDefault="00AC2425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AC2425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130CA3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EF4BA7" w:rsidRPr="007465AA" w:rsidRDefault="00DE2DD3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DE2DD3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DE2DD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DE2DD3">
              <w:rPr>
                <w:sz w:val="18"/>
                <w:szCs w:val="18"/>
              </w:rPr>
              <w:t>concedidas</w:t>
            </w:r>
          </w:p>
        </w:tc>
        <w:tc>
          <w:tcPr>
            <w:tcW w:w="709" w:type="dxa"/>
          </w:tcPr>
          <w:p w:rsidR="001A0BD4" w:rsidRPr="007465AA" w:rsidRDefault="00DE2DD3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D5F52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DE2DD3">
              <w:rPr>
                <w:sz w:val="18"/>
                <w:szCs w:val="18"/>
              </w:rPr>
              <w:t xml:space="preserve">En el enlace Becas aparece </w:t>
            </w:r>
            <w:r w:rsidR="00795473">
              <w:rPr>
                <w:sz w:val="18"/>
                <w:szCs w:val="18"/>
              </w:rPr>
              <w:t xml:space="preserve">una convocatoria </w:t>
            </w:r>
            <w:r w:rsidR="00DE2DD3">
              <w:rPr>
                <w:sz w:val="18"/>
                <w:szCs w:val="18"/>
              </w:rPr>
              <w:t xml:space="preserve">referente al año 2017. </w:t>
            </w:r>
          </w:p>
        </w:tc>
      </w:tr>
      <w:tr w:rsidR="00411C2D" w:rsidRPr="007465AA" w:rsidTr="007465AA">
        <w:tc>
          <w:tcPr>
            <w:tcW w:w="1668" w:type="dxa"/>
            <w:vMerge/>
            <w:vAlign w:val="center"/>
          </w:tcPr>
          <w:p w:rsidR="00411C2D" w:rsidRPr="007465AA" w:rsidRDefault="00411C2D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11C2D" w:rsidRPr="007465AA" w:rsidRDefault="00411C2D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411C2D" w:rsidRPr="007465AA" w:rsidRDefault="00DE2DD3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11C2D" w:rsidRPr="007465AA" w:rsidRDefault="0015374C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15374C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F3BB3" w:rsidP="009F0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9F02ED">
              <w:rPr>
                <w:sz w:val="18"/>
                <w:szCs w:val="18"/>
              </w:rPr>
              <w:t>El enlace Cuentas Anuales 2020 redirige al</w:t>
            </w:r>
            <w:r w:rsidR="002F5C42">
              <w:rPr>
                <w:sz w:val="18"/>
                <w:szCs w:val="18"/>
              </w:rPr>
              <w:t xml:space="preserve"> Visor de Cuentas </w:t>
            </w:r>
            <w:r w:rsidR="009F02ED">
              <w:rPr>
                <w:sz w:val="18"/>
                <w:szCs w:val="18"/>
              </w:rPr>
              <w:t xml:space="preserve">de Entidades Públicas Estatales </w:t>
            </w:r>
            <w:r w:rsidR="002F5C42">
              <w:rPr>
                <w:sz w:val="18"/>
                <w:szCs w:val="18"/>
              </w:rPr>
              <w:t xml:space="preserve">de la IGAE </w:t>
            </w:r>
            <w:r w:rsidR="009F02ED">
              <w:rPr>
                <w:sz w:val="18"/>
                <w:szCs w:val="18"/>
              </w:rPr>
              <w:t xml:space="preserve">en el que se publica el informe de auditoría de la Intervención Delegada en la AEMET pero no se publican- ni se enlaza – a los informes de auditoría o fiscalización </w:t>
            </w:r>
            <w:r w:rsidR="0015374C">
              <w:rPr>
                <w:sz w:val="18"/>
                <w:szCs w:val="18"/>
              </w:rPr>
              <w:t xml:space="preserve"> </w:t>
            </w:r>
            <w:r w:rsidR="009F02ED">
              <w:rPr>
                <w:sz w:val="18"/>
                <w:szCs w:val="18"/>
              </w:rPr>
              <w:t xml:space="preserve">del </w:t>
            </w:r>
            <w:r w:rsidR="0015374C">
              <w:rPr>
                <w:sz w:val="18"/>
                <w:szCs w:val="18"/>
              </w:rPr>
              <w:t xml:space="preserve"> T. Cuentas.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15374C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374C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15374C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374C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  <w:r w:rsidR="00F75D85">
              <w:rPr>
                <w:sz w:val="18"/>
                <w:szCs w:val="18"/>
              </w:rPr>
              <w:t>: publicación en la web de la AEMET</w:t>
            </w:r>
          </w:p>
        </w:tc>
        <w:tc>
          <w:tcPr>
            <w:tcW w:w="709" w:type="dxa"/>
          </w:tcPr>
          <w:p w:rsidR="001A0BD4" w:rsidRPr="007465AA" w:rsidRDefault="0015374C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374C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130CA3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15374C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5374C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  <w:r w:rsidR="00F75D85">
              <w:rPr>
                <w:sz w:val="18"/>
                <w:szCs w:val="18"/>
              </w:rPr>
              <w:t>: publicar los informes de evaluación de los compromisos de la Carta de Servicios</w:t>
            </w:r>
          </w:p>
        </w:tc>
        <w:tc>
          <w:tcPr>
            <w:tcW w:w="709" w:type="dxa"/>
          </w:tcPr>
          <w:p w:rsidR="001A0BD4" w:rsidRPr="007465AA" w:rsidRDefault="0015374C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077B9" w:rsidP="0079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  <w:r w:rsidR="00795473">
              <w:rPr>
                <w:sz w:val="18"/>
                <w:szCs w:val="18"/>
              </w:rPr>
              <w:t xml:space="preserve"> Aunque se publica la Carta de Servicios no se ofrece información sobre las evaluaciones del grado de cumplimiento de sus compromisos</w:t>
            </w:r>
            <w:r w:rsidR="00F75D85">
              <w:rPr>
                <w:sz w:val="18"/>
                <w:szCs w:val="18"/>
              </w:rPr>
              <w:t xml:space="preserve"> </w:t>
            </w:r>
            <w:r w:rsidR="00971FD6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130CA3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1A0BD4" w:rsidRPr="007465AA" w:rsidRDefault="00971FD6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D5F52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971FD6">
              <w:rPr>
                <w:sz w:val="18"/>
                <w:szCs w:val="18"/>
              </w:rPr>
              <w:t xml:space="preserve">En el enlace –Conócenos-Nuestros Recursos-relacionan las instalaciones que posee la Agencia, sin especificar nada más.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30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30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30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971FD6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D5F52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971FD6">
              <w:rPr>
                <w:sz w:val="18"/>
                <w:szCs w:val="18"/>
              </w:rPr>
              <w:t>Organigrama no reutilizable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30CA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971FD6" w:rsidP="00130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971FD6" w:rsidP="0013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actualización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30CA3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0027CA" w:rsidP="00F75D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75D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7" w:type="dxa"/>
          </w:tcPr>
          <w:p w:rsidR="00A249BB" w:rsidRPr="007465AA" w:rsidRDefault="00A249BB" w:rsidP="00130CA3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0027CA" w:rsidP="00DF56A7">
      <w:pPr>
        <w:jc w:val="both"/>
      </w:pPr>
      <w:r>
        <w:t>La AEMET</w:t>
      </w:r>
      <w:r w:rsidR="00C52EE5">
        <w:t xml:space="preserve"> </w:t>
      </w:r>
      <w:r w:rsidR="00F75D85">
        <w:t xml:space="preserve">no </w:t>
      </w:r>
      <w:r w:rsidR="00C52EE5">
        <w:t>ha aplicado</w:t>
      </w:r>
      <w:r w:rsidR="00C56BD7">
        <w:t xml:space="preserve"> </w:t>
      </w:r>
      <w:r w:rsidR="00F75D85">
        <w:t>ninguna</w:t>
      </w:r>
      <w:r w:rsidR="00C56BD7">
        <w:t xml:space="preserve"> </w:t>
      </w:r>
      <w:r w:rsidR="00C52EE5" w:rsidRPr="0076567C">
        <w:t xml:space="preserve"> de las </w:t>
      </w:r>
      <w:r w:rsidR="00F75D85">
        <w:t>veinticuatro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F75D85" w:rsidRDefault="00F75D85" w:rsidP="00DF56A7">
      <w:pPr>
        <w:jc w:val="both"/>
      </w:pPr>
    </w:p>
    <w:p w:rsidR="00C869E3" w:rsidRDefault="00C869E3" w:rsidP="00DF56A7">
      <w:pPr>
        <w:jc w:val="both"/>
      </w:pPr>
    </w:p>
    <w:p w:rsidR="00FA5AFD" w:rsidRDefault="00FA5AFD" w:rsidP="00AC4A6F"/>
    <w:p w:rsidR="003F6EDC" w:rsidRPr="002D27E4" w:rsidRDefault="002D27E4" w:rsidP="00C869E3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5473" w:rsidRPr="00F31BC3" w:rsidRDefault="0079547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80ABF" w:rsidRPr="00F31BC3" w:rsidRDefault="00880AB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F75D85" w:rsidRPr="00F75D85" w:rsidTr="00F75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75D85" w:rsidRPr="00F75D85" w:rsidRDefault="00F75D85" w:rsidP="00F75D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880ABF" w:rsidRPr="00F75D85" w:rsidTr="00880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80ABF" w:rsidRPr="00F75D85" w:rsidRDefault="00880ABF" w:rsidP="00F75D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55,0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35,0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61,4</w:t>
            </w:r>
          </w:p>
        </w:tc>
      </w:tr>
      <w:tr w:rsidR="00F75D85" w:rsidRPr="00F75D85" w:rsidTr="00880AB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F75D85" w:rsidRPr="00F75D85" w:rsidRDefault="00F75D85" w:rsidP="00F75D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F75D85" w:rsidRPr="00880ABF" w:rsidRDefault="00F75D85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0000"/>
                <w:sz w:val="16"/>
                <w:szCs w:val="16"/>
              </w:rPr>
            </w:pPr>
            <w:r w:rsidRPr="00880ABF">
              <w:rPr>
                <w:rFonts w:eastAsia="Calibri" w:cs="Times New Roman"/>
                <w:sz w:val="16"/>
                <w:szCs w:val="16"/>
              </w:rPr>
              <w:t>NO APLICABLE</w:t>
            </w:r>
          </w:p>
        </w:tc>
      </w:tr>
      <w:tr w:rsidR="00880ABF" w:rsidRPr="00F75D85" w:rsidTr="00880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80ABF" w:rsidRPr="00F75D85" w:rsidRDefault="00880ABF" w:rsidP="00F75D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21,1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22,1</w:t>
            </w:r>
          </w:p>
        </w:tc>
      </w:tr>
      <w:tr w:rsidR="00880ABF" w:rsidRPr="00F75D85" w:rsidTr="00880AB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880ABF" w:rsidRPr="00F75D85" w:rsidRDefault="00880ABF" w:rsidP="00F75D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F75D85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0ABF">
              <w:rPr>
                <w:sz w:val="16"/>
                <w:szCs w:val="16"/>
              </w:rPr>
              <w:t>0,0</w:t>
            </w:r>
          </w:p>
        </w:tc>
      </w:tr>
      <w:tr w:rsidR="00880ABF" w:rsidRPr="00F75D85" w:rsidTr="00880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80ABF" w:rsidRPr="00F75D85" w:rsidRDefault="00880ABF" w:rsidP="00F75D85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F75D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37,9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37,9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37,9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37,9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25,9</w:t>
            </w:r>
          </w:p>
        </w:tc>
        <w:tc>
          <w:tcPr>
            <w:tcW w:w="0" w:type="auto"/>
            <w:noWrap/>
            <w:vAlign w:val="center"/>
          </w:tcPr>
          <w:p w:rsidR="00880ABF" w:rsidRPr="00880ABF" w:rsidRDefault="00880ABF" w:rsidP="00880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80ABF">
              <w:rPr>
                <w:b/>
                <w:i/>
                <w:sz w:val="16"/>
                <w:szCs w:val="16"/>
              </w:rPr>
              <w:t>34,9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880ABF">
        <w:rPr>
          <w:lang w:bidi="es-ES"/>
        </w:rPr>
        <w:t>34,9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880ABF">
        <w:rPr>
          <w:lang w:bidi="es-ES"/>
        </w:rPr>
        <w:t xml:space="preserve">1 </w:t>
      </w:r>
      <w:r w:rsidR="00BB3652">
        <w:rPr>
          <w:lang w:bidi="es-ES"/>
        </w:rPr>
        <w:t xml:space="preserve">se produce un incremento de </w:t>
      </w:r>
      <w:r w:rsidR="00880ABF">
        <w:rPr>
          <w:lang w:bidi="es-ES"/>
        </w:rPr>
        <w:t xml:space="preserve">1,2 </w:t>
      </w:r>
      <w:r w:rsidR="00BB3652">
        <w:rPr>
          <w:lang w:bidi="es-ES"/>
        </w:rPr>
        <w:t xml:space="preserve"> puntos porcentuales.</w:t>
      </w:r>
    </w:p>
    <w:p w:rsidR="00EB68A3" w:rsidRDefault="00EB68A3" w:rsidP="00F05E2C">
      <w:pPr>
        <w:pStyle w:val="Cuerpodelboletn"/>
      </w:pPr>
    </w:p>
    <w:p w:rsidR="00880ABF" w:rsidRDefault="00880ABF" w:rsidP="00F05E2C">
      <w:pPr>
        <w:pStyle w:val="Cuerpodelboletn"/>
        <w:sectPr w:rsidR="00880AB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880ABF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880ABF">
        <w:t>la AEMET</w:t>
      </w:r>
      <w:r>
        <w:t xml:space="preserve">. </w:t>
      </w:r>
      <w:r w:rsidR="00880ABF">
        <w:t>No</w:t>
      </w:r>
      <w:r>
        <w:t xml:space="preserve"> se ha aplicado </w:t>
      </w:r>
      <w:r w:rsidR="00880ABF">
        <w:t>ninguna</w:t>
      </w:r>
      <w:r>
        <w:t xml:space="preserve"> de las recomendaciones efectuadas como consecuencia de la evaluación realizada en 202</w:t>
      </w:r>
      <w:r w:rsidR="00880ABF">
        <w:t>1 y el índice de Cumplimiento ha permanecido estable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5473" w:rsidRPr="00F31BC3" w:rsidRDefault="0079547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880ABF" w:rsidRPr="00F31BC3" w:rsidRDefault="00880ABF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</w:t>
      </w:r>
      <w:r w:rsidR="00880ABF">
        <w:rPr>
          <w:rFonts w:ascii="Century Gothic" w:hAnsi="Century Gothic"/>
        </w:rPr>
        <w:t>sin crearse un espacio específico para la publicación de las informaciones sujetas a obligaciones de publicidad activa y en consecuencia, la información que se publica se encuentra dispersa en diversos apartados de su web institucional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 xml:space="preserve">sigue sin </w:t>
      </w:r>
      <w:r w:rsidR="00D666B0">
        <w:rPr>
          <w:rFonts w:ascii="Century Gothic" w:hAnsi="Century Gothic"/>
        </w:rPr>
        <w:t>localizarse</w:t>
      </w:r>
      <w:r w:rsidR="00A670E9">
        <w:rPr>
          <w:rFonts w:ascii="Century Gothic" w:hAnsi="Century Gothic"/>
        </w:rPr>
        <w:t>:</w:t>
      </w:r>
    </w:p>
    <w:p w:rsidR="00CC3B31" w:rsidRDefault="00CC3B31" w:rsidP="00CC3B31">
      <w:pPr>
        <w:pStyle w:val="Prrafodelista"/>
      </w:pPr>
    </w:p>
    <w:p w:rsidR="00880ABF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A670E9" w:rsidRDefault="00880ABF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A670E9">
        <w:rPr>
          <w:rFonts w:ascii="Century Gothic" w:hAnsi="Century Gothic"/>
        </w:rPr>
        <w:t xml:space="preserve">as normas de carácter general que regulan la actividad de la </w:t>
      </w:r>
      <w:r w:rsidR="00C52EE5">
        <w:rPr>
          <w:rFonts w:ascii="Century Gothic" w:hAnsi="Century Gothic"/>
        </w:rPr>
        <w:t>entidad</w:t>
      </w:r>
      <w:r w:rsidR="00A670E9">
        <w:rPr>
          <w:rFonts w:ascii="Century Gothic" w:hAnsi="Century Gothic"/>
        </w:rPr>
        <w:t xml:space="preserve">.  </w:t>
      </w:r>
    </w:p>
    <w:p w:rsidR="00880ABF" w:rsidRDefault="00880ABF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Registro de Actividades de Tratamiento</w:t>
      </w:r>
    </w:p>
    <w:p w:rsidR="00880ABF" w:rsidRDefault="00880ABF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los máximos responsables</w:t>
      </w:r>
    </w:p>
    <w:p w:rsidR="00880ABF" w:rsidRDefault="00880ABF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trayectoria profesional de los máximos responsables</w:t>
      </w:r>
    </w:p>
    <w:p w:rsidR="00880ABF" w:rsidRDefault="00880ABF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planes anuales</w:t>
      </w:r>
    </w:p>
    <w:p w:rsidR="00880ABF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</w:t>
      </w:r>
    </w:p>
    <w:p w:rsidR="00880ABF" w:rsidRDefault="00880ABF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="00C52EE5">
        <w:rPr>
          <w:rFonts w:ascii="Century Gothic" w:hAnsi="Century Gothic"/>
        </w:rPr>
        <w:t xml:space="preserve">o se publica </w:t>
      </w:r>
      <w:r>
        <w:rPr>
          <w:rFonts w:ascii="Century Gothic" w:hAnsi="Century Gothic"/>
        </w:rPr>
        <w:t xml:space="preserve">ninguna de las informaciones obligatorias del grupo contratación. Ni tan siquiera existe un enlace al perfil del contratante de AEMET en la </w:t>
      </w:r>
      <w:r w:rsidR="00D666B0">
        <w:rPr>
          <w:rFonts w:ascii="Century Gothic" w:hAnsi="Century Gothic"/>
        </w:rPr>
        <w:t>P</w:t>
      </w:r>
      <w:r>
        <w:rPr>
          <w:rFonts w:ascii="Century Gothic" w:hAnsi="Century Gothic"/>
        </w:rPr>
        <w:t xml:space="preserve">lataforma de </w:t>
      </w:r>
      <w:r w:rsidR="00D666B0">
        <w:rPr>
          <w:rFonts w:ascii="Century Gothic" w:hAnsi="Century Gothic"/>
        </w:rPr>
        <w:t>Contratación del S</w:t>
      </w:r>
      <w:r>
        <w:rPr>
          <w:rFonts w:ascii="Century Gothic" w:hAnsi="Century Gothic"/>
        </w:rPr>
        <w:t xml:space="preserve">ector </w:t>
      </w:r>
      <w:r w:rsidR="00D666B0">
        <w:rPr>
          <w:rFonts w:ascii="Century Gothic" w:hAnsi="Century Gothic"/>
        </w:rPr>
        <w:t>P</w:t>
      </w:r>
      <w:r>
        <w:rPr>
          <w:rFonts w:ascii="Century Gothic" w:hAnsi="Century Gothic"/>
        </w:rPr>
        <w:t>úblico</w:t>
      </w:r>
    </w:p>
    <w:p w:rsidR="00880ABF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encomiendas de gestión ni las subcontrataciones derivadas de ellas</w:t>
      </w:r>
    </w:p>
    <w:p w:rsid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concedidas</w:t>
      </w:r>
    </w:p>
    <w:p w:rsid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ejecución presupuestaria</w:t>
      </w:r>
    </w:p>
    <w:p w:rsidR="00E240AC" w:rsidRP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informes de auditoría de cuentas elaborados por </w:t>
      </w:r>
      <w:r w:rsidR="000077B9">
        <w:rPr>
          <w:rFonts w:ascii="Century Gothic" w:hAnsi="Century Gothic"/>
        </w:rPr>
        <w:t>el Tribunal de Cuentas</w:t>
      </w:r>
    </w:p>
    <w:p w:rsid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de sus máximos responsables</w:t>
      </w:r>
    </w:p>
    <w:p w:rsid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indemnizaciones percibidas por altos cargos y máximos responsables tras el abandono del cargo</w:t>
      </w:r>
    </w:p>
    <w:p w:rsid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autorizaciones de compatibilidad concedidas a los empleados públicos de la AEMET.</w:t>
      </w:r>
    </w:p>
    <w:p w:rsidR="00E240AC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autorizaciones para el ejercicio de actividades privadas al ceso de altos Cargos.</w:t>
      </w:r>
    </w:p>
    <w:p w:rsidR="004D4B3E" w:rsidRDefault="00E240AC" w:rsidP="00880AB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evaluaciones del grado de cumplimiento de los compromisos de la Carta de Servicios</w:t>
      </w:r>
      <w:r w:rsidR="00C52EE5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E240AC" w:rsidRDefault="00E240AC" w:rsidP="00E240A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Patrimonial: </w:t>
      </w:r>
      <w:r w:rsidR="00D666B0">
        <w:rPr>
          <w:rFonts w:ascii="Century Gothic" w:hAnsi="Century Gothic"/>
        </w:rPr>
        <w:t>n</w:t>
      </w:r>
      <w:r>
        <w:rPr>
          <w:rFonts w:ascii="Century Gothic" w:hAnsi="Century Gothic"/>
        </w:rPr>
        <w:t>o se publica información sobre los bienes inmuebles propiedad de AEMET o sobre los que ostente algún derecho real.</w:t>
      </w:r>
    </w:p>
    <w:p w:rsidR="00E240AC" w:rsidRDefault="00E240AC" w:rsidP="00E240AC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E240AC" w:rsidRDefault="00E240AC" w:rsidP="00E240A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E240AC">
        <w:rPr>
          <w:rFonts w:ascii="Century Gothic" w:hAnsi="Century Gothic"/>
        </w:rPr>
        <w:t>Respecto del cumplimiento de los criterios de calidad en la publicación de la información</w:t>
      </w:r>
      <w:r>
        <w:rPr>
          <w:rFonts w:ascii="Century Gothic" w:hAnsi="Century Gothic"/>
        </w:rPr>
        <w:t>:</w:t>
      </w:r>
    </w:p>
    <w:p w:rsidR="00E240AC" w:rsidRDefault="00E240AC" w:rsidP="00E240A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E240AC" w:rsidRDefault="000F0DA5" w:rsidP="00E240A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077B9">
        <w:rPr>
          <w:rFonts w:ascii="Century Gothic" w:hAnsi="Century Gothic"/>
        </w:rPr>
        <w:t>G</w:t>
      </w:r>
      <w:r w:rsidR="0076567C">
        <w:rPr>
          <w:rFonts w:ascii="Century Gothic" w:hAnsi="Century Gothic"/>
        </w:rPr>
        <w:t>ran parte de la información no está datada</w:t>
      </w:r>
    </w:p>
    <w:p w:rsidR="00E240AC" w:rsidRDefault="00E240AC" w:rsidP="00E240AC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E240AC" w:rsidRPr="00E240AC" w:rsidRDefault="00E240AC" w:rsidP="00E240AC">
      <w:pPr>
        <w:pStyle w:val="Prrafodelista"/>
        <w:numPr>
          <w:ilvl w:val="1"/>
          <w:numId w:val="18"/>
        </w:numPr>
        <w:jc w:val="both"/>
        <w:rPr>
          <w:szCs w:val="22"/>
        </w:rPr>
      </w:pPr>
      <w:r w:rsidRPr="00E240AC">
        <w:rPr>
          <w:szCs w:val="22"/>
        </w:rPr>
        <w:t xml:space="preserve">La información debe publicarse en la web </w:t>
      </w:r>
      <w:r>
        <w:rPr>
          <w:szCs w:val="22"/>
        </w:rPr>
        <w:t>de AEMET</w:t>
      </w:r>
      <w:r w:rsidRPr="00E240AC">
        <w:rPr>
          <w:szCs w:val="22"/>
        </w:rPr>
        <w:t xml:space="preserve">, sin que quepa remisión a la publicación en el Portal de Transparencia de la AGE, ya que éste sólo debería publicar la información correspondiente a la organización central de los Ministerios, administración territorial  y  Administración General del Estado en el Exterior.  </w:t>
      </w:r>
      <w:r>
        <w:rPr>
          <w:szCs w:val="22"/>
        </w:rPr>
        <w:t>Por otra parte,</w:t>
      </w:r>
      <w:r w:rsidRPr="00E240AC">
        <w:rPr>
          <w:szCs w:val="22"/>
        </w:rPr>
        <w:t xml:space="preserve"> esta forma de publicación exige la realización de nuevas búsquedas para localizar</w:t>
      </w:r>
      <w:r>
        <w:rPr>
          <w:szCs w:val="22"/>
        </w:rPr>
        <w:t xml:space="preserve"> la información.</w:t>
      </w:r>
    </w:p>
    <w:p w:rsidR="004061BC" w:rsidRDefault="004061BC" w:rsidP="00E240AC">
      <w:pPr>
        <w:pStyle w:val="Sinespaciado"/>
        <w:spacing w:line="276" w:lineRule="auto"/>
        <w:ind w:left="108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0077B9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</w:t>
      </w:r>
      <w:r w:rsidR="00E240AC">
        <w:rPr>
          <w:rFonts w:ascii="Century Gothic" w:hAnsi="Century Gothic"/>
        </w:rPr>
        <w:t>2022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lastRenderedPageBreak/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5473" w:rsidRPr="00F31BC3" w:rsidRDefault="0079547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880ABF" w:rsidRPr="00F31BC3" w:rsidRDefault="00880AB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795473" w:rsidRPr="00F31BC3" w:rsidRDefault="0079547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80ABF" w:rsidRPr="00F31BC3" w:rsidRDefault="00880ABF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73" w:rsidRDefault="00795473" w:rsidP="00F31BC3">
      <w:r>
        <w:separator/>
      </w:r>
    </w:p>
  </w:endnote>
  <w:endnote w:type="continuationSeparator" w:id="0">
    <w:p w:rsidR="00795473" w:rsidRDefault="0079547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73" w:rsidRDefault="007954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73" w:rsidRDefault="007954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73" w:rsidRDefault="007954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73" w:rsidRDefault="00795473" w:rsidP="00F31BC3">
      <w:r>
        <w:separator/>
      </w:r>
    </w:p>
  </w:footnote>
  <w:footnote w:type="continuationSeparator" w:id="0">
    <w:p w:rsidR="00795473" w:rsidRDefault="0079547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73" w:rsidRDefault="002668B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0001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73" w:rsidRDefault="002668B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0002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73" w:rsidRDefault="002668B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0000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92F8AC7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27CA"/>
    <w:rsid w:val="00006957"/>
    <w:rsid w:val="000077B9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2909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0CA3"/>
    <w:rsid w:val="00132732"/>
    <w:rsid w:val="00146C3C"/>
    <w:rsid w:val="0015374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668B0"/>
    <w:rsid w:val="002C19B9"/>
    <w:rsid w:val="002C1DD9"/>
    <w:rsid w:val="002C41B4"/>
    <w:rsid w:val="002D0702"/>
    <w:rsid w:val="002D27E4"/>
    <w:rsid w:val="002E409F"/>
    <w:rsid w:val="002E644A"/>
    <w:rsid w:val="002F06DC"/>
    <w:rsid w:val="002F5C42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3BB3"/>
    <w:rsid w:val="003F4DDD"/>
    <w:rsid w:val="003F6EDC"/>
    <w:rsid w:val="004061BC"/>
    <w:rsid w:val="00411C2D"/>
    <w:rsid w:val="00415DBD"/>
    <w:rsid w:val="004228DC"/>
    <w:rsid w:val="00422B18"/>
    <w:rsid w:val="0045395D"/>
    <w:rsid w:val="004720A5"/>
    <w:rsid w:val="0047735C"/>
    <w:rsid w:val="004774B8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2B24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73"/>
    <w:rsid w:val="007954A6"/>
    <w:rsid w:val="007C65C5"/>
    <w:rsid w:val="007D1701"/>
    <w:rsid w:val="007D5CBF"/>
    <w:rsid w:val="007D69D9"/>
    <w:rsid w:val="007F1D56"/>
    <w:rsid w:val="007F5F9D"/>
    <w:rsid w:val="007F7BF3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0ABF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71FD6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02ED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1121"/>
    <w:rsid w:val="00A670E9"/>
    <w:rsid w:val="00A82709"/>
    <w:rsid w:val="00AA0AE1"/>
    <w:rsid w:val="00AC2425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B391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56BD7"/>
    <w:rsid w:val="00C61E7F"/>
    <w:rsid w:val="00C66E73"/>
    <w:rsid w:val="00C869E3"/>
    <w:rsid w:val="00C91330"/>
    <w:rsid w:val="00CB6466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666B0"/>
    <w:rsid w:val="00D70570"/>
    <w:rsid w:val="00D9090A"/>
    <w:rsid w:val="00D96084"/>
    <w:rsid w:val="00DA6660"/>
    <w:rsid w:val="00DC5B52"/>
    <w:rsid w:val="00DD515F"/>
    <w:rsid w:val="00DE2DD3"/>
    <w:rsid w:val="00DF25D7"/>
    <w:rsid w:val="00DF54AF"/>
    <w:rsid w:val="00DF555F"/>
    <w:rsid w:val="00DF56A7"/>
    <w:rsid w:val="00E023B5"/>
    <w:rsid w:val="00E17DF6"/>
    <w:rsid w:val="00E240AC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75D85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D5F52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F75D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F75D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71A30"/>
    <w:rsid w:val="00443EA4"/>
    <w:rsid w:val="00583D19"/>
    <w:rsid w:val="00722728"/>
    <w:rsid w:val="00787EBD"/>
    <w:rsid w:val="007C3485"/>
    <w:rsid w:val="008C36F9"/>
    <w:rsid w:val="008E118A"/>
    <w:rsid w:val="00A104A7"/>
    <w:rsid w:val="00AB484A"/>
    <w:rsid w:val="00C32372"/>
    <w:rsid w:val="00DA008C"/>
    <w:rsid w:val="00DB3B32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C8282-0ECF-4C9D-A3B0-B61D0FE9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233</TotalTime>
  <Pages>7</Pages>
  <Words>1390</Words>
  <Characters>7649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12</cp:revision>
  <cp:lastPrinted>2022-03-21T13:08:00Z</cp:lastPrinted>
  <dcterms:created xsi:type="dcterms:W3CDTF">2022-02-25T12:45:00Z</dcterms:created>
  <dcterms:modified xsi:type="dcterms:W3CDTF">2022-09-08T09:46:00Z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