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564" w:rsidRDefault="00E13AE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D2256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D2256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D2256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SEIASA, SEM</w:t>
                                </w:r>
                                <w:proofErr w:type="gramStart"/>
                                <w:r w:rsidR="00D2256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,SA</w:t>
                                </w:r>
                                <w:proofErr w:type="gramEnd"/>
                              </w:sdtContent>
                            </w:sdt>
                            <w:r w:rsidR="00D22564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D22564" w:rsidRDefault="00E13AE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D2256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D2256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D2256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SEIASA, SEM</w:t>
                          </w:r>
                          <w:proofErr w:type="gramStart"/>
                          <w:r w:rsidR="00D2256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,SA</w:t>
                          </w:r>
                          <w:proofErr w:type="gramEnd"/>
                        </w:sdtContent>
                      </w:sdt>
                      <w:r w:rsidR="00D22564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2564" w:rsidRDefault="00D2256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7640E0" w:rsidRDefault="007640E0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13AE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942D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942D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942D3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3544D" w:rsidP="00C039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C0396B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942D3C" w:rsidRPr="007465AA" w:rsidRDefault="00942D3C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C0396B" w:rsidP="00C03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Se publica</w:t>
            </w:r>
            <w:r w:rsidR="00F40795">
              <w:rPr>
                <w:sz w:val="18"/>
                <w:szCs w:val="18"/>
              </w:rPr>
              <w:t xml:space="preserve"> la estructura del Consejo de Administración y de la Comisión de Auditoría y Control</w:t>
            </w:r>
            <w:r>
              <w:rPr>
                <w:sz w:val="18"/>
                <w:szCs w:val="18"/>
              </w:rPr>
              <w:t xml:space="preserve"> pero no se describe la estructura de la sociedad incluyendo tanto los órganos de gobierno como los de gestión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  <w:r w:rsidR="00C0396B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0396B" w:rsidP="00942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Se publica el organigrama directivo pero no un organigrama completo que incluya los órganos de gobierno de la entidad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  <w:r w:rsidR="00B8504B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40795" w:rsidP="00B850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B8504B">
              <w:rPr>
                <w:sz w:val="18"/>
                <w:szCs w:val="18"/>
              </w:rPr>
              <w:t>Los miembros del Consejo de Administración son representantes de diferentes Ministerios.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8504B" w:rsidP="00B85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8504B" w:rsidP="00942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B4D38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CB4D38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640E0" w:rsidP="00832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Refer</w:t>
            </w:r>
            <w:r w:rsidR="0083210B">
              <w:rPr>
                <w:sz w:val="18"/>
                <w:szCs w:val="18"/>
              </w:rPr>
              <w:t>idos</w:t>
            </w:r>
            <w:r>
              <w:rPr>
                <w:sz w:val="18"/>
                <w:szCs w:val="18"/>
              </w:rPr>
              <w:t xml:space="preserve"> a 2020 sólo </w:t>
            </w:r>
            <w:r w:rsidR="00CB4D38">
              <w:rPr>
                <w:sz w:val="18"/>
                <w:szCs w:val="18"/>
              </w:rPr>
              <w:t>se publica</w:t>
            </w:r>
            <w:r>
              <w:rPr>
                <w:sz w:val="18"/>
                <w:szCs w:val="18"/>
              </w:rPr>
              <w:t xml:space="preserve"> el objeto y la fecha de la firma.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  <w:r w:rsidR="00CB4D38">
              <w:rPr>
                <w:sz w:val="18"/>
                <w:szCs w:val="18"/>
              </w:rPr>
              <w:t>: informar sobre subvenciones concedidas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640E0" w:rsidP="00CB4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CB4D38">
              <w:rPr>
                <w:sz w:val="18"/>
                <w:szCs w:val="18"/>
              </w:rPr>
              <w:t>Sigue publicándose exclusivamente información sobre subvenciones recibidas.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640E0" w:rsidP="00942D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Año 2022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CB4D38" w:rsidP="00942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Informes de auditoría : completar información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164F8" w:rsidRPr="00C164F8" w:rsidRDefault="00CB4D38" w:rsidP="00CB4D38">
            <w:pPr>
              <w:pStyle w:val="NormalWeb"/>
              <w:spacing w:before="0" w:beforeAutospacing="0" w:after="150" w:afterAutospacing="0"/>
              <w:rPr>
                <w:rFonts w:ascii="Century Gothic" w:hAnsi="Century Gothic"/>
                <w:color w:val="34495E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No. Siguen sin publicarse o enlazarse a los informes de auditoría y fiscalización elaborados por el Tribunal de Cuentas</w:t>
            </w:r>
          </w:p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B4D38" w:rsidP="00CB4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Parcialmente. Se p</w:t>
            </w:r>
            <w:r w:rsidR="00C164F8">
              <w:rPr>
                <w:sz w:val="18"/>
                <w:szCs w:val="18"/>
              </w:rPr>
              <w:t xml:space="preserve">ublican las retribuciones del Presidente y las dietas del Consejo de Administración. </w:t>
            </w:r>
            <w:r>
              <w:rPr>
                <w:sz w:val="18"/>
                <w:szCs w:val="18"/>
              </w:rPr>
              <w:t>Pero no las correspondientes a los miembros del equipo directivo.</w:t>
            </w:r>
          </w:p>
        </w:tc>
      </w:tr>
      <w:tr w:rsidR="00CB4D38" w:rsidRPr="007465AA" w:rsidTr="007465AA">
        <w:tc>
          <w:tcPr>
            <w:tcW w:w="1668" w:type="dxa"/>
            <w:vMerge/>
            <w:vAlign w:val="center"/>
          </w:tcPr>
          <w:p w:rsidR="00CB4D38" w:rsidRPr="007465AA" w:rsidRDefault="00CB4D38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B4D38" w:rsidRPr="007465AA" w:rsidRDefault="00CB4D38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CB4D38" w:rsidRPr="007465AA" w:rsidRDefault="00CB4D38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B4D38" w:rsidRPr="00CB4D38" w:rsidRDefault="00CB4D38">
            <w:pPr>
              <w:rPr>
                <w:sz w:val="18"/>
                <w:szCs w:val="18"/>
              </w:rPr>
            </w:pPr>
            <w:r w:rsidRPr="00CB4D38">
              <w:rPr>
                <w:sz w:val="18"/>
                <w:szCs w:val="18"/>
              </w:rPr>
              <w:t>No</w:t>
            </w:r>
          </w:p>
        </w:tc>
      </w:tr>
      <w:tr w:rsidR="00CB4D38" w:rsidRPr="007465AA" w:rsidTr="007465AA">
        <w:tc>
          <w:tcPr>
            <w:tcW w:w="1668" w:type="dxa"/>
            <w:vMerge/>
            <w:vAlign w:val="center"/>
          </w:tcPr>
          <w:p w:rsidR="00CB4D38" w:rsidRPr="007465AA" w:rsidRDefault="00CB4D38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B4D38" w:rsidRPr="007465AA" w:rsidRDefault="00CB4D38" w:rsidP="00942D3C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CB4D38" w:rsidRPr="007465AA" w:rsidRDefault="00CB4D38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B4D38" w:rsidRPr="00CB4D38" w:rsidRDefault="00CB4D38">
            <w:pPr>
              <w:rPr>
                <w:sz w:val="18"/>
                <w:szCs w:val="18"/>
              </w:rPr>
            </w:pPr>
            <w:r w:rsidRPr="00CB4D38">
              <w:rPr>
                <w:sz w:val="18"/>
                <w:szCs w:val="18"/>
              </w:rPr>
              <w:t>No</w:t>
            </w:r>
          </w:p>
        </w:tc>
      </w:tr>
      <w:tr w:rsidR="00CB4D38" w:rsidRPr="007465AA" w:rsidTr="007465AA">
        <w:tc>
          <w:tcPr>
            <w:tcW w:w="1668" w:type="dxa"/>
            <w:vMerge/>
            <w:vAlign w:val="center"/>
          </w:tcPr>
          <w:p w:rsidR="00CB4D38" w:rsidRPr="007465AA" w:rsidRDefault="00CB4D38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B4D38" w:rsidRPr="00337C82" w:rsidRDefault="00CB4D38" w:rsidP="00942D3C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CB4D38" w:rsidRPr="007465AA" w:rsidRDefault="00CB4D38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B4D38" w:rsidRPr="00CB4D38" w:rsidRDefault="00CB4D38">
            <w:pPr>
              <w:rPr>
                <w:sz w:val="18"/>
                <w:szCs w:val="18"/>
              </w:rPr>
            </w:pPr>
            <w:r w:rsidRPr="00CB4D38"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942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942D3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942D3C" w:rsidP="00942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83210B" w:rsidP="00942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942D3C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C164F8" w:rsidP="007C26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C266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A249BB" w:rsidRPr="007465AA" w:rsidRDefault="00A249BB" w:rsidP="00942D3C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164F8" w:rsidP="00DF56A7">
      <w:pPr>
        <w:jc w:val="both"/>
      </w:pPr>
      <w:r>
        <w:t>SEIASA, S</w:t>
      </w:r>
      <w:r w:rsidR="0083210B">
        <w:t>ME</w:t>
      </w:r>
      <w:r>
        <w:t xml:space="preserve">, S.A, </w:t>
      </w:r>
      <w:r w:rsidR="00C52EE5">
        <w:t xml:space="preserve"> ha aplicado </w:t>
      </w:r>
      <w:r w:rsidR="007C2664">
        <w:t xml:space="preserve">seis – de ellas </w:t>
      </w:r>
      <w:r w:rsidR="0083210B">
        <w:t>una</w:t>
      </w:r>
      <w:r w:rsidR="007C2664">
        <w:t xml:space="preserve"> de manera parcial -</w:t>
      </w:r>
      <w:r w:rsidR="001259B4">
        <w:t xml:space="preserve"> </w:t>
      </w:r>
      <w:r w:rsidR="00C52EE5" w:rsidRPr="0076567C">
        <w:t xml:space="preserve">de las </w:t>
      </w:r>
      <w:r w:rsidR="007C2664">
        <w:t>quince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 w:rsidR="001259B4"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2564" w:rsidRPr="00F31BC3" w:rsidRDefault="00D2256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7640E0" w:rsidRPr="00F31BC3" w:rsidRDefault="007640E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13AE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942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F5697" w:rsidRPr="008677FD" w:rsidTr="007F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F5697" w:rsidRPr="008677FD" w:rsidRDefault="007F5697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89,3</w:t>
            </w:r>
          </w:p>
        </w:tc>
      </w:tr>
      <w:tr w:rsidR="007F5697" w:rsidRPr="008677FD" w:rsidTr="007F569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F5697" w:rsidRPr="008677FD" w:rsidRDefault="007F5697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52,2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65,4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5697">
              <w:rPr>
                <w:sz w:val="16"/>
                <w:szCs w:val="16"/>
              </w:rPr>
              <w:t>59,7</w:t>
            </w:r>
          </w:p>
        </w:tc>
      </w:tr>
      <w:tr w:rsidR="007F5697" w:rsidRPr="008677FD" w:rsidTr="007F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F5697" w:rsidRPr="008677FD" w:rsidRDefault="007F5697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F5697">
              <w:rPr>
                <w:b/>
                <w:i/>
                <w:sz w:val="16"/>
                <w:szCs w:val="16"/>
              </w:rPr>
              <w:t>62,0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F5697">
              <w:rPr>
                <w:b/>
                <w:i/>
                <w:sz w:val="16"/>
                <w:szCs w:val="16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F5697">
              <w:rPr>
                <w:b/>
                <w:i/>
                <w:sz w:val="16"/>
                <w:szCs w:val="16"/>
              </w:rPr>
              <w:t>78,9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F5697">
              <w:rPr>
                <w:b/>
                <w:i/>
                <w:sz w:val="16"/>
                <w:szCs w:val="16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F5697">
              <w:rPr>
                <w:b/>
                <w:i/>
                <w:sz w:val="16"/>
                <w:szCs w:val="16"/>
              </w:rPr>
              <w:t>78,9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F5697">
              <w:rPr>
                <w:b/>
                <w:i/>
                <w:sz w:val="16"/>
                <w:szCs w:val="16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F5697">
              <w:rPr>
                <w:b/>
                <w:i/>
                <w:sz w:val="16"/>
                <w:szCs w:val="16"/>
              </w:rPr>
              <w:t>57,9</w:t>
            </w:r>
          </w:p>
        </w:tc>
        <w:tc>
          <w:tcPr>
            <w:tcW w:w="0" w:type="auto"/>
            <w:noWrap/>
            <w:vAlign w:val="center"/>
          </w:tcPr>
          <w:p w:rsidR="007F5697" w:rsidRPr="007F5697" w:rsidRDefault="007F5697" w:rsidP="007F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F5697">
              <w:rPr>
                <w:b/>
                <w:i/>
                <w:sz w:val="16"/>
                <w:szCs w:val="16"/>
              </w:rPr>
              <w:t>69,0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7F5697">
        <w:rPr>
          <w:lang w:bidi="es-ES"/>
        </w:rPr>
        <w:t>69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D22564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D22564">
        <w:rPr>
          <w:lang w:bidi="es-ES"/>
        </w:rPr>
        <w:t>26,3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D22564">
        <w:rPr>
          <w:lang w:bidi="es-ES"/>
        </w:rPr>
        <w:t xml:space="preserve">varias </w:t>
      </w:r>
      <w:r w:rsidR="0076567C">
        <w:rPr>
          <w:lang w:bidi="es-ES"/>
        </w:rPr>
        <w:t xml:space="preserve">de las recomendaciones efectuadas en </w:t>
      </w:r>
      <w:r w:rsidR="00D22564">
        <w:rPr>
          <w:lang w:bidi="es-ES"/>
        </w:rPr>
        <w:t xml:space="preserve">ese año. </w:t>
      </w:r>
      <w:r w:rsidR="00BB3652">
        <w:rPr>
          <w:lang w:bidi="es-ES"/>
        </w:rPr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lastRenderedPageBreak/>
        <w:t xml:space="preserve">Este CTBG </w:t>
      </w:r>
      <w:r w:rsidRPr="00BB3652">
        <w:rPr>
          <w:b/>
        </w:rPr>
        <w:t xml:space="preserve">valora </w:t>
      </w:r>
      <w:r w:rsidR="00D22564">
        <w:rPr>
          <w:b/>
        </w:rPr>
        <w:t>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D22564">
        <w:t>SEIASA</w:t>
      </w:r>
      <w:r>
        <w:t xml:space="preserve">. </w:t>
      </w:r>
      <w:r w:rsidR="00D22564">
        <w:t>S</w:t>
      </w:r>
      <w:r>
        <w:t xml:space="preserve">e ha aplicado </w:t>
      </w:r>
      <w:r w:rsidR="00D22564">
        <w:t>40%</w:t>
      </w:r>
      <w:r>
        <w:t xml:space="preserve"> de las recomendaciones </w:t>
      </w:r>
      <w:r w:rsidR="00D22564">
        <w:t>derivadas</w:t>
      </w:r>
      <w:r>
        <w:t xml:space="preserve"> de la evaluación realizada en 202</w:t>
      </w:r>
      <w:r w:rsidR="00D22564">
        <w:t>1 y como consecuencia de esto el ICIO se ha incrementado en un 61,6%</w:t>
      </w:r>
      <w:r>
        <w:t>.</w:t>
      </w:r>
    </w:p>
    <w:p w:rsidR="004061BC" w:rsidRDefault="00D22564" w:rsidP="00A670E9">
      <w:pPr>
        <w:pStyle w:val="Cuerpodelboletn"/>
      </w:pPr>
      <w:r>
        <w:t>No obstante,</w:t>
      </w:r>
      <w:r w:rsidR="00BB3652">
        <w:t xml:space="preserve"> persisten </w:t>
      </w:r>
      <w:r>
        <w:t xml:space="preserve">algunos de </w:t>
      </w:r>
      <w:r w:rsidR="00BB3652"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2564" w:rsidRPr="00F31BC3" w:rsidRDefault="00D22564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7640E0" w:rsidRPr="00F31BC3" w:rsidRDefault="007640E0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D22564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descripción de la estructura de la sociedad incluyendo tanto los órganos de gobierno como los de gestión.</w:t>
      </w:r>
    </w:p>
    <w:p w:rsidR="00A670E9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misma situación se da en relación con el organigrama. </w:t>
      </w:r>
    </w:p>
    <w:p w:rsidR="00D22564" w:rsidRDefault="00D22564" w:rsidP="00D2256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D22564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D22564">
        <w:rPr>
          <w:rFonts w:ascii="Century Gothic" w:hAnsi="Century Gothic"/>
        </w:rPr>
        <w:t>:</w:t>
      </w:r>
    </w:p>
    <w:p w:rsidR="00D22564" w:rsidRDefault="00C52EE5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22564">
        <w:rPr>
          <w:rFonts w:ascii="Century Gothic" w:hAnsi="Century Gothic"/>
        </w:rPr>
        <w:t xml:space="preserve">No se ha completado la información sobre convenios, incluyendo todos los ítems obligatorios que establece la LTAIBG. Además la información está referida a 2020 y por lo tanto, desactualizada. </w:t>
      </w:r>
    </w:p>
    <w:p w:rsidR="004D4B3E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 información sobre las subvenciones o ayudas públicas concedidas por SEIASA. En el caso de que no se concedan, tal como se indicó en el informe de evaluación 2021</w:t>
      </w:r>
      <w:r w:rsidR="0083210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debería indicarse expresamente en el apartado correspondiente del portal de transparencia</w:t>
      </w:r>
      <w:r w:rsidR="00C52EE5">
        <w:rPr>
          <w:rFonts w:ascii="Century Gothic" w:hAnsi="Century Gothic"/>
        </w:rPr>
        <w:t>.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realizados por el Tribunal de Cuentas.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van referidas a la Presidencia y al Consejo de Administración. No se informa sobre las retribuciones del equipo de dirección.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indemnizaciones concedidas al cese de altos cargos y máximos responsables.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de compatibilidad concedidas a empleados.</w:t>
      </w:r>
    </w:p>
    <w:p w:rsidR="00D22564" w:rsidRDefault="00D22564" w:rsidP="00D2256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autorizaciones para el ejercicio de actividades privadas al cese de altos cargos. 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83210B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E355D7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2564" w:rsidRPr="00F31BC3" w:rsidRDefault="00D2256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7640E0" w:rsidRPr="00F31BC3" w:rsidRDefault="007640E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22564" w:rsidRPr="00F31BC3" w:rsidRDefault="00D2256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7640E0" w:rsidRPr="00F31BC3" w:rsidRDefault="007640E0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64" w:rsidRDefault="00D22564" w:rsidP="00F31BC3">
      <w:r>
        <w:separator/>
      </w:r>
    </w:p>
  </w:endnote>
  <w:endnote w:type="continuationSeparator" w:id="0">
    <w:p w:rsidR="00D22564" w:rsidRDefault="00D2256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64" w:rsidRDefault="00D225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64" w:rsidRDefault="00D225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64" w:rsidRDefault="00D225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64" w:rsidRDefault="00D22564" w:rsidP="00F31BC3">
      <w:r>
        <w:separator/>
      </w:r>
    </w:p>
  </w:footnote>
  <w:footnote w:type="continuationSeparator" w:id="0">
    <w:p w:rsidR="00D22564" w:rsidRDefault="00D22564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64" w:rsidRDefault="00E13AE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4110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64" w:rsidRDefault="00E13AE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4111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64" w:rsidRDefault="00E13AE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4109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259B4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28B2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40E0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2664"/>
    <w:rsid w:val="007C65C5"/>
    <w:rsid w:val="007D1701"/>
    <w:rsid w:val="007D5CBF"/>
    <w:rsid w:val="007D69D9"/>
    <w:rsid w:val="007F1D56"/>
    <w:rsid w:val="007F5697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210B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3544D"/>
    <w:rsid w:val="00942D3C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04B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396B"/>
    <w:rsid w:val="00C1290B"/>
    <w:rsid w:val="00C164F8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4D38"/>
    <w:rsid w:val="00CB6837"/>
    <w:rsid w:val="00CC3B31"/>
    <w:rsid w:val="00CC48E8"/>
    <w:rsid w:val="00CD3DE8"/>
    <w:rsid w:val="00CF21EB"/>
    <w:rsid w:val="00CF2681"/>
    <w:rsid w:val="00D014E1"/>
    <w:rsid w:val="00D01CA1"/>
    <w:rsid w:val="00D1453D"/>
    <w:rsid w:val="00D22564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3AE4"/>
    <w:rsid w:val="00E17DF6"/>
    <w:rsid w:val="00E33169"/>
    <w:rsid w:val="00E355D7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0795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4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C164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C16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4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C164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C16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02691"/>
    <w:rsid w:val="00443EA4"/>
    <w:rsid w:val="00583D19"/>
    <w:rsid w:val="00722728"/>
    <w:rsid w:val="00787EBD"/>
    <w:rsid w:val="007C3485"/>
    <w:rsid w:val="008E118A"/>
    <w:rsid w:val="00A104A7"/>
    <w:rsid w:val="00A208BA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2487C-E6E4-44FD-BF7C-60F19556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92</TotalTime>
  <Pages>5</Pages>
  <Words>1044</Words>
  <Characters>5743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7</cp:revision>
  <cp:lastPrinted>2008-09-26T23:14:00Z</cp:lastPrinted>
  <dcterms:created xsi:type="dcterms:W3CDTF">2022-04-04T11:25:00Z</dcterms:created>
  <dcterms:modified xsi:type="dcterms:W3CDTF">2022-09-08T11:38:00Z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