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9D" w:rsidRDefault="0079676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77D9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77D9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77D9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Zona Franca de Santander</w:t>
                                </w:r>
                              </w:sdtContent>
                            </w:sdt>
                            <w:r w:rsidR="00577D9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577D9D" w:rsidRDefault="0079676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77D9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77D9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77D9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Zona Franca de Santander</w:t>
                          </w:r>
                        </w:sdtContent>
                      </w:sdt>
                      <w:r w:rsidR="00577D9D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77D9D" w:rsidRDefault="00577D9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E557D" w:rsidRDefault="005E557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9676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469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469B9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00D6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038E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4038EB">
        <w:trPr>
          <w:trHeight w:val="529"/>
        </w:trPr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602EE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060E26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40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7469B9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469B9" w:rsidP="0040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4038EB">
              <w:rPr>
                <w:sz w:val="18"/>
                <w:szCs w:val="18"/>
              </w:rPr>
              <w:t>: completar</w:t>
            </w:r>
          </w:p>
        </w:tc>
        <w:tc>
          <w:tcPr>
            <w:tcW w:w="709" w:type="dxa"/>
          </w:tcPr>
          <w:p w:rsidR="001A0BD4" w:rsidRPr="007465AA" w:rsidRDefault="00071315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071315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038EB" w:rsidP="0006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considera cumplida dado que todos los integrantes de</w:t>
            </w:r>
            <w:r w:rsidR="00060E26">
              <w:rPr>
                <w:sz w:val="18"/>
                <w:szCs w:val="18"/>
              </w:rPr>
              <w:t xml:space="preserve"> los órganos de</w:t>
            </w:r>
            <w:r>
              <w:rPr>
                <w:sz w:val="18"/>
                <w:szCs w:val="18"/>
              </w:rPr>
              <w:t xml:space="preserve"> gobierno </w:t>
            </w:r>
            <w:r w:rsidR="00060E26">
              <w:rPr>
                <w:sz w:val="18"/>
                <w:szCs w:val="18"/>
              </w:rPr>
              <w:t>lo son en representación de distintas instituciones públicas.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51A57" w:rsidP="0006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4038EB" w:rsidRPr="004038EB">
              <w:rPr>
                <w:sz w:val="18"/>
                <w:szCs w:val="18"/>
              </w:rPr>
              <w:t xml:space="preserve"> </w:t>
            </w:r>
          </w:p>
        </w:tc>
      </w:tr>
      <w:tr w:rsidR="000A72E5" w:rsidRPr="007465AA" w:rsidTr="007465AA">
        <w:tc>
          <w:tcPr>
            <w:tcW w:w="1668" w:type="dxa"/>
            <w:vMerge/>
            <w:vAlign w:val="center"/>
          </w:tcPr>
          <w:p w:rsidR="000A72E5" w:rsidRPr="007465AA" w:rsidRDefault="000A72E5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A72E5" w:rsidRPr="007465AA" w:rsidRDefault="000A72E5" w:rsidP="007469B9">
            <w:pPr>
              <w:rPr>
                <w:sz w:val="18"/>
                <w:szCs w:val="18"/>
              </w:rPr>
            </w:pPr>
            <w:r w:rsidRPr="000A72E5">
              <w:rPr>
                <w:sz w:val="18"/>
                <w:szCs w:val="18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0A72E5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A72E5" w:rsidRPr="007465AA" w:rsidRDefault="00751A57" w:rsidP="004038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información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20896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77D9D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751A57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51A57" w:rsidP="007377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7469B9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C35ADB" w:rsidP="007469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información.</w:t>
            </w:r>
            <w:r w:rsidR="00720896">
              <w:rPr>
                <w:sz w:val="18"/>
                <w:szCs w:val="18"/>
              </w:rPr>
              <w:t xml:space="preserve"> No aplica</w:t>
            </w:r>
            <w:r w:rsidR="00577D9D">
              <w:rPr>
                <w:sz w:val="18"/>
                <w:szCs w:val="18"/>
              </w:rPr>
              <w:t>ble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77D9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577D9D">
              <w:rPr>
                <w:sz w:val="18"/>
                <w:szCs w:val="18"/>
              </w:rPr>
              <w:t>y ayudas públicas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35ADB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Indican que no hay información.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35ADB" w:rsidP="00577D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Año 202</w:t>
            </w:r>
            <w:r w:rsidR="00577D9D">
              <w:rPr>
                <w:sz w:val="18"/>
                <w:szCs w:val="18"/>
              </w:rPr>
              <w:t>2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  <w:p w:rsidR="00442350" w:rsidRPr="007465AA" w:rsidRDefault="00442350" w:rsidP="00442350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3775B" w:rsidRDefault="00E950DA" w:rsidP="0073775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775B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No. </w:t>
            </w:r>
            <w:r w:rsidR="0073775B">
              <w:rPr>
                <w:rFonts w:ascii="Century Gothic" w:hAnsi="Century Gothic" w:cs="Helvetica"/>
                <w:bCs/>
                <w:sz w:val="18"/>
                <w:szCs w:val="18"/>
              </w:rPr>
              <w:t>El contenido</w:t>
            </w:r>
            <w:r w:rsidR="00577D9D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material</w:t>
            </w:r>
            <w:r w:rsidR="0073775B">
              <w:rPr>
                <w:rFonts w:ascii="Century Gothic" w:hAnsi="Century Gothic" w:cs="Helvetica"/>
                <w:bCs/>
                <w:sz w:val="18"/>
                <w:szCs w:val="18"/>
              </w:rPr>
              <w:t xml:space="preserve"> de esta obligación se refiere a los informes de auditoría y fiscalización elaborados por el Tribunal de Cuentas y no por la IGAE como se indica en su Portal de Transparencia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35ADB">
              <w:rPr>
                <w:sz w:val="18"/>
                <w:szCs w:val="18"/>
              </w:rPr>
              <w:t xml:space="preserve">Indican que </w:t>
            </w:r>
            <w:r w:rsidR="00577D9D">
              <w:rPr>
                <w:sz w:val="18"/>
                <w:szCs w:val="18"/>
              </w:rPr>
              <w:t>“</w:t>
            </w:r>
            <w:r w:rsidR="00C35ADB">
              <w:rPr>
                <w:sz w:val="18"/>
                <w:szCs w:val="18"/>
              </w:rPr>
              <w:t>no procede</w:t>
            </w:r>
            <w:r w:rsidR="00577D9D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sin más explicación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35ADB">
              <w:rPr>
                <w:sz w:val="18"/>
                <w:szCs w:val="18"/>
              </w:rPr>
              <w:t>Indican que no procede</w:t>
            </w:r>
            <w:r>
              <w:rPr>
                <w:sz w:val="18"/>
                <w:szCs w:val="18"/>
              </w:rPr>
              <w:t xml:space="preserve"> sin más explicación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 xml:space="preserve">Resoluciones de autorización o reconocimiento de </w:t>
            </w:r>
            <w:r w:rsidRPr="00337C82">
              <w:rPr>
                <w:sz w:val="18"/>
                <w:szCs w:val="18"/>
              </w:rPr>
              <w:lastRenderedPageBreak/>
              <w:t>compatibilidad de empleados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469B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C35ADB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46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469B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3775B" w:rsidP="00737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El contenido </w:t>
            </w:r>
            <w:r w:rsidR="00577D9D">
              <w:rPr>
                <w:sz w:val="18"/>
                <w:szCs w:val="18"/>
              </w:rPr>
              <w:t xml:space="preserve">material </w:t>
            </w:r>
            <w:r>
              <w:rPr>
                <w:sz w:val="18"/>
                <w:szCs w:val="18"/>
              </w:rPr>
              <w:t xml:space="preserve">de esta obligación se refiere a los datos estadísticos sobre la actividad desarrollada por el organismo así como </w:t>
            </w:r>
            <w:r w:rsidR="005602EE">
              <w:rPr>
                <w:sz w:val="18"/>
                <w:szCs w:val="18"/>
              </w:rPr>
              <w:t>a los resultados de los programas de calidad implantados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4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469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100D61" w:rsidP="00746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20896" w:rsidP="007469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100D61">
              <w:rPr>
                <w:sz w:val="18"/>
                <w:szCs w:val="18"/>
              </w:rPr>
              <w:t>Información actualizada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469B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206E97" w:rsidP="00560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602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7469B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06E97" w:rsidP="00DF56A7">
      <w:pPr>
        <w:jc w:val="both"/>
      </w:pPr>
      <w:r>
        <w:t>La Zona Franca de Santander</w:t>
      </w:r>
      <w:r w:rsidR="00C52EE5">
        <w:t xml:space="preserve"> ha aplicado </w:t>
      </w:r>
      <w:r w:rsidR="005602EE">
        <w:t>catorce</w:t>
      </w:r>
      <w:r>
        <w:t xml:space="preserve"> </w:t>
      </w:r>
      <w:r w:rsidR="00C52EE5" w:rsidRPr="0076567C">
        <w:t>de las</w:t>
      </w:r>
      <w:r>
        <w:t xml:space="preserve"> </w:t>
      </w:r>
      <w:r w:rsidR="005602EE">
        <w:t>veintiuna</w:t>
      </w:r>
      <w:r w:rsidR="00C52EE5" w:rsidRPr="0076567C">
        <w:t xml:space="preserve"> recomendaciones</w:t>
      </w:r>
      <w:r w:rsidR="00C52EE5">
        <w:t xml:space="preserve"> derivadas de la evaluación r</w:t>
      </w:r>
      <w:r>
        <w:t>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77D9D" w:rsidRPr="00F31BC3" w:rsidRDefault="00577D9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E557D" w:rsidRPr="00F31BC3" w:rsidRDefault="005E55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9676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6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5602EE" w:rsidRPr="005602EE" w:rsidTr="00AE0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602EE" w:rsidRPr="005602EE" w:rsidRDefault="005602EE" w:rsidP="005602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9688A" w:rsidRPr="005602EE" w:rsidRDefault="00A9688A" w:rsidP="005602E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85,4</w:t>
            </w:r>
          </w:p>
        </w:tc>
      </w:tr>
      <w:tr w:rsidR="00A9688A" w:rsidRPr="005602EE" w:rsidTr="00A968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9688A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58,3</w:t>
            </w:r>
          </w:p>
        </w:tc>
      </w:tr>
      <w:tr w:rsidR="00A9688A" w:rsidRPr="005602EE" w:rsidTr="00A968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602EE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688A">
              <w:rPr>
                <w:sz w:val="16"/>
                <w:szCs w:val="16"/>
              </w:rPr>
              <w:t>100,0</w:t>
            </w:r>
          </w:p>
        </w:tc>
      </w:tr>
      <w:tr w:rsidR="00A9688A" w:rsidRPr="005602EE" w:rsidTr="00A9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688A" w:rsidRPr="005602EE" w:rsidRDefault="00A9688A" w:rsidP="005602E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5602E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74,0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70,8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688A" w:rsidRPr="00A9688A" w:rsidRDefault="00A9688A" w:rsidP="00A96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9688A">
              <w:rPr>
                <w:b/>
                <w:i/>
                <w:sz w:val="16"/>
                <w:szCs w:val="16"/>
              </w:rPr>
              <w:t>73,1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AE0410">
        <w:rPr>
          <w:lang w:bidi="es-ES"/>
        </w:rPr>
        <w:t>7</w:t>
      </w:r>
      <w:r w:rsidR="00A9688A">
        <w:rPr>
          <w:lang w:bidi="es-ES"/>
        </w:rPr>
        <w:t>3,1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E0410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A9688A">
        <w:rPr>
          <w:lang w:bidi="es-ES"/>
        </w:rPr>
        <w:t>34,8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AE0410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en </w:t>
      </w:r>
      <w:r w:rsidR="00AE0410">
        <w:rPr>
          <w:lang w:bidi="es-ES"/>
        </w:rPr>
        <w:t>ese año</w:t>
      </w:r>
    </w:p>
    <w:p w:rsidR="00A670E9" w:rsidRDefault="00AE0410" w:rsidP="00F05E2C">
      <w:pPr>
        <w:pStyle w:val="Cuerpodelboletn"/>
      </w:pPr>
      <w:r>
        <w:t>Por otra parte</w:t>
      </w:r>
      <w:r w:rsidR="00EA52A6">
        <w:t>,</w:t>
      </w:r>
      <w:r>
        <w:t xml:space="preserve"> se ha revisado el cumplimiento de la obligación “</w:t>
      </w:r>
      <w:r w:rsidR="00EA52A6">
        <w:t>G</w:t>
      </w:r>
      <w:r>
        <w:t xml:space="preserve">rado de cumplimiento y resultados de planes y programas”. En </w:t>
      </w:r>
      <w:r w:rsidR="00EA52A6">
        <w:t xml:space="preserve">la evaluación </w:t>
      </w:r>
      <w:r>
        <w:t xml:space="preserve">2021 se consideró que esta obligación no </w:t>
      </w:r>
      <w:r>
        <w:lastRenderedPageBreak/>
        <w:t xml:space="preserve">era aplicable, dado que el Plan Trienal 2020 no tenía suficiente recorrido en el momento de efectuar </w:t>
      </w:r>
      <w:r w:rsidR="00EA52A6">
        <w:t>dicha</w:t>
      </w:r>
      <w:r>
        <w:t xml:space="preserve"> evaluación. Pero 2022  constituye la tercera anualidad de aplicación de este Plan </w:t>
      </w:r>
      <w:r w:rsidR="00EA52A6">
        <w:t>y sin embargo no se han localizado informes de seguimiento o evaluación correspondientes al menos  al año 2020, por esta razón se ha considerado no cumplida esta obligación.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EA52A6">
        <w:rPr>
          <w:b/>
        </w:rPr>
        <w:t>positivamente</w:t>
      </w:r>
      <w:r>
        <w:t xml:space="preserve"> la evolución del cumplimiento de las obligaciones de publicidad activa por parte de </w:t>
      </w:r>
      <w:r w:rsidR="00EA52A6">
        <w:t>del CZF de Santander</w:t>
      </w:r>
      <w:r>
        <w:t xml:space="preserve">. </w:t>
      </w:r>
      <w:r w:rsidR="00EA52A6">
        <w:t>S</w:t>
      </w:r>
      <w:r>
        <w:t>e ha</w:t>
      </w:r>
      <w:r w:rsidR="00EA52A6">
        <w:t>n</w:t>
      </w:r>
      <w:r>
        <w:t xml:space="preserve"> aplicado </w:t>
      </w:r>
      <w:r w:rsidR="00EA52A6">
        <w:t xml:space="preserve">dos tercios </w:t>
      </w:r>
      <w:r>
        <w:t>de las recomendaciones efectuadas como consecuencia de la evaluación realizada en 202</w:t>
      </w:r>
      <w:r w:rsidR="00EA52A6">
        <w:t xml:space="preserve">1 y el Índice de Cumplimiento de la Información obligatoria ha experimentado un incremento del </w:t>
      </w:r>
      <w:r w:rsidR="00A9688A">
        <w:t>91</w:t>
      </w:r>
      <w:r w:rsidR="00EA52A6">
        <w:t>%</w:t>
      </w:r>
      <w:r>
        <w:t>.</w:t>
      </w:r>
    </w:p>
    <w:p w:rsidR="004061BC" w:rsidRDefault="00EA52A6" w:rsidP="00A670E9">
      <w:pPr>
        <w:pStyle w:val="Cuerpodelboletn"/>
      </w:pPr>
      <w:r>
        <w:t>No obstante existe todavía existe un margen de mejora porque todavía subsisten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77D9D" w:rsidRPr="00F31BC3" w:rsidRDefault="00577D9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E557D" w:rsidRPr="00F31BC3" w:rsidRDefault="005E557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EA52A6">
        <w:rPr>
          <w:rFonts w:ascii="Century Gothic" w:hAnsi="Century Gothic"/>
        </w:rPr>
        <w:t>los informes relativos al grado de cumplimiento y resultados de planes y programas</w:t>
      </w:r>
    </w:p>
    <w:p w:rsidR="00EA52A6" w:rsidRDefault="00EA52A6" w:rsidP="00EA52A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A52A6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EA52A6">
        <w:rPr>
          <w:rFonts w:ascii="Century Gothic" w:hAnsi="Century Gothic"/>
        </w:rPr>
        <w:t>:</w:t>
      </w:r>
    </w:p>
    <w:p w:rsidR="00EA52A6" w:rsidRDefault="00EA52A6" w:rsidP="00EA52A6">
      <w:pPr>
        <w:pStyle w:val="Prrafodelista"/>
      </w:pPr>
    </w:p>
    <w:p w:rsidR="00EA52A6" w:rsidRDefault="00C52EE5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A52A6">
        <w:rPr>
          <w:rFonts w:ascii="Century Gothic" w:hAnsi="Century Gothic"/>
        </w:rPr>
        <w:t>Las modificaciones de contratos</w:t>
      </w:r>
    </w:p>
    <w:p w:rsidR="00EA52A6" w:rsidRDefault="00EA52A6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4D4B3E" w:rsidRDefault="00EA52A6" w:rsidP="00EA52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retribuciones de altos cargos y máximos responsables e indemnizaciones con ocasión del cese, en el Portal de Transparencia se publica la frase “no procede”</w:t>
      </w:r>
      <w:r w:rsidR="00C52EE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En </w:t>
      </w:r>
      <w:r w:rsidR="005E557D">
        <w:rPr>
          <w:rFonts w:ascii="Century Gothic" w:hAnsi="Century Gothic"/>
        </w:rPr>
        <w:t>ambos casos</w:t>
      </w:r>
      <w:r>
        <w:rPr>
          <w:rFonts w:ascii="Century Gothic" w:hAnsi="Century Gothic"/>
        </w:rPr>
        <w:t xml:space="preserve"> no se entiende esta afirmación</w:t>
      </w:r>
      <w:r w:rsidR="005E557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dado que la</w:t>
      </w:r>
      <w:r w:rsidR="005E557D">
        <w:rPr>
          <w:rFonts w:ascii="Century Gothic" w:hAnsi="Century Gothic"/>
        </w:rPr>
        <w:t>s dos</w:t>
      </w:r>
      <w:r>
        <w:rPr>
          <w:rFonts w:ascii="Century Gothic" w:hAnsi="Century Gothic"/>
        </w:rPr>
        <w:t xml:space="preserve"> obligaci</w:t>
      </w:r>
      <w:r w:rsidR="005E557D">
        <w:rPr>
          <w:rFonts w:ascii="Century Gothic" w:hAnsi="Century Gothic"/>
        </w:rPr>
        <w:t>ones</w:t>
      </w:r>
      <w:r>
        <w:rPr>
          <w:rFonts w:ascii="Century Gothic" w:hAnsi="Century Gothic"/>
        </w:rPr>
        <w:t xml:space="preserve"> no se limita</w:t>
      </w:r>
      <w:r w:rsidR="005E557D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a altos cargos sino que incluye</w:t>
      </w:r>
      <w:r w:rsidR="005E557D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a los máximos responsables del organismo por lo que deberían publicarse las retribuciones </w:t>
      </w:r>
      <w:r w:rsidR="005E557D">
        <w:rPr>
          <w:rFonts w:ascii="Century Gothic" w:hAnsi="Century Gothic"/>
        </w:rPr>
        <w:t xml:space="preserve">del Delegado  y del Secretario General. En cuanto a las indemnizaciones debería hacerse mención expresa a que no ha percibido por parte de los máximos </w:t>
      </w:r>
      <w:r w:rsidR="00340E6B">
        <w:rPr>
          <w:rFonts w:ascii="Century Gothic" w:hAnsi="Century Gothic"/>
        </w:rPr>
        <w:t>responsables del organismo, si es que esta es la circunstancia a la que se refiere con la expresión “no procede”.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9688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340E6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77D9D" w:rsidRPr="00F31BC3" w:rsidRDefault="00577D9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E557D" w:rsidRPr="00F31BC3" w:rsidRDefault="005E55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77D9D" w:rsidRPr="00F31BC3" w:rsidRDefault="00577D9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E557D" w:rsidRPr="00F31BC3" w:rsidRDefault="005E557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9D" w:rsidRDefault="00577D9D" w:rsidP="00F31BC3">
      <w:r>
        <w:separator/>
      </w:r>
    </w:p>
  </w:endnote>
  <w:endnote w:type="continuationSeparator" w:id="0">
    <w:p w:rsidR="00577D9D" w:rsidRDefault="00577D9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577D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577D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577D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9D" w:rsidRDefault="00577D9D" w:rsidP="00F31BC3">
      <w:r>
        <w:separator/>
      </w:r>
    </w:p>
  </w:footnote>
  <w:footnote w:type="continuationSeparator" w:id="0">
    <w:p w:rsidR="00577D9D" w:rsidRDefault="00577D9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79676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49204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79676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49205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9D" w:rsidRDefault="0079676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49203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0E26"/>
    <w:rsid w:val="00071315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0D61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06E97"/>
    <w:rsid w:val="0021682B"/>
    <w:rsid w:val="00231D61"/>
    <w:rsid w:val="00243294"/>
    <w:rsid w:val="00244EDA"/>
    <w:rsid w:val="002467FA"/>
    <w:rsid w:val="00250846"/>
    <w:rsid w:val="00263F79"/>
    <w:rsid w:val="002B76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0E6B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38EB"/>
    <w:rsid w:val="004061BC"/>
    <w:rsid w:val="00415DBD"/>
    <w:rsid w:val="00422B18"/>
    <w:rsid w:val="00442350"/>
    <w:rsid w:val="00443995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02EE"/>
    <w:rsid w:val="00563295"/>
    <w:rsid w:val="00564E23"/>
    <w:rsid w:val="00577D9D"/>
    <w:rsid w:val="00582A8C"/>
    <w:rsid w:val="005B1544"/>
    <w:rsid w:val="005C4778"/>
    <w:rsid w:val="005E2505"/>
    <w:rsid w:val="005E557D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0889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0896"/>
    <w:rsid w:val="0073626B"/>
    <w:rsid w:val="0073775B"/>
    <w:rsid w:val="007465AA"/>
    <w:rsid w:val="007469B9"/>
    <w:rsid w:val="00751A57"/>
    <w:rsid w:val="00751FAA"/>
    <w:rsid w:val="00760E4B"/>
    <w:rsid w:val="0076213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96769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2E00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688A"/>
    <w:rsid w:val="00AA0AE1"/>
    <w:rsid w:val="00AC2723"/>
    <w:rsid w:val="00AC4A6F"/>
    <w:rsid w:val="00AD6065"/>
    <w:rsid w:val="00AE0410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50A"/>
    <w:rsid w:val="00C1290B"/>
    <w:rsid w:val="00C213EC"/>
    <w:rsid w:val="00C22B10"/>
    <w:rsid w:val="00C24010"/>
    <w:rsid w:val="00C259F4"/>
    <w:rsid w:val="00C26ADC"/>
    <w:rsid w:val="00C27705"/>
    <w:rsid w:val="00C3228C"/>
    <w:rsid w:val="00C35ADB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1D0E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50DA"/>
    <w:rsid w:val="00EA52A6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2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442350"/>
    <w:rPr>
      <w:i/>
      <w:iCs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602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2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442350"/>
    <w:rPr>
      <w:i/>
      <w:iCs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602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87FDE"/>
    <w:rsid w:val="00443EA4"/>
    <w:rsid w:val="004A680D"/>
    <w:rsid w:val="0053636F"/>
    <w:rsid w:val="00583D19"/>
    <w:rsid w:val="00722728"/>
    <w:rsid w:val="00787EBD"/>
    <w:rsid w:val="007C3485"/>
    <w:rsid w:val="008E118A"/>
    <w:rsid w:val="00A104A7"/>
    <w:rsid w:val="00A4010E"/>
    <w:rsid w:val="00AB484A"/>
    <w:rsid w:val="00B22E81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13C99-022C-4C71-8100-2DDDE4D5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165</TotalTime>
  <Pages>5</Pages>
  <Words>1158</Words>
  <Characters>6372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11</cp:revision>
  <cp:lastPrinted>2022-02-11T11:11:00Z</cp:lastPrinted>
  <dcterms:created xsi:type="dcterms:W3CDTF">2022-02-11T11:16:00Z</dcterms:created>
  <dcterms:modified xsi:type="dcterms:W3CDTF">2022-09-08T10:35:00Z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