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59" w:rsidRDefault="00D43281" w:rsidP="00EC4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F6493" wp14:editId="42C22D99">
                <wp:simplePos x="0" y="0"/>
                <wp:positionH relativeFrom="column">
                  <wp:posOffset>8890</wp:posOffset>
                </wp:positionH>
                <wp:positionV relativeFrom="paragraph">
                  <wp:posOffset>112852</wp:posOffset>
                </wp:positionV>
                <wp:extent cx="6202679" cy="840214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79" cy="84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4BD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0C4" w:rsidRPr="00D360C4" w:rsidRDefault="0005709F" w:rsidP="00766DD8">
                            <w:pPr>
                              <w:spacing w:after="120" w:line="276" w:lineRule="auto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COMENTARIOS</w:t>
                            </w:r>
                            <w:r w:rsidR="00D43281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SOBRE LA EVA</w:t>
                            </w:r>
                            <w:r w:rsidR="00D43281" w:rsidRPr="00D43281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LUACIÓN </w:t>
                            </w:r>
                            <w:r w:rsidR="00D43281">
                              <w:rPr>
                                <w:rFonts w:ascii="Arial" w:eastAsia="Calibri" w:hAnsi="Arial" w:cs="Arial"/>
                                <w:b/>
                              </w:rPr>
                              <w:t>D</w:t>
                            </w:r>
                            <w:r w:rsidR="00D43281" w:rsidRPr="00D43281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EL CUMPLIMIENTO DE LAS OBLIGACIONES DE PUBLICIDAD ACTIVA </w:t>
                            </w:r>
                            <w:r w:rsidR="00D43281">
                              <w:rPr>
                                <w:rFonts w:ascii="Arial" w:eastAsia="Calibri" w:hAnsi="Arial" w:cs="Arial"/>
                                <w:b/>
                              </w:rPr>
                              <w:t>EN AENA S.M.E., S.A.</w:t>
                            </w:r>
                            <w:r w:rsidR="00BA1102">
                              <w:rPr>
                                <w:rFonts w:ascii="Arial" w:eastAsia="Calibri" w:hAnsi="Arial" w:cs="Arial"/>
                                <w:b/>
                              </w:rPr>
                              <w:t>, REALIZADA POR EL CONSEJO DE TRANSPARENCIA Y BUEN GOBIERNO</w:t>
                            </w:r>
                          </w:p>
                        </w:txbxContent>
                      </wps:txbx>
                      <wps:bodyPr rot="0" vert="horz" wrap="square" lIns="91440" tIns="1188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F64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.7pt;margin-top:8.9pt;width:488.4pt;height: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" strokecolor="#84bd00" strokeweight=".25pt">
                <v:textbox inset=",3.3mm,,3.3mm">
                  <w:txbxContent>
                    <w:p w14:paraId="4BE82172" w14:textId="6E1EA3C1" w:rsidR="00D360C4" w:rsidRPr="00D360C4" w:rsidRDefault="0005709F" w:rsidP="00766DD8">
                      <w:pPr>
                        <w:spacing w:after="120" w:line="276" w:lineRule="auto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</w:rPr>
                        <w:t>COMENTARIOS</w:t>
                      </w:r>
                      <w:r w:rsidR="00D43281">
                        <w:rPr>
                          <w:rFonts w:ascii="Arial" w:eastAsia="Calibri" w:hAnsi="Arial" w:cs="Arial"/>
                          <w:b/>
                        </w:rPr>
                        <w:t xml:space="preserve"> SOBRE LA EVA</w:t>
                      </w:r>
                      <w:r w:rsidR="00D43281" w:rsidRPr="00D43281">
                        <w:rPr>
                          <w:rFonts w:ascii="Arial" w:eastAsia="Calibri" w:hAnsi="Arial" w:cs="Arial"/>
                          <w:b/>
                        </w:rPr>
                        <w:t xml:space="preserve">LUACIÓN </w:t>
                      </w:r>
                      <w:r w:rsidR="00D43281">
                        <w:rPr>
                          <w:rFonts w:ascii="Arial" w:eastAsia="Calibri" w:hAnsi="Arial" w:cs="Arial"/>
                          <w:b/>
                        </w:rPr>
                        <w:t>D</w:t>
                      </w:r>
                      <w:r w:rsidR="00D43281" w:rsidRPr="00D43281">
                        <w:rPr>
                          <w:rFonts w:ascii="Arial" w:eastAsia="Calibri" w:hAnsi="Arial" w:cs="Arial"/>
                          <w:b/>
                        </w:rPr>
                        <w:t xml:space="preserve">EL CUMPLIMIENTO DE LAS OBLIGACIONES DE PUBLICIDAD ACTIVA </w:t>
                      </w:r>
                      <w:r w:rsidR="00D43281">
                        <w:rPr>
                          <w:rFonts w:ascii="Arial" w:eastAsia="Calibri" w:hAnsi="Arial" w:cs="Arial"/>
                          <w:b/>
                        </w:rPr>
                        <w:t>EN AENA S.M.E., S.A.</w:t>
                      </w:r>
                      <w:r w:rsidR="00BA1102">
                        <w:rPr>
                          <w:rFonts w:ascii="Arial" w:eastAsia="Calibri" w:hAnsi="Arial" w:cs="Arial"/>
                          <w:b/>
                        </w:rPr>
                        <w:t>, REALIZADA POR EL CONSEJO DE TRANSPARENCIA Y BUEN GOBIERNO</w:t>
                      </w:r>
                    </w:p>
                  </w:txbxContent>
                </v:textbox>
              </v:shape>
            </w:pict>
          </mc:Fallback>
        </mc:AlternateContent>
      </w:r>
    </w:p>
    <w:p w:rsidR="000C7F59" w:rsidRDefault="000C7F59" w:rsidP="000C7F59">
      <w:pPr>
        <w:jc w:val="center"/>
        <w:rPr>
          <w:rFonts w:ascii="Arial" w:hAnsi="Arial" w:cs="Arial"/>
          <w:sz w:val="22"/>
          <w:szCs w:val="22"/>
        </w:rPr>
      </w:pPr>
    </w:p>
    <w:p w:rsidR="000C7F59" w:rsidRDefault="000C7F59" w:rsidP="000C7F59">
      <w:pPr>
        <w:jc w:val="center"/>
        <w:rPr>
          <w:rFonts w:ascii="Arial" w:hAnsi="Arial" w:cs="Arial"/>
          <w:sz w:val="22"/>
          <w:szCs w:val="22"/>
        </w:rPr>
      </w:pPr>
    </w:p>
    <w:p w:rsidR="000C7F59" w:rsidRDefault="000C7F59" w:rsidP="000C7F59">
      <w:pPr>
        <w:jc w:val="both"/>
        <w:rPr>
          <w:rFonts w:ascii="Arial" w:hAnsi="Arial" w:cs="Arial"/>
          <w:sz w:val="22"/>
          <w:szCs w:val="22"/>
        </w:rPr>
      </w:pPr>
    </w:p>
    <w:p w:rsidR="008E4178" w:rsidRDefault="008E4178" w:rsidP="008E4178">
      <w:pPr>
        <w:jc w:val="both"/>
        <w:rPr>
          <w:rFonts w:ascii="Arial" w:hAnsi="Arial" w:cs="Arial"/>
          <w:bCs/>
          <w:sz w:val="22"/>
          <w:szCs w:val="22"/>
        </w:rPr>
      </w:pPr>
    </w:p>
    <w:p w:rsidR="00D43281" w:rsidRDefault="00D43281" w:rsidP="00FE5730">
      <w:pPr>
        <w:jc w:val="both"/>
        <w:rPr>
          <w:rFonts w:ascii="Arial" w:hAnsi="Arial" w:cs="Arial"/>
          <w:bCs/>
          <w:sz w:val="22"/>
          <w:szCs w:val="22"/>
        </w:rPr>
      </w:pPr>
    </w:p>
    <w:p w:rsidR="00BA1102" w:rsidRDefault="00BA1102" w:rsidP="00BE23BC">
      <w:pPr>
        <w:jc w:val="both"/>
        <w:rPr>
          <w:rFonts w:ascii="Arial" w:hAnsi="Arial" w:cs="Arial"/>
          <w:bCs/>
          <w:sz w:val="22"/>
          <w:szCs w:val="22"/>
        </w:rPr>
      </w:pPr>
    </w:p>
    <w:p w:rsidR="00DE506A" w:rsidRDefault="00DE506A" w:rsidP="00DE50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Consejo de Transparencia y Buen Gobierno ha realizado recientemente una </w:t>
      </w:r>
      <w:r w:rsidR="006B5EA4" w:rsidRPr="006B5EA4">
        <w:rPr>
          <w:rFonts w:ascii="Arial" w:hAnsi="Arial" w:cs="Arial"/>
          <w:bCs/>
          <w:sz w:val="22"/>
          <w:szCs w:val="22"/>
        </w:rPr>
        <w:t xml:space="preserve">revisión del grado de aplicación de las recomendaciones derivadas de la evaluación </w:t>
      </w:r>
      <w:r w:rsidR="006B5EA4">
        <w:rPr>
          <w:rFonts w:ascii="Arial" w:hAnsi="Arial" w:cs="Arial"/>
          <w:bCs/>
          <w:sz w:val="22"/>
          <w:szCs w:val="22"/>
        </w:rPr>
        <w:t xml:space="preserve">realizada en </w:t>
      </w:r>
      <w:r w:rsidR="006B5EA4" w:rsidRPr="006B5EA4">
        <w:rPr>
          <w:rFonts w:ascii="Arial" w:hAnsi="Arial" w:cs="Arial"/>
          <w:bCs/>
          <w:sz w:val="22"/>
          <w:szCs w:val="22"/>
        </w:rPr>
        <w:t>2021</w:t>
      </w:r>
      <w:r w:rsidR="008773B2">
        <w:rPr>
          <w:rFonts w:ascii="Arial" w:hAnsi="Arial" w:cs="Arial"/>
          <w:bCs/>
          <w:sz w:val="22"/>
          <w:szCs w:val="22"/>
        </w:rPr>
        <w:t xml:space="preserve">, valorando muy positivamente la evolución del cumplimiento, </w:t>
      </w:r>
      <w:r w:rsidR="002234EE">
        <w:rPr>
          <w:rFonts w:ascii="Arial" w:hAnsi="Arial" w:cs="Arial"/>
          <w:bCs/>
          <w:sz w:val="22"/>
          <w:szCs w:val="22"/>
        </w:rPr>
        <w:t xml:space="preserve">al considerar que se han </w:t>
      </w:r>
      <w:r w:rsidR="008773B2">
        <w:rPr>
          <w:rFonts w:ascii="Arial" w:hAnsi="Arial" w:cs="Arial"/>
          <w:bCs/>
          <w:sz w:val="22"/>
          <w:szCs w:val="22"/>
        </w:rPr>
        <w:t xml:space="preserve">aplicado </w:t>
      </w:r>
      <w:r w:rsidR="003265AF">
        <w:rPr>
          <w:rFonts w:ascii="Arial" w:hAnsi="Arial" w:cs="Arial"/>
          <w:bCs/>
          <w:sz w:val="22"/>
          <w:szCs w:val="22"/>
        </w:rPr>
        <w:t xml:space="preserve">8 </w:t>
      </w:r>
      <w:r w:rsidR="008773B2">
        <w:rPr>
          <w:rFonts w:ascii="Arial" w:hAnsi="Arial" w:cs="Arial"/>
          <w:bCs/>
          <w:sz w:val="22"/>
          <w:szCs w:val="22"/>
        </w:rPr>
        <w:t>de las 12 recomendaciones</w:t>
      </w:r>
      <w:r w:rsidR="003265AF">
        <w:rPr>
          <w:rFonts w:ascii="Arial" w:hAnsi="Arial" w:cs="Arial"/>
          <w:bCs/>
          <w:sz w:val="22"/>
          <w:szCs w:val="22"/>
        </w:rPr>
        <w:t>.</w:t>
      </w:r>
    </w:p>
    <w:p w:rsidR="002448FA" w:rsidRDefault="002448FA" w:rsidP="002448FA">
      <w:pPr>
        <w:jc w:val="both"/>
        <w:rPr>
          <w:rFonts w:ascii="Arial" w:hAnsi="Arial" w:cs="Arial"/>
          <w:bCs/>
          <w:sz w:val="22"/>
          <w:szCs w:val="22"/>
        </w:rPr>
      </w:pPr>
    </w:p>
    <w:p w:rsidR="002234EE" w:rsidRDefault="002234EE" w:rsidP="002234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Respecto a las 4 </w:t>
      </w:r>
      <w:r w:rsidR="002448FA">
        <w:rPr>
          <w:rFonts w:ascii="Arial" w:hAnsi="Arial" w:cs="Arial"/>
          <w:bCs/>
          <w:sz w:val="22"/>
          <w:szCs w:val="22"/>
        </w:rPr>
        <w:t>recomendaciones</w:t>
      </w:r>
      <w:r w:rsidRPr="002234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restantes</w:t>
      </w:r>
      <w:r w:rsidR="002448FA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se realizan a continuación </w:t>
      </w:r>
      <w:r w:rsidR="006B5EA4">
        <w:rPr>
          <w:rFonts w:ascii="Arial" w:hAnsi="Arial" w:cs="Arial"/>
          <w:bCs/>
          <w:sz w:val="22"/>
          <w:szCs w:val="22"/>
        </w:rPr>
        <w:t xml:space="preserve">los siguientes comentarios </w:t>
      </w:r>
      <w:r>
        <w:rPr>
          <w:rFonts w:ascii="Arial" w:hAnsi="Arial" w:cs="Arial"/>
          <w:bCs/>
          <w:sz w:val="22"/>
          <w:szCs w:val="22"/>
        </w:rPr>
        <w:t>de cada una</w:t>
      </w:r>
      <w:r w:rsidR="006B5EA4">
        <w:rPr>
          <w:rFonts w:ascii="Arial" w:hAnsi="Arial" w:cs="Arial"/>
          <w:bCs/>
          <w:sz w:val="22"/>
          <w:szCs w:val="22"/>
        </w:rPr>
        <w:t xml:space="preserve"> de ellas</w:t>
      </w:r>
      <w:r>
        <w:rPr>
          <w:rFonts w:ascii="Arial" w:hAnsi="Arial" w:cs="Arial"/>
          <w:bCs/>
          <w:sz w:val="22"/>
          <w:szCs w:val="22"/>
        </w:rPr>
        <w:t>:</w:t>
      </w:r>
    </w:p>
    <w:p w:rsidR="00DE506A" w:rsidRDefault="00DE506A" w:rsidP="00DE506A">
      <w:pPr>
        <w:jc w:val="both"/>
        <w:rPr>
          <w:rFonts w:ascii="Arial" w:hAnsi="Arial" w:cs="Arial"/>
          <w:bCs/>
          <w:sz w:val="22"/>
          <w:szCs w:val="22"/>
        </w:rPr>
      </w:pPr>
    </w:p>
    <w:p w:rsidR="00DE506A" w:rsidRDefault="00DE506A" w:rsidP="00DE506A">
      <w:pPr>
        <w:pStyle w:val="Prrafodelista"/>
        <w:numPr>
          <w:ilvl w:val="0"/>
          <w:numId w:val="35"/>
        </w:numPr>
        <w:spacing w:after="200"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Cumplimiento de recomendaciones</w:t>
      </w:r>
      <w:r w:rsidRPr="0063203E">
        <w:rPr>
          <w:rFonts w:ascii="Arial" w:hAnsi="Arial" w:cs="Arial"/>
          <w:b/>
          <w:bCs/>
          <w:sz w:val="22"/>
          <w:szCs w:val="22"/>
        </w:rPr>
        <w:t>:</w:t>
      </w:r>
    </w:p>
    <w:p w:rsidR="000D569F" w:rsidRPr="000D569F" w:rsidRDefault="000D569F" w:rsidP="000D569F">
      <w:pPr>
        <w:pStyle w:val="Prrafodelista"/>
        <w:spacing w:after="200" w:line="276" w:lineRule="auto"/>
        <w:ind w:left="0"/>
        <w:jc w:val="both"/>
        <w:rPr>
          <w:rFonts w:ascii="Arial" w:hAnsi="Arial" w:cs="Arial"/>
          <w:bCs/>
          <w:i/>
          <w:color w:val="4F81BD" w:themeColor="accent1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567"/>
        <w:gridCol w:w="1843"/>
        <w:gridCol w:w="3969"/>
      </w:tblGrid>
      <w:tr w:rsidR="000D569F" w:rsidRPr="000D569F" w:rsidTr="00A466B5">
        <w:tc>
          <w:tcPr>
            <w:tcW w:w="1413" w:type="dxa"/>
            <w:shd w:val="clear" w:color="auto" w:fill="008A3E"/>
          </w:tcPr>
          <w:p w:rsidR="000D569F" w:rsidRPr="000D569F" w:rsidRDefault="000D569F" w:rsidP="005645F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D56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2693" w:type="dxa"/>
            <w:gridSpan w:val="2"/>
            <w:shd w:val="clear" w:color="auto" w:fill="008A3E"/>
          </w:tcPr>
          <w:p w:rsidR="000D569F" w:rsidRPr="000D569F" w:rsidRDefault="000D569F" w:rsidP="005645F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D56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843" w:type="dxa"/>
            <w:shd w:val="clear" w:color="auto" w:fill="008A3E"/>
          </w:tcPr>
          <w:p w:rsidR="000D569F" w:rsidRPr="000D569F" w:rsidRDefault="000D569F" w:rsidP="005645F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D56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  <w:tc>
          <w:tcPr>
            <w:tcW w:w="3969" w:type="dxa"/>
            <w:shd w:val="clear" w:color="auto" w:fill="008A3E"/>
          </w:tcPr>
          <w:p w:rsidR="000D569F" w:rsidRPr="000D569F" w:rsidRDefault="000D569F" w:rsidP="005645F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Comentarios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Aena</w:t>
            </w:r>
            <w:proofErr w:type="spellEnd"/>
          </w:p>
        </w:tc>
      </w:tr>
      <w:tr w:rsidR="008C0A5F" w:rsidRPr="000D569F" w:rsidTr="00A466B5">
        <w:trPr>
          <w:trHeight w:val="2826"/>
        </w:trPr>
        <w:tc>
          <w:tcPr>
            <w:tcW w:w="1413" w:type="dxa"/>
            <w:vMerge w:val="restart"/>
            <w:vAlign w:val="center"/>
          </w:tcPr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Publicación de Contenidos</w:t>
            </w:r>
          </w:p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Normativa aplicable: completar información</w:t>
            </w:r>
          </w:p>
        </w:tc>
        <w:tc>
          <w:tcPr>
            <w:tcW w:w="567" w:type="dxa"/>
          </w:tcPr>
          <w:p w:rsidR="008C0A5F" w:rsidRPr="000D569F" w:rsidRDefault="008C0A5F" w:rsidP="00564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8C0A5F" w:rsidRPr="005F517B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5F517B">
              <w:rPr>
                <w:rFonts w:ascii="Arial" w:hAnsi="Arial" w:cs="Arial"/>
                <w:sz w:val="18"/>
                <w:szCs w:val="18"/>
              </w:rPr>
              <w:t xml:space="preserve">No, no se publican los Estatutos Sociales </w:t>
            </w:r>
          </w:p>
        </w:tc>
        <w:tc>
          <w:tcPr>
            <w:tcW w:w="3969" w:type="dxa"/>
          </w:tcPr>
          <w:p w:rsidR="000E790D" w:rsidRPr="005F517B" w:rsidRDefault="000E790D" w:rsidP="000E790D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</w:pPr>
            <w:r w:rsidRPr="005F517B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Los estatutos de la sociedad siempre han estado publicados en la página web</w:t>
            </w: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255D6D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y p</w:t>
            </w: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or tanto, disponible</w:t>
            </w:r>
            <w:r w:rsidR="00255D6D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s</w:t>
            </w: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 para todos los ciudadanos que quieran consultarlo</w:t>
            </w:r>
            <w:r w:rsidR="00255D6D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s</w:t>
            </w:r>
            <w:r w:rsidR="00F41867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 en el siguiente enlace de la página web de </w:t>
            </w:r>
            <w:proofErr w:type="spellStart"/>
            <w:r w:rsidR="00F41867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Aena</w:t>
            </w:r>
            <w:proofErr w:type="spellEnd"/>
            <w:r w:rsidR="00F41867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:</w:t>
            </w:r>
          </w:p>
          <w:p w:rsidR="008C0A5F" w:rsidRPr="005F517B" w:rsidRDefault="00DC4C64" w:rsidP="002234EE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</w:pPr>
            <w:hyperlink r:id="rId9" w:history="1">
              <w:r w:rsidR="00C36766" w:rsidRPr="005F517B">
                <w:rPr>
                  <w:rStyle w:val="Hipervnculo"/>
                  <w:rFonts w:ascii="Arial" w:hAnsi="Arial" w:cs="Arial"/>
                  <w:bCs/>
                  <w:i/>
                  <w:sz w:val="20"/>
                  <w:szCs w:val="20"/>
                </w:rPr>
                <w:t>https://www.aena.es/es/accionistas-e-inversores/informacion-general/estatutos-sociales.html</w:t>
              </w:r>
            </w:hyperlink>
          </w:p>
          <w:p w:rsidR="008C0A5F" w:rsidRPr="005F517B" w:rsidRDefault="008C0A5F" w:rsidP="002234EE">
            <w:pPr>
              <w:jc w:val="both"/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>No obstante,</w:t>
            </w:r>
            <w:r w:rsidR="000E790D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 y aunque ya están publicados, </w:t>
            </w:r>
            <w:r w:rsidR="00A66078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se procederá a </w:t>
            </w: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incluir un enlace directo desde el portal de Transparencia </w:t>
            </w:r>
            <w:r w:rsidR="00F41867"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en el apartado de </w:t>
            </w:r>
            <w:r w:rsidRPr="005F517B">
              <w:rPr>
                <w:rFonts w:ascii="Arial" w:hAnsi="Arial" w:cs="Arial"/>
                <w:bCs/>
                <w:i/>
                <w:color w:val="548DD4" w:themeColor="text2" w:themeTint="99"/>
                <w:sz w:val="20"/>
                <w:szCs w:val="20"/>
              </w:rPr>
              <w:t xml:space="preserve">normativa aplicable – información institucional. </w:t>
            </w:r>
          </w:p>
          <w:p w:rsidR="008C0A5F" w:rsidRPr="005F517B" w:rsidRDefault="008C0A5F" w:rsidP="00223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A5F" w:rsidRPr="000D569F" w:rsidTr="00A466B5">
        <w:tc>
          <w:tcPr>
            <w:tcW w:w="1413" w:type="dxa"/>
            <w:vMerge/>
            <w:vAlign w:val="center"/>
          </w:tcPr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0A5F" w:rsidRPr="000D569F" w:rsidRDefault="002234EE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Subvenciones y</w:t>
            </w:r>
            <w:r w:rsidR="008C0A5F" w:rsidRPr="000D569F">
              <w:rPr>
                <w:rFonts w:ascii="Arial" w:hAnsi="Arial" w:cs="Arial"/>
                <w:sz w:val="18"/>
                <w:szCs w:val="18"/>
              </w:rPr>
              <w:t xml:space="preserve"> ayudas públicas</w:t>
            </w:r>
          </w:p>
        </w:tc>
        <w:tc>
          <w:tcPr>
            <w:tcW w:w="567" w:type="dxa"/>
          </w:tcPr>
          <w:p w:rsidR="008C0A5F" w:rsidRPr="000D569F" w:rsidRDefault="008C0A5F" w:rsidP="00564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8C0A5F" w:rsidRPr="005F517B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5F517B">
              <w:rPr>
                <w:rFonts w:ascii="Arial" w:hAnsi="Arial" w:cs="Arial"/>
                <w:sz w:val="18"/>
                <w:szCs w:val="18"/>
              </w:rPr>
              <w:t xml:space="preserve">No. El enlace Subvenciones y ayudas públicas abre la página AENA </w:t>
            </w:r>
            <w:proofErr w:type="spellStart"/>
            <w:r w:rsidRPr="005F517B">
              <w:rPr>
                <w:rFonts w:ascii="Arial" w:hAnsi="Arial" w:cs="Arial"/>
                <w:sz w:val="18"/>
                <w:szCs w:val="18"/>
              </w:rPr>
              <w:t>Universum</w:t>
            </w:r>
            <w:proofErr w:type="spellEnd"/>
            <w:r w:rsidRPr="005F517B">
              <w:rPr>
                <w:rFonts w:ascii="Arial" w:hAnsi="Arial" w:cs="Arial"/>
                <w:sz w:val="18"/>
                <w:szCs w:val="18"/>
              </w:rPr>
              <w:t>. No se ofrece información sobre el objeto, beneficiarios y cuantía de las subvenciones o ayudas públicas concedidas</w:t>
            </w:r>
          </w:p>
        </w:tc>
        <w:tc>
          <w:tcPr>
            <w:tcW w:w="3969" w:type="dxa"/>
          </w:tcPr>
          <w:p w:rsidR="002623F5" w:rsidRPr="005F517B" w:rsidRDefault="002623F5" w:rsidP="002234EE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Debido a un error de carácter técnico en la configuración de los enlaces de la página web</w:t>
            </w:r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de la Sociedad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, durante un breve periodo de tiempo al acceder a este apartado se redirigía automáticamente a la página de “</w:t>
            </w:r>
            <w:proofErr w:type="spellStart"/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Aena</w:t>
            </w:r>
            <w:proofErr w:type="spellEnd"/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Universum</w:t>
            </w:r>
            <w:proofErr w:type="spellEnd"/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”. </w:t>
            </w:r>
          </w:p>
          <w:p w:rsidR="00F41867" w:rsidRPr="005F517B" w:rsidRDefault="00F41867" w:rsidP="002234EE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</w:p>
          <w:p w:rsidR="00A66078" w:rsidRPr="005F517B" w:rsidRDefault="002623F5" w:rsidP="002623F5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Esta circunstancia se detectó y subsanó con anterioridad a la recepción de estas recomendaciones, 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incorpor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ando 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el enlace desde este apartado a la información sobre concesión de becas de cooperación 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I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nternacional. </w:t>
            </w:r>
          </w:p>
        </w:tc>
      </w:tr>
      <w:tr w:rsidR="008C0A5F" w:rsidRPr="000D569F" w:rsidTr="00A466B5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0A5F" w:rsidRPr="000D569F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567" w:type="dxa"/>
          </w:tcPr>
          <w:p w:rsidR="008C0A5F" w:rsidRPr="000D569F" w:rsidRDefault="008C0A5F" w:rsidP="00564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8C0A5F" w:rsidRPr="005F517B" w:rsidRDefault="008C0A5F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5F51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69" w:type="dxa"/>
          </w:tcPr>
          <w:p w:rsidR="00A66078" w:rsidRPr="005F517B" w:rsidRDefault="00A66078" w:rsidP="002234EE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En la web no aparece ninguna referencia relativa a la “Autorización para actividad privada al cese de altos cargos en la AGE, CCAA o EELL” </w:t>
            </w:r>
            <w:r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 xml:space="preserve">dado que en </w:t>
            </w:r>
            <w:proofErr w:type="spellStart"/>
            <w:r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>Aena</w:t>
            </w:r>
            <w:proofErr w:type="spellEnd"/>
            <w:r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lastRenderedPageBreak/>
              <w:t>no se ha producido ninguna en los últimos años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. </w:t>
            </w:r>
          </w:p>
          <w:p w:rsidR="00A66078" w:rsidRPr="005F517B" w:rsidRDefault="00A66078" w:rsidP="002234EE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</w:p>
          <w:p w:rsidR="008C0A5F" w:rsidRPr="005F517B" w:rsidRDefault="002623F5" w:rsidP="002234EE">
            <w:pPr>
              <w:jc w:val="both"/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No obstante, t</w:t>
            </w:r>
            <w:r w:rsidR="002234EE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al </w:t>
            </w:r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y </w:t>
            </w:r>
            <w:r w:rsidR="002234EE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como se acordó</w:t>
            </w:r>
            <w:r w:rsidR="00255D6D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en la reunión mantenida con el CTBG el pasado 6 de octubre de 2021</w:t>
            </w:r>
            <w:r w:rsidR="00A66078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, s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e va a</w:t>
            </w:r>
            <w:r w:rsidR="008C0A5F" w:rsidRPr="005F5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incluir el siguiente comentario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en el apartado correspondiente</w:t>
            </w:r>
            <w:r w:rsidR="008C0A5F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: </w:t>
            </w:r>
            <w:r w:rsidR="008C0A5F"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 xml:space="preserve">En </w:t>
            </w:r>
            <w:proofErr w:type="spellStart"/>
            <w:r w:rsidR="008C0A5F"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>Aena</w:t>
            </w:r>
            <w:proofErr w:type="spellEnd"/>
            <w:r w:rsidR="008C0A5F" w:rsidRPr="005F517B">
              <w:rPr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 xml:space="preserve"> S.M.E., S.A, actualmente no existe información para publicar de los dos últimos años.</w:t>
            </w:r>
          </w:p>
          <w:p w:rsidR="008C0A5F" w:rsidRPr="005F517B" w:rsidRDefault="008C0A5F" w:rsidP="00223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43A" w:rsidRPr="000D569F" w:rsidTr="00A466B5">
        <w:trPr>
          <w:trHeight w:val="265"/>
        </w:trPr>
        <w:tc>
          <w:tcPr>
            <w:tcW w:w="1413" w:type="dxa"/>
          </w:tcPr>
          <w:p w:rsidR="0031043A" w:rsidRPr="000D569F" w:rsidRDefault="0031043A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lastRenderedPageBreak/>
              <w:t xml:space="preserve">Calidad de la Información </w:t>
            </w:r>
          </w:p>
          <w:p w:rsidR="0031043A" w:rsidRPr="000D569F" w:rsidRDefault="0031043A" w:rsidP="00564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043A" w:rsidRPr="000D569F" w:rsidRDefault="0031043A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31043A" w:rsidRPr="000D569F" w:rsidRDefault="0031043A" w:rsidP="00564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31043A" w:rsidRPr="005F517B" w:rsidRDefault="0031043A" w:rsidP="005645FF">
            <w:pPr>
              <w:rPr>
                <w:rFonts w:ascii="Arial" w:hAnsi="Arial" w:cs="Arial"/>
                <w:sz w:val="18"/>
                <w:szCs w:val="18"/>
              </w:rPr>
            </w:pPr>
            <w:r w:rsidRPr="005F517B">
              <w:rPr>
                <w:rFonts w:ascii="Arial" w:hAnsi="Arial" w:cs="Arial"/>
                <w:sz w:val="18"/>
                <w:szCs w:val="18"/>
              </w:rPr>
              <w:t>No aparece fecha de actualización para los distintos apartados o el Portal en su conjunto.</w:t>
            </w:r>
          </w:p>
        </w:tc>
        <w:tc>
          <w:tcPr>
            <w:tcW w:w="3969" w:type="dxa"/>
          </w:tcPr>
          <w:p w:rsidR="006B5EA4" w:rsidRPr="005F517B" w:rsidRDefault="002623F5" w:rsidP="000D569F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En la mayoría de </w:t>
            </w:r>
            <w:r w:rsidR="007D64C3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los apartados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correspondientes a las obligaciones de publicidad activa</w:t>
            </w:r>
            <w:r w:rsidR="007D64C3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, se hace referencia a la</w:t>
            </w:r>
            <w:r w:rsidR="006B5EA4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fecha de la</w:t>
            </w:r>
            <w:r w:rsidR="007D64C3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última actualización de la información (p.ej. organigrama de la Sociedad, </w:t>
            </w:r>
            <w:r w:rsidR="00436D50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composición del Consejo de Administración, </w:t>
            </w:r>
            <w:r w:rsidR="006B5EA4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Datos de Contratación, </w:t>
            </w:r>
            <w:r w:rsidR="00436D50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Información económica, Convenios, </w:t>
            </w:r>
            <w:r w:rsidR="006B5EA4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Resoluciones R</w:t>
            </w:r>
            <w:r w:rsidR="00436D50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econocimiento</w:t>
            </w:r>
            <w:r w:rsidR="006B5EA4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de Compatibilidad…)</w:t>
            </w:r>
            <w:r w:rsidR="00436D50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:rsidR="006B5EA4" w:rsidRPr="005F517B" w:rsidRDefault="006B5EA4" w:rsidP="000D569F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</w:p>
          <w:p w:rsidR="0031043A" w:rsidRPr="005F517B" w:rsidRDefault="006B5EA4" w:rsidP="000D569F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Con independencia de lo anterior, s</w:t>
            </w:r>
            <w:r w:rsidR="0031043A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e </w:t>
            </w:r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procederá </w:t>
            </w:r>
            <w:r w:rsidR="0031043A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a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inclui</w:t>
            </w:r>
            <w:bookmarkStart w:id="0" w:name="_GoBack"/>
            <w:bookmarkEnd w:id="0"/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r</w:t>
            </w:r>
            <w:r w:rsidR="0031043A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en la página inicial del Portal de Transparencia la fecha de actualización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 xml:space="preserve"> para el </w:t>
            </w:r>
            <w:r w:rsidR="00F41867"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conjunto de la información contenida en el mismo</w:t>
            </w:r>
            <w:r w:rsidRPr="005F517B"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  <w:t>.</w:t>
            </w:r>
          </w:p>
          <w:p w:rsidR="0031043A" w:rsidRPr="005F517B" w:rsidRDefault="0031043A" w:rsidP="005645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6B5" w:rsidRPr="000D569F" w:rsidTr="002560B2">
        <w:trPr>
          <w:trHeight w:val="265"/>
        </w:trPr>
        <w:tc>
          <w:tcPr>
            <w:tcW w:w="3539" w:type="dxa"/>
            <w:gridSpan w:val="2"/>
          </w:tcPr>
          <w:p w:rsidR="00A466B5" w:rsidRPr="008C0A5F" w:rsidRDefault="00A466B5" w:rsidP="00A466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5F">
              <w:rPr>
                <w:rFonts w:ascii="Arial" w:hAnsi="Arial" w:cs="Arial"/>
                <w:b/>
                <w:bCs/>
                <w:sz w:val="18"/>
                <w:szCs w:val="18"/>
              </w:rPr>
              <w:t>Recomendaciones</w:t>
            </w:r>
          </w:p>
        </w:tc>
        <w:tc>
          <w:tcPr>
            <w:tcW w:w="567" w:type="dxa"/>
            <w:vAlign w:val="center"/>
          </w:tcPr>
          <w:p w:rsidR="00A466B5" w:rsidRPr="008C0A5F" w:rsidRDefault="00A466B5" w:rsidP="005645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5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66B5" w:rsidRPr="004F7519" w:rsidRDefault="00A466B5" w:rsidP="005645F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A466B5" w:rsidRPr="004F7519" w:rsidRDefault="00A466B5" w:rsidP="000D569F">
            <w:pPr>
              <w:jc w:val="both"/>
              <w:rPr>
                <w:rFonts w:ascii="Arial" w:hAnsi="Arial" w:cs="Arial"/>
                <w:bCs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0D569F" w:rsidRDefault="000D569F" w:rsidP="008C0A5F">
      <w:pPr>
        <w:jc w:val="both"/>
        <w:rPr>
          <w:rFonts w:ascii="Arial" w:hAnsi="Arial" w:cs="Arial"/>
          <w:bCs/>
          <w:sz w:val="22"/>
          <w:szCs w:val="22"/>
        </w:rPr>
      </w:pPr>
    </w:p>
    <w:p w:rsidR="00A466B5" w:rsidRDefault="00A466B5" w:rsidP="008C0A5F">
      <w:pPr>
        <w:jc w:val="both"/>
        <w:rPr>
          <w:rFonts w:ascii="Arial" w:hAnsi="Arial" w:cs="Arial"/>
          <w:bCs/>
          <w:sz w:val="22"/>
          <w:szCs w:val="22"/>
        </w:rPr>
      </w:pPr>
    </w:p>
    <w:sectPr w:rsidR="00A466B5" w:rsidSect="005F517B">
      <w:headerReference w:type="default" r:id="rId10"/>
      <w:footerReference w:type="default" r:id="rId11"/>
      <w:pgSz w:w="11906" w:h="16838"/>
      <w:pgMar w:top="1843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D7" w:rsidRDefault="004871D7" w:rsidP="00A82A7B">
      <w:r>
        <w:separator/>
      </w:r>
    </w:p>
  </w:endnote>
  <w:endnote w:type="continuationSeparator" w:id="0">
    <w:p w:rsidR="004871D7" w:rsidRDefault="004871D7" w:rsidP="00A8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31" w:rsidRPr="009E0B0C" w:rsidRDefault="001645C3">
    <w:pPr>
      <w:pStyle w:val="Piedepgina"/>
      <w:rPr>
        <w:rFonts w:ascii="Arial" w:hAnsi="Arial" w:cs="Arial"/>
        <w:sz w:val="16"/>
        <w:szCs w:val="16"/>
      </w:rPr>
    </w:pPr>
    <w:r w:rsidRPr="009E0B0C">
      <w:rPr>
        <w:rFonts w:ascii="Arial" w:hAnsi="Arial" w:cs="Arial"/>
        <w:noProof/>
        <w:color w:val="92D05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A7401" wp14:editId="799107E0">
              <wp:simplePos x="0" y="0"/>
              <wp:positionH relativeFrom="column">
                <wp:posOffset>7157</wp:posOffset>
              </wp:positionH>
              <wp:positionV relativeFrom="paragraph">
                <wp:posOffset>-89015</wp:posOffset>
              </wp:positionV>
              <wp:extent cx="6012873" cy="0"/>
              <wp:effectExtent l="0" t="0" r="26035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8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FF7F77" id="7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7pt" to="474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" strokecolor="#94b64e [3046]"/>
          </w:pict>
        </mc:Fallback>
      </mc:AlternateContent>
    </w:r>
    <w:proofErr w:type="spellStart"/>
    <w:r w:rsidR="00404D31" w:rsidRPr="009E0B0C">
      <w:rPr>
        <w:rFonts w:ascii="Arial" w:hAnsi="Arial" w:cs="Arial"/>
        <w:sz w:val="16"/>
        <w:szCs w:val="16"/>
      </w:rPr>
      <w:t>Aena</w:t>
    </w:r>
    <w:proofErr w:type="spellEnd"/>
    <w:r w:rsidR="00404D31" w:rsidRPr="009E0B0C">
      <w:rPr>
        <w:rFonts w:ascii="Arial" w:hAnsi="Arial" w:cs="Arial"/>
        <w:sz w:val="16"/>
        <w:szCs w:val="16"/>
      </w:rPr>
      <w:t>, S.M.E., S.A.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D7" w:rsidRDefault="004871D7" w:rsidP="00A82A7B">
      <w:r>
        <w:separator/>
      </w:r>
    </w:p>
  </w:footnote>
  <w:footnote w:type="continuationSeparator" w:id="0">
    <w:p w:rsidR="004871D7" w:rsidRDefault="004871D7" w:rsidP="00A8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7B" w:rsidRDefault="00A82A7B">
    <w:pPr>
      <w:pStyle w:val="Encabezado"/>
    </w:pPr>
    <w:r w:rsidRPr="00C84A6E">
      <w:rPr>
        <w:noProof/>
      </w:rPr>
      <w:drawing>
        <wp:anchor distT="0" distB="0" distL="114300" distR="114300" simplePos="0" relativeHeight="251659264" behindDoc="0" locked="1" layoutInCell="1" allowOverlap="1" wp14:anchorId="15AE709B" wp14:editId="6022A114">
          <wp:simplePos x="0" y="0"/>
          <wp:positionH relativeFrom="page">
            <wp:posOffset>527050</wp:posOffset>
          </wp:positionH>
          <wp:positionV relativeFrom="page">
            <wp:posOffset>173355</wp:posOffset>
          </wp:positionV>
          <wp:extent cx="1686560" cy="995680"/>
          <wp:effectExtent l="0" t="0" r="0" b="0"/>
          <wp:wrapNone/>
          <wp:docPr id="4" name="Placeholder" descr="AF-Generic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-Generico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656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" o:bullet="t">
        <v:imagedata r:id="rId1" o:title="art925F"/>
      </v:shape>
    </w:pict>
  </w:numPicBullet>
  <w:abstractNum w:abstractNumId="0">
    <w:nsid w:val="03033951"/>
    <w:multiLevelType w:val="hybridMultilevel"/>
    <w:tmpl w:val="4A5C2D26"/>
    <w:lvl w:ilvl="0" w:tplc="88CA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A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E6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A4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EE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7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81CC0"/>
    <w:multiLevelType w:val="hybridMultilevel"/>
    <w:tmpl w:val="70F03400"/>
    <w:lvl w:ilvl="0" w:tplc="414666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891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2D2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49B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A1B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42C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CB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EB7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EEA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308F1"/>
    <w:multiLevelType w:val="hybridMultilevel"/>
    <w:tmpl w:val="3A38C0BE"/>
    <w:lvl w:ilvl="0" w:tplc="EAFC83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109C0"/>
    <w:multiLevelType w:val="hybridMultilevel"/>
    <w:tmpl w:val="DCDEAE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D32"/>
    <w:multiLevelType w:val="hybridMultilevel"/>
    <w:tmpl w:val="62FAA714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1BE5"/>
    <w:multiLevelType w:val="hybridMultilevel"/>
    <w:tmpl w:val="6DE8DF5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FE791E"/>
    <w:multiLevelType w:val="hybridMultilevel"/>
    <w:tmpl w:val="7D7C5BD6"/>
    <w:lvl w:ilvl="0" w:tplc="76E21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C23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C12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6C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029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6E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1E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EA6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4AE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01357"/>
    <w:multiLevelType w:val="hybridMultilevel"/>
    <w:tmpl w:val="3B7C956E"/>
    <w:lvl w:ilvl="0" w:tplc="1C06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A0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D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8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20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6C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A8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AE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6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0E5109"/>
    <w:multiLevelType w:val="hybridMultilevel"/>
    <w:tmpl w:val="1FFA2CC2"/>
    <w:lvl w:ilvl="0" w:tplc="4E00AC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E64B7"/>
    <w:multiLevelType w:val="hybridMultilevel"/>
    <w:tmpl w:val="E9AAA5A0"/>
    <w:lvl w:ilvl="0" w:tplc="7A069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2EF1"/>
    <w:multiLevelType w:val="hybridMultilevel"/>
    <w:tmpl w:val="29B4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D498C"/>
    <w:multiLevelType w:val="hybridMultilevel"/>
    <w:tmpl w:val="D54C5FF2"/>
    <w:lvl w:ilvl="0" w:tplc="4E00AC54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B550CAE"/>
    <w:multiLevelType w:val="hybridMultilevel"/>
    <w:tmpl w:val="1FF8DD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0473B"/>
    <w:multiLevelType w:val="hybridMultilevel"/>
    <w:tmpl w:val="72B4EC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AE6"/>
    <w:multiLevelType w:val="hybridMultilevel"/>
    <w:tmpl w:val="600894F8"/>
    <w:lvl w:ilvl="0" w:tplc="4E00AC5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976666"/>
    <w:multiLevelType w:val="hybridMultilevel"/>
    <w:tmpl w:val="59F20CEA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D0F3335"/>
    <w:multiLevelType w:val="hybridMultilevel"/>
    <w:tmpl w:val="E29AC050"/>
    <w:lvl w:ilvl="0" w:tplc="59AA42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36057"/>
    <w:multiLevelType w:val="hybridMultilevel"/>
    <w:tmpl w:val="5BF42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7C6F"/>
    <w:multiLevelType w:val="hybridMultilevel"/>
    <w:tmpl w:val="21369370"/>
    <w:lvl w:ilvl="0" w:tplc="C6C4C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D0A69"/>
    <w:multiLevelType w:val="hybridMultilevel"/>
    <w:tmpl w:val="700C076C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D24E06"/>
    <w:multiLevelType w:val="hybridMultilevel"/>
    <w:tmpl w:val="0BE6E2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91071"/>
    <w:multiLevelType w:val="hybridMultilevel"/>
    <w:tmpl w:val="D89EB5EA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52C8B"/>
    <w:multiLevelType w:val="hybridMultilevel"/>
    <w:tmpl w:val="20CEDC4E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4527229"/>
    <w:multiLevelType w:val="hybridMultilevel"/>
    <w:tmpl w:val="9C6689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9083A"/>
    <w:multiLevelType w:val="hybridMultilevel"/>
    <w:tmpl w:val="9A0A0E38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E1486"/>
    <w:multiLevelType w:val="hybridMultilevel"/>
    <w:tmpl w:val="F69A1B40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96B5B"/>
    <w:multiLevelType w:val="hybridMultilevel"/>
    <w:tmpl w:val="97DE83B8"/>
    <w:lvl w:ilvl="0" w:tplc="E75E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30B7"/>
    <w:multiLevelType w:val="hybridMultilevel"/>
    <w:tmpl w:val="1B4ED4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F37574"/>
    <w:multiLevelType w:val="hybridMultilevel"/>
    <w:tmpl w:val="83D0379E"/>
    <w:lvl w:ilvl="0" w:tplc="3072C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2DF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E9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81A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CB6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C7F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661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0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AB6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A951329"/>
    <w:multiLevelType w:val="hybridMultilevel"/>
    <w:tmpl w:val="7F22E070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F776B"/>
    <w:multiLevelType w:val="hybridMultilevel"/>
    <w:tmpl w:val="679433E0"/>
    <w:lvl w:ilvl="0" w:tplc="0C0A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>
    <w:nsid w:val="73333047"/>
    <w:multiLevelType w:val="hybridMultilevel"/>
    <w:tmpl w:val="FCFA97AE"/>
    <w:lvl w:ilvl="0" w:tplc="237A484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742DF"/>
    <w:multiLevelType w:val="hybridMultilevel"/>
    <w:tmpl w:val="4C7CA27E"/>
    <w:lvl w:ilvl="0" w:tplc="FD6E0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004906"/>
    <w:multiLevelType w:val="hybridMultilevel"/>
    <w:tmpl w:val="73B66BF6"/>
    <w:lvl w:ilvl="0" w:tplc="27927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8ED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AFA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221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490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E3D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034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47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57B322D"/>
    <w:multiLevelType w:val="hybridMultilevel"/>
    <w:tmpl w:val="8244CD3C"/>
    <w:lvl w:ilvl="0" w:tplc="EFD8C7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25F6C"/>
    <w:multiLevelType w:val="hybridMultilevel"/>
    <w:tmpl w:val="4CAAA3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70518"/>
    <w:multiLevelType w:val="hybridMultilevel"/>
    <w:tmpl w:val="038C4CA6"/>
    <w:lvl w:ilvl="0" w:tplc="E74ABA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34C20"/>
    <w:multiLevelType w:val="hybridMultilevel"/>
    <w:tmpl w:val="5E9E7098"/>
    <w:lvl w:ilvl="0" w:tplc="4E00AC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32"/>
  </w:num>
  <w:num w:numId="9">
    <w:abstractNumId w:val="22"/>
  </w:num>
  <w:num w:numId="10">
    <w:abstractNumId w:val="37"/>
  </w:num>
  <w:num w:numId="11">
    <w:abstractNumId w:val="5"/>
  </w:num>
  <w:num w:numId="12">
    <w:abstractNumId w:val="20"/>
  </w:num>
  <w:num w:numId="13">
    <w:abstractNumId w:val="8"/>
  </w:num>
  <w:num w:numId="14">
    <w:abstractNumId w:val="23"/>
  </w:num>
  <w:num w:numId="15">
    <w:abstractNumId w:val="12"/>
  </w:num>
  <w:num w:numId="16">
    <w:abstractNumId w:val="28"/>
  </w:num>
  <w:num w:numId="17">
    <w:abstractNumId w:val="33"/>
  </w:num>
  <w:num w:numId="18">
    <w:abstractNumId w:val="27"/>
  </w:num>
  <w:num w:numId="19">
    <w:abstractNumId w:val="14"/>
  </w:num>
  <w:num w:numId="20">
    <w:abstractNumId w:val="9"/>
  </w:num>
  <w:num w:numId="21">
    <w:abstractNumId w:val="30"/>
  </w:num>
  <w:num w:numId="22">
    <w:abstractNumId w:val="26"/>
  </w:num>
  <w:num w:numId="23">
    <w:abstractNumId w:val="11"/>
  </w:num>
  <w:num w:numId="24">
    <w:abstractNumId w:val="4"/>
  </w:num>
  <w:num w:numId="25">
    <w:abstractNumId w:val="18"/>
  </w:num>
  <w:num w:numId="26">
    <w:abstractNumId w:val="35"/>
  </w:num>
  <w:num w:numId="27">
    <w:abstractNumId w:val="25"/>
  </w:num>
  <w:num w:numId="28">
    <w:abstractNumId w:val="34"/>
  </w:num>
  <w:num w:numId="29">
    <w:abstractNumId w:val="21"/>
  </w:num>
  <w:num w:numId="30">
    <w:abstractNumId w:val="36"/>
  </w:num>
  <w:num w:numId="31">
    <w:abstractNumId w:val="15"/>
  </w:num>
  <w:num w:numId="32">
    <w:abstractNumId w:val="16"/>
  </w:num>
  <w:num w:numId="33">
    <w:abstractNumId w:val="2"/>
  </w:num>
  <w:num w:numId="34">
    <w:abstractNumId w:val="24"/>
  </w:num>
  <w:num w:numId="35">
    <w:abstractNumId w:val="3"/>
  </w:num>
  <w:num w:numId="36">
    <w:abstractNumId w:val="19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9"/>
    <w:rsid w:val="00033736"/>
    <w:rsid w:val="00047A20"/>
    <w:rsid w:val="00050A7B"/>
    <w:rsid w:val="00052ED9"/>
    <w:rsid w:val="0005709F"/>
    <w:rsid w:val="00072F13"/>
    <w:rsid w:val="00074154"/>
    <w:rsid w:val="0007576C"/>
    <w:rsid w:val="000865C3"/>
    <w:rsid w:val="000B4947"/>
    <w:rsid w:val="000C7F59"/>
    <w:rsid w:val="000D2A0A"/>
    <w:rsid w:val="000D569F"/>
    <w:rsid w:val="000D7CC2"/>
    <w:rsid w:val="000E790D"/>
    <w:rsid w:val="000F00C1"/>
    <w:rsid w:val="00135337"/>
    <w:rsid w:val="001645C3"/>
    <w:rsid w:val="0016471D"/>
    <w:rsid w:val="0017010B"/>
    <w:rsid w:val="00171FAB"/>
    <w:rsid w:val="00194B69"/>
    <w:rsid w:val="002119F5"/>
    <w:rsid w:val="002210A3"/>
    <w:rsid w:val="002234EE"/>
    <w:rsid w:val="002333F6"/>
    <w:rsid w:val="00236290"/>
    <w:rsid w:val="002448FA"/>
    <w:rsid w:val="00255D6D"/>
    <w:rsid w:val="002623F5"/>
    <w:rsid w:val="002701C3"/>
    <w:rsid w:val="002723DF"/>
    <w:rsid w:val="00291F8C"/>
    <w:rsid w:val="00297963"/>
    <w:rsid w:val="002B6FE2"/>
    <w:rsid w:val="002D5915"/>
    <w:rsid w:val="002D7923"/>
    <w:rsid w:val="00301B0B"/>
    <w:rsid w:val="00302464"/>
    <w:rsid w:val="0031043A"/>
    <w:rsid w:val="00314707"/>
    <w:rsid w:val="003265AF"/>
    <w:rsid w:val="003508B6"/>
    <w:rsid w:val="00386006"/>
    <w:rsid w:val="003915F3"/>
    <w:rsid w:val="003C3EED"/>
    <w:rsid w:val="003C6F4E"/>
    <w:rsid w:val="003D0D48"/>
    <w:rsid w:val="003E537D"/>
    <w:rsid w:val="003F0842"/>
    <w:rsid w:val="00404D31"/>
    <w:rsid w:val="00405DA0"/>
    <w:rsid w:val="00436D50"/>
    <w:rsid w:val="00444C99"/>
    <w:rsid w:val="004871D7"/>
    <w:rsid w:val="00495622"/>
    <w:rsid w:val="004B35E2"/>
    <w:rsid w:val="004C0FF2"/>
    <w:rsid w:val="004F7519"/>
    <w:rsid w:val="005026C2"/>
    <w:rsid w:val="00531E77"/>
    <w:rsid w:val="00586022"/>
    <w:rsid w:val="005B6C92"/>
    <w:rsid w:val="005C3A07"/>
    <w:rsid w:val="005D7CD1"/>
    <w:rsid w:val="005E6E1A"/>
    <w:rsid w:val="005E6F99"/>
    <w:rsid w:val="005E731D"/>
    <w:rsid w:val="005F517B"/>
    <w:rsid w:val="005F643B"/>
    <w:rsid w:val="0063203E"/>
    <w:rsid w:val="006661D9"/>
    <w:rsid w:val="006B5EA4"/>
    <w:rsid w:val="006D7277"/>
    <w:rsid w:val="006E4BF8"/>
    <w:rsid w:val="006F561D"/>
    <w:rsid w:val="006F7384"/>
    <w:rsid w:val="00712C7C"/>
    <w:rsid w:val="007359B2"/>
    <w:rsid w:val="00754E1B"/>
    <w:rsid w:val="007558D4"/>
    <w:rsid w:val="00766DD8"/>
    <w:rsid w:val="007D64C3"/>
    <w:rsid w:val="007D6F2F"/>
    <w:rsid w:val="007D73FD"/>
    <w:rsid w:val="007F1A91"/>
    <w:rsid w:val="008071F0"/>
    <w:rsid w:val="00816D9C"/>
    <w:rsid w:val="00831DE7"/>
    <w:rsid w:val="008503A2"/>
    <w:rsid w:val="0086684A"/>
    <w:rsid w:val="008773B2"/>
    <w:rsid w:val="008A0AED"/>
    <w:rsid w:val="008A1069"/>
    <w:rsid w:val="008A59C3"/>
    <w:rsid w:val="008B0845"/>
    <w:rsid w:val="008B1D17"/>
    <w:rsid w:val="008B1E71"/>
    <w:rsid w:val="008C0A5F"/>
    <w:rsid w:val="008D61BE"/>
    <w:rsid w:val="008D6C62"/>
    <w:rsid w:val="008E4178"/>
    <w:rsid w:val="008F0410"/>
    <w:rsid w:val="008F74A3"/>
    <w:rsid w:val="009164E3"/>
    <w:rsid w:val="00917CA7"/>
    <w:rsid w:val="009227A8"/>
    <w:rsid w:val="00930A6D"/>
    <w:rsid w:val="0094360A"/>
    <w:rsid w:val="00972D6B"/>
    <w:rsid w:val="009872A6"/>
    <w:rsid w:val="009A1E9B"/>
    <w:rsid w:val="009B05C4"/>
    <w:rsid w:val="009D7DA7"/>
    <w:rsid w:val="009E0B0C"/>
    <w:rsid w:val="009E3D4F"/>
    <w:rsid w:val="009E4640"/>
    <w:rsid w:val="009E716B"/>
    <w:rsid w:val="009F2540"/>
    <w:rsid w:val="00A20A61"/>
    <w:rsid w:val="00A33261"/>
    <w:rsid w:val="00A466B5"/>
    <w:rsid w:val="00A65F40"/>
    <w:rsid w:val="00A66078"/>
    <w:rsid w:val="00A71334"/>
    <w:rsid w:val="00A75342"/>
    <w:rsid w:val="00A76DD6"/>
    <w:rsid w:val="00A82A7B"/>
    <w:rsid w:val="00A82F42"/>
    <w:rsid w:val="00AA619E"/>
    <w:rsid w:val="00AB6560"/>
    <w:rsid w:val="00AE7EEE"/>
    <w:rsid w:val="00B139E7"/>
    <w:rsid w:val="00B13B3D"/>
    <w:rsid w:val="00B20129"/>
    <w:rsid w:val="00B2162A"/>
    <w:rsid w:val="00B3575A"/>
    <w:rsid w:val="00B661A5"/>
    <w:rsid w:val="00B671D5"/>
    <w:rsid w:val="00B74C19"/>
    <w:rsid w:val="00B757C0"/>
    <w:rsid w:val="00BA1102"/>
    <w:rsid w:val="00BB5414"/>
    <w:rsid w:val="00BE23BC"/>
    <w:rsid w:val="00BF6F96"/>
    <w:rsid w:val="00C2656C"/>
    <w:rsid w:val="00C36766"/>
    <w:rsid w:val="00C468AE"/>
    <w:rsid w:val="00C5152D"/>
    <w:rsid w:val="00C738A2"/>
    <w:rsid w:val="00CB3AF6"/>
    <w:rsid w:val="00CC1E78"/>
    <w:rsid w:val="00CE276F"/>
    <w:rsid w:val="00D360C4"/>
    <w:rsid w:val="00D43281"/>
    <w:rsid w:val="00D80B20"/>
    <w:rsid w:val="00D85202"/>
    <w:rsid w:val="00DC4C64"/>
    <w:rsid w:val="00DE506A"/>
    <w:rsid w:val="00DF29E2"/>
    <w:rsid w:val="00DF541C"/>
    <w:rsid w:val="00E4640B"/>
    <w:rsid w:val="00E56A18"/>
    <w:rsid w:val="00E7771C"/>
    <w:rsid w:val="00EB586B"/>
    <w:rsid w:val="00EC48A6"/>
    <w:rsid w:val="00EE05DE"/>
    <w:rsid w:val="00EE40E3"/>
    <w:rsid w:val="00EF018A"/>
    <w:rsid w:val="00F41867"/>
    <w:rsid w:val="00F57F92"/>
    <w:rsid w:val="00F738D3"/>
    <w:rsid w:val="00F82A88"/>
    <w:rsid w:val="00FA2150"/>
    <w:rsid w:val="00FE5730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D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rial 8,List Paragraph1,List Paragraph,Normal N3,Párrafo de lista1"/>
    <w:basedOn w:val="Normal"/>
    <w:link w:val="PrrafodelistaCar"/>
    <w:uiPriority w:val="34"/>
    <w:qFormat/>
    <w:rsid w:val="00072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2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Arial 8 Car,List Paragraph1 Car,List Paragraph Car,Normal N3 Car,Párrafo de lista1 Car"/>
    <w:link w:val="Prrafodelista"/>
    <w:uiPriority w:val="34"/>
    <w:locked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A82A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D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E7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D360C4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60C4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6F561D"/>
    <w:rPr>
      <w:color w:val="0000FF" w:themeColor="hyperlink"/>
      <w:u w:val="single"/>
    </w:rPr>
  </w:style>
  <w:style w:type="paragraph" w:customStyle="1" w:styleId="Cuerpodelboletn">
    <w:name w:val="Cuerpo del boletín"/>
    <w:basedOn w:val="Normal"/>
    <w:qFormat/>
    <w:rsid w:val="00816D9C"/>
    <w:pPr>
      <w:spacing w:after="200"/>
      <w:jc w:val="both"/>
    </w:pPr>
    <w:rPr>
      <w:rFonts w:ascii="Century Gothic" w:eastAsiaTheme="minorEastAsia" w:hAnsi="Century Gothic" w:cstheme="minorBidi"/>
      <w:color w:val="000000"/>
      <w:sz w:val="2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97963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9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B6C9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23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rial 8,List Paragraph1,List Paragraph,Normal N3,Párrafo de lista1"/>
    <w:basedOn w:val="Normal"/>
    <w:link w:val="PrrafodelistaCar"/>
    <w:uiPriority w:val="34"/>
    <w:qFormat/>
    <w:rsid w:val="00072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2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Arial 8 Car,List Paragraph1 Car,List Paragraph Car,Normal N3 Car,Párrafo de lista1 Car"/>
    <w:link w:val="Prrafodelista"/>
    <w:uiPriority w:val="34"/>
    <w:locked/>
    <w:rsid w:val="00A82A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A82A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D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E7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D360C4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60C4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6F561D"/>
    <w:rPr>
      <w:color w:val="0000FF" w:themeColor="hyperlink"/>
      <w:u w:val="single"/>
    </w:rPr>
  </w:style>
  <w:style w:type="paragraph" w:customStyle="1" w:styleId="Cuerpodelboletn">
    <w:name w:val="Cuerpo del boletín"/>
    <w:basedOn w:val="Normal"/>
    <w:qFormat/>
    <w:rsid w:val="00816D9C"/>
    <w:pPr>
      <w:spacing w:after="200"/>
      <w:jc w:val="both"/>
    </w:pPr>
    <w:rPr>
      <w:rFonts w:ascii="Century Gothic" w:eastAsiaTheme="minorEastAsia" w:hAnsi="Century Gothic" w:cstheme="minorBidi"/>
      <w:color w:val="000000"/>
      <w:sz w:val="2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97963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9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B6C9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ena.es/es/accionistas-e-inversores/informacion-general/estatutos-social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7D0B-6DA9-4FD0-885A-D21A2424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AENA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AENA</dc:creator>
  <cp:lastModifiedBy>anam.ruiz</cp:lastModifiedBy>
  <cp:revision>2</cp:revision>
  <cp:lastPrinted>2022-06-17T11:34:00Z</cp:lastPrinted>
  <dcterms:created xsi:type="dcterms:W3CDTF">2022-06-24T11:01:00Z</dcterms:created>
  <dcterms:modified xsi:type="dcterms:W3CDTF">2022-06-24T11:01:00Z</dcterms:modified>
</cp:coreProperties>
</file>