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49" w:rsidRPr="00FC4049" w:rsidRDefault="00FC4049" w:rsidP="00FC4049">
      <w:pPr>
        <w:rPr>
          <w:vanish/>
        </w:rPr>
      </w:pPr>
    </w:p>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478"/>
        <w:gridCol w:w="35"/>
        <w:gridCol w:w="2281"/>
      </w:tblGrid>
      <w:tr w:rsidR="0028709B">
        <w:tc>
          <w:tcPr>
            <w:tcW w:w="2478" w:type="dxa"/>
          </w:tcPr>
          <w:p w:rsidR="0028709B" w:rsidRDefault="0028709B">
            <w:pPr>
              <w:pStyle w:val="Textonotapie"/>
              <w:tabs>
                <w:tab w:val="left" w:pos="1021"/>
                <w:tab w:val="left" w:pos="8080"/>
              </w:tabs>
              <w:jc w:val="right"/>
              <w:rPr>
                <w:rFonts w:ascii="Gill Sans MT" w:hAnsi="Gill Sans MT"/>
                <w:sz w:val="14"/>
              </w:rPr>
            </w:pPr>
          </w:p>
        </w:tc>
        <w:tc>
          <w:tcPr>
            <w:tcW w:w="35" w:type="dxa"/>
            <w:tcBorders>
              <w:right w:val="single" w:sz="4" w:space="0" w:color="auto"/>
            </w:tcBorders>
          </w:tcPr>
          <w:p w:rsidR="0028709B" w:rsidRDefault="0028709B">
            <w:pPr>
              <w:pStyle w:val="Textonotapie"/>
              <w:tabs>
                <w:tab w:val="left" w:pos="1021"/>
                <w:tab w:val="left" w:pos="8080"/>
              </w:tabs>
              <w:jc w:val="right"/>
              <w:rPr>
                <w:rFonts w:ascii="Gill Sans MT" w:hAnsi="Gill Sans MT"/>
                <w:sz w:val="14"/>
              </w:rPr>
            </w:pPr>
          </w:p>
        </w:tc>
        <w:tc>
          <w:tcPr>
            <w:tcW w:w="2281"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rsidR="0028709B" w:rsidRDefault="009D7ABD">
            <w:pPr>
              <w:pStyle w:val="Textonotapie"/>
              <w:tabs>
                <w:tab w:val="left" w:pos="1021"/>
                <w:tab w:val="left" w:pos="8080"/>
              </w:tabs>
              <w:ind w:right="-82"/>
              <w:rPr>
                <w:rFonts w:ascii="Gill Sans MT" w:hAnsi="Gill Sans MT"/>
                <w:sz w:val="14"/>
              </w:rPr>
            </w:pPr>
            <w:r>
              <w:rPr>
                <w:rFonts w:ascii="Gill Sans MT" w:hAnsi="Gill Sans MT"/>
                <w:sz w:val="14"/>
              </w:rPr>
              <w:t>SUBSECRETARÍA</w:t>
            </w:r>
          </w:p>
        </w:tc>
      </w:tr>
      <w:tr w:rsidR="0028709B">
        <w:trPr>
          <w:trHeight w:hRule="exact" w:val="57"/>
        </w:trPr>
        <w:tc>
          <w:tcPr>
            <w:tcW w:w="2478" w:type="dxa"/>
          </w:tcPr>
          <w:p w:rsidR="0028709B" w:rsidRDefault="0028709B">
            <w:pPr>
              <w:pStyle w:val="Textonotapie"/>
              <w:tabs>
                <w:tab w:val="left" w:pos="1021"/>
                <w:tab w:val="left" w:pos="8080"/>
              </w:tabs>
              <w:jc w:val="right"/>
              <w:rPr>
                <w:rFonts w:ascii="Gill Sans MT" w:hAnsi="Gill Sans MT"/>
                <w:sz w:val="14"/>
              </w:rPr>
            </w:pPr>
          </w:p>
        </w:tc>
        <w:tc>
          <w:tcPr>
            <w:tcW w:w="35" w:type="dxa"/>
          </w:tcPr>
          <w:p w:rsidR="0028709B" w:rsidRDefault="0028709B">
            <w:pPr>
              <w:pStyle w:val="Textonotapie"/>
              <w:tabs>
                <w:tab w:val="left" w:pos="1021"/>
                <w:tab w:val="left" w:pos="8080"/>
              </w:tabs>
              <w:jc w:val="right"/>
              <w:rPr>
                <w:rFonts w:ascii="Gill Sans MT" w:hAnsi="Gill Sans MT"/>
                <w:sz w:val="14"/>
              </w:rPr>
            </w:pPr>
          </w:p>
        </w:tc>
        <w:tc>
          <w:tcPr>
            <w:tcW w:w="2281" w:type="dxa"/>
            <w:tcBorders>
              <w:top w:val="single" w:sz="4" w:space="0" w:color="auto"/>
            </w:tcBorders>
          </w:tcPr>
          <w:p w:rsidR="0028709B" w:rsidRDefault="0028709B">
            <w:pPr>
              <w:pStyle w:val="Textonotapie"/>
              <w:tabs>
                <w:tab w:val="left" w:pos="1021"/>
                <w:tab w:val="left" w:pos="8080"/>
              </w:tabs>
              <w:ind w:right="-82"/>
              <w:rPr>
                <w:rFonts w:ascii="Gill Sans MT" w:hAnsi="Gill Sans MT"/>
                <w:sz w:val="14"/>
              </w:rPr>
            </w:pPr>
          </w:p>
        </w:tc>
      </w:tr>
      <w:tr w:rsidR="0028709B">
        <w:trPr>
          <w:trHeight w:val="211"/>
        </w:trPr>
        <w:tc>
          <w:tcPr>
            <w:tcW w:w="2478" w:type="dxa"/>
            <w:tcMar>
              <w:top w:w="57" w:type="dxa"/>
              <w:left w:w="57" w:type="dxa"/>
              <w:bottom w:w="57" w:type="dxa"/>
            </w:tcMar>
          </w:tcPr>
          <w:p w:rsidR="0028709B" w:rsidRDefault="0028709B">
            <w:pPr>
              <w:pStyle w:val="Textonotapie"/>
              <w:tabs>
                <w:tab w:val="left" w:pos="1021"/>
                <w:tab w:val="left" w:pos="8080"/>
              </w:tabs>
              <w:jc w:val="right"/>
              <w:rPr>
                <w:rFonts w:ascii="Gill Sans MT" w:hAnsi="Gill Sans MT"/>
                <w:sz w:val="14"/>
              </w:rPr>
            </w:pPr>
          </w:p>
        </w:tc>
        <w:tc>
          <w:tcPr>
            <w:tcW w:w="35" w:type="dxa"/>
          </w:tcPr>
          <w:p w:rsidR="0028709B" w:rsidRDefault="0028709B">
            <w:pPr>
              <w:pStyle w:val="Textonotapie"/>
              <w:tabs>
                <w:tab w:val="left" w:pos="1021"/>
                <w:tab w:val="left" w:pos="8080"/>
              </w:tabs>
              <w:jc w:val="right"/>
              <w:rPr>
                <w:rFonts w:ascii="Gill Sans MT" w:hAnsi="Gill Sans MT"/>
                <w:sz w:val="14"/>
              </w:rPr>
            </w:pPr>
          </w:p>
        </w:tc>
        <w:tc>
          <w:tcPr>
            <w:tcW w:w="2281" w:type="dxa"/>
            <w:tcMar>
              <w:top w:w="57" w:type="dxa"/>
              <w:left w:w="57" w:type="dxa"/>
              <w:bottom w:w="57" w:type="dxa"/>
            </w:tcMar>
          </w:tcPr>
          <w:p w:rsidR="0028709B" w:rsidRDefault="009D7ABD">
            <w:pPr>
              <w:pStyle w:val="Textonotapie"/>
              <w:tabs>
                <w:tab w:val="left" w:pos="1021"/>
                <w:tab w:val="left" w:pos="8080"/>
              </w:tabs>
              <w:ind w:right="-82"/>
              <w:rPr>
                <w:rFonts w:ascii="Gill Sans MT" w:hAnsi="Gill Sans MT"/>
                <w:sz w:val="14"/>
              </w:rPr>
            </w:pPr>
            <w:r>
              <w:rPr>
                <w:rFonts w:ascii="Gill Sans MT" w:hAnsi="Gill Sans MT"/>
                <w:sz w:val="14"/>
              </w:rPr>
              <w:t>COMISIONADO PARA EL</w:t>
            </w:r>
          </w:p>
          <w:p w:rsidR="009D7ABD" w:rsidRDefault="009D7ABD">
            <w:pPr>
              <w:pStyle w:val="Textonotapie"/>
              <w:tabs>
                <w:tab w:val="left" w:pos="1021"/>
                <w:tab w:val="left" w:pos="8080"/>
              </w:tabs>
              <w:ind w:right="-82"/>
              <w:rPr>
                <w:rFonts w:ascii="Gill Sans MT" w:hAnsi="Gill Sans MT"/>
                <w:sz w:val="14"/>
              </w:rPr>
            </w:pPr>
            <w:r>
              <w:rPr>
                <w:rFonts w:ascii="Gill Sans MT" w:hAnsi="Gill Sans MT"/>
                <w:sz w:val="14"/>
              </w:rPr>
              <w:t>MERCADO DE TABACOS</w:t>
            </w:r>
          </w:p>
        </w:tc>
      </w:tr>
    </w:tbl>
    <w:p w:rsidR="00DB66F3" w:rsidRPr="00DB66F3" w:rsidRDefault="00DB66F3" w:rsidP="00DB66F3">
      <w:pPr>
        <w:rPr>
          <w:vanish/>
        </w:rPr>
      </w:pPr>
    </w:p>
    <w:tbl>
      <w:tblPr>
        <w:tblpPr w:leftFromText="141" w:rightFromText="141" w:vertAnchor="text" w:horzAnchor="page" w:tblpX="2076" w:tblpY="149"/>
        <w:tblOverlap w:val="never"/>
        <w:tblW w:w="0" w:type="auto"/>
        <w:tblCellMar>
          <w:left w:w="70" w:type="dxa"/>
          <w:right w:w="70" w:type="dxa"/>
        </w:tblCellMar>
        <w:tblLook w:val="0000" w:firstRow="0" w:lastRow="0" w:firstColumn="0" w:lastColumn="0" w:noHBand="0" w:noVBand="0"/>
      </w:tblPr>
      <w:tblGrid>
        <w:gridCol w:w="3324"/>
      </w:tblGrid>
      <w:tr w:rsidR="005326A8" w:rsidTr="00521EFE">
        <w:trPr>
          <w:trHeight w:val="996"/>
        </w:trPr>
        <w:tc>
          <w:tcPr>
            <w:tcW w:w="3324" w:type="dxa"/>
          </w:tcPr>
          <w:p w:rsidR="005326A8" w:rsidRPr="002869BF" w:rsidRDefault="005326A8" w:rsidP="00521EFE">
            <w:pPr>
              <w:pStyle w:val="Textonotapie"/>
              <w:tabs>
                <w:tab w:val="left" w:pos="1021"/>
                <w:tab w:val="left" w:pos="8080"/>
              </w:tabs>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rsidR="005326A8" w:rsidRDefault="005326A8" w:rsidP="00521EFE">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HACIENDA</w:t>
            </w:r>
          </w:p>
          <w:p w:rsidR="00E756C7" w:rsidRPr="008F252F" w:rsidRDefault="00E756C7" w:rsidP="00521EFE">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Y FUNCIÓN PÚBLICA</w:t>
            </w:r>
          </w:p>
          <w:p w:rsidR="005326A8" w:rsidRPr="002869BF" w:rsidRDefault="005326A8" w:rsidP="00521EFE">
            <w:pPr>
              <w:pStyle w:val="Textonotapie"/>
              <w:tabs>
                <w:tab w:val="left" w:pos="1021"/>
                <w:tab w:val="left" w:pos="8080"/>
              </w:tabs>
              <w:rPr>
                <w:rFonts w:ascii="Gill Sans MT" w:hAnsi="Gill Sans MT"/>
                <w:snapToGrid w:val="0"/>
                <w:color w:val="000000"/>
                <w:sz w:val="18"/>
                <w:lang w:val="es-ES"/>
              </w:rPr>
            </w:pPr>
          </w:p>
        </w:tc>
      </w:tr>
    </w:tbl>
    <w:p w:rsidR="0028709B" w:rsidRPr="008B6C4E" w:rsidRDefault="005852CD" w:rsidP="008B6C4E">
      <w:pPr>
        <w:pStyle w:val="Textonotapie"/>
        <w:tabs>
          <w:tab w:val="left" w:pos="1021"/>
          <w:tab w:val="left" w:pos="8080"/>
        </w:tabs>
        <w:ind w:left="-284"/>
        <w:rPr>
          <w:sz w:val="24"/>
        </w:rPr>
        <w:sectPr w:rsidR="0028709B" w:rsidRPr="008B6C4E" w:rsidSect="007B4DB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567" w:gutter="0"/>
          <w:cols w:space="720" w:equalWidth="0">
            <w:col w:w="9411"/>
          </w:cols>
          <w:titlePg/>
          <w:docGrid w:linePitch="272"/>
        </w:sectPr>
      </w:pPr>
      <w:r>
        <w:rPr>
          <w:noProof/>
          <w:lang w:val="es-ES"/>
        </w:rPr>
        <w:drawing>
          <wp:anchor distT="0" distB="0" distL="114300" distR="114300" simplePos="0" relativeHeight="251657728" behindDoc="0" locked="0" layoutInCell="1" allowOverlap="1">
            <wp:simplePos x="0" y="0"/>
            <wp:positionH relativeFrom="margin">
              <wp:align>left</wp:align>
            </wp:positionH>
            <wp:positionV relativeFrom="paragraph">
              <wp:posOffset>-191770</wp:posOffset>
            </wp:positionV>
            <wp:extent cx="838200" cy="8763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EFE" w:rsidRDefault="00521EFE" w:rsidP="00521EFE">
      <w:pPr>
        <w:autoSpaceDE w:val="0"/>
        <w:autoSpaceDN w:val="0"/>
        <w:adjustRightInd w:val="0"/>
        <w:spacing w:line="360" w:lineRule="auto"/>
        <w:ind w:left="567"/>
        <w:jc w:val="both"/>
        <w:rPr>
          <w:rFonts w:ascii="Calibri" w:hAnsi="Calibri" w:cs="Calibri"/>
          <w:bCs/>
          <w:sz w:val="24"/>
          <w:szCs w:val="24"/>
        </w:rPr>
      </w:pPr>
    </w:p>
    <w:p w:rsidR="00521EFE" w:rsidRDefault="00521EFE" w:rsidP="00521EFE">
      <w:pPr>
        <w:tabs>
          <w:tab w:val="left" w:pos="2130"/>
        </w:tabs>
        <w:jc w:val="both"/>
        <w:rPr>
          <w:rFonts w:ascii="Calibri" w:hAnsi="Calibri" w:cs="Calibri"/>
          <w:sz w:val="24"/>
          <w:szCs w:val="24"/>
        </w:rPr>
      </w:pPr>
    </w:p>
    <w:p w:rsidR="00521EFE" w:rsidRDefault="00521EFE" w:rsidP="00521EFE">
      <w:pPr>
        <w:tabs>
          <w:tab w:val="left" w:pos="2130"/>
        </w:tabs>
        <w:jc w:val="both"/>
        <w:rPr>
          <w:rFonts w:ascii="Calibri" w:hAnsi="Calibri" w:cs="Calibri"/>
          <w:sz w:val="24"/>
          <w:szCs w:val="24"/>
        </w:rPr>
      </w:pPr>
    </w:p>
    <w:p w:rsidR="00521EFE" w:rsidRDefault="00521EFE" w:rsidP="00521EFE">
      <w:pPr>
        <w:tabs>
          <w:tab w:val="left" w:pos="2130"/>
        </w:tabs>
        <w:jc w:val="both"/>
        <w:rPr>
          <w:rFonts w:ascii="Calibri" w:hAnsi="Calibri" w:cs="Calibri"/>
          <w:sz w:val="24"/>
          <w:szCs w:val="24"/>
        </w:rPr>
      </w:pPr>
    </w:p>
    <w:p w:rsidR="00E756C7" w:rsidRPr="003C3FE0" w:rsidRDefault="00C0337F" w:rsidP="003C3FE0">
      <w:pPr>
        <w:tabs>
          <w:tab w:val="left" w:pos="7245"/>
        </w:tabs>
        <w:spacing w:line="276" w:lineRule="auto"/>
        <w:ind w:left="567"/>
        <w:jc w:val="both"/>
        <w:rPr>
          <w:rFonts w:ascii="Arial" w:hAnsi="Arial" w:cs="Arial"/>
          <w:b/>
          <w:sz w:val="24"/>
          <w:szCs w:val="24"/>
        </w:rPr>
      </w:pPr>
      <w:r w:rsidRPr="003C3FE0">
        <w:rPr>
          <w:rFonts w:ascii="Arial" w:hAnsi="Arial" w:cs="Arial"/>
          <w:b/>
          <w:sz w:val="24"/>
          <w:szCs w:val="24"/>
        </w:rPr>
        <w:t xml:space="preserve">OBSERVACIONES </w:t>
      </w:r>
      <w:r w:rsidR="003C3FE0" w:rsidRPr="003C3FE0">
        <w:rPr>
          <w:rFonts w:ascii="Arial" w:hAnsi="Arial" w:cs="Arial"/>
          <w:b/>
          <w:sz w:val="24"/>
          <w:szCs w:val="24"/>
        </w:rPr>
        <w:t>DEL COMISIONA</w:t>
      </w:r>
      <w:r w:rsidR="00AE454A">
        <w:rPr>
          <w:rFonts w:ascii="Arial" w:hAnsi="Arial" w:cs="Arial"/>
          <w:b/>
          <w:sz w:val="24"/>
          <w:szCs w:val="24"/>
        </w:rPr>
        <w:t>DO</w:t>
      </w:r>
      <w:r w:rsidR="003C3FE0" w:rsidRPr="003C3FE0">
        <w:rPr>
          <w:rFonts w:ascii="Arial" w:hAnsi="Arial" w:cs="Arial"/>
          <w:b/>
          <w:sz w:val="24"/>
          <w:szCs w:val="24"/>
        </w:rPr>
        <w:t xml:space="preserve"> PARA EL MERADO DE TABACOS </w:t>
      </w:r>
      <w:r w:rsidRPr="003C3FE0">
        <w:rPr>
          <w:rFonts w:ascii="Arial" w:hAnsi="Arial" w:cs="Arial"/>
          <w:b/>
          <w:sz w:val="24"/>
          <w:szCs w:val="24"/>
        </w:rPr>
        <w:t>AL “INFORME DE EVALUACIÓN SOBRE EL CUMPLIMIENTO DE LAS OBLIGACIONES DE PUBLICIDAD ACTIVA POR PARTE DE CMT” ELABORADO POR EL CONSEJO DE TRANSPARENCIA Y BUEN GOBIERNO</w:t>
      </w:r>
    </w:p>
    <w:p w:rsidR="00AC7E13" w:rsidRPr="003C3FE0" w:rsidRDefault="00AC7E13" w:rsidP="003C3FE0">
      <w:pPr>
        <w:tabs>
          <w:tab w:val="left" w:pos="7245"/>
        </w:tabs>
        <w:spacing w:line="276" w:lineRule="auto"/>
        <w:ind w:left="567"/>
        <w:jc w:val="both"/>
        <w:rPr>
          <w:rFonts w:ascii="Arial" w:hAnsi="Arial" w:cs="Arial"/>
          <w:sz w:val="24"/>
          <w:szCs w:val="24"/>
        </w:rPr>
      </w:pPr>
    </w:p>
    <w:p w:rsidR="00AC7E13" w:rsidRPr="003C3FE0" w:rsidRDefault="00AC7E13"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Con fecha 6 de julio de 2022 se recibe en el Comisionado para el Mercado de Tabacos (CMT) el “Informe de evaluación sobre el cumplimiento de las obligaciones de publicidad activa por parte de CMT” elaborado por el Consejo de Transparencia y Buen Gobierno, junto con un cuestionario relativo al ejercicio del derecho de acceso. Se solicita al CMT la cumplimentación del referido cuestionario, así como, en su caso, la remisión de las observaciones y comentarios que se consideren en relación con el contenido del informe de evaluación.</w:t>
      </w:r>
    </w:p>
    <w:p w:rsidR="00AC7E13" w:rsidRPr="003C3FE0" w:rsidRDefault="00AC7E13" w:rsidP="003C3FE0">
      <w:pPr>
        <w:tabs>
          <w:tab w:val="left" w:pos="7245"/>
        </w:tabs>
        <w:spacing w:line="276" w:lineRule="auto"/>
        <w:ind w:left="567"/>
        <w:jc w:val="both"/>
        <w:rPr>
          <w:rFonts w:ascii="Arial" w:hAnsi="Arial" w:cs="Arial"/>
          <w:sz w:val="24"/>
          <w:szCs w:val="24"/>
        </w:rPr>
      </w:pPr>
    </w:p>
    <w:p w:rsidR="00AC7E13" w:rsidRPr="003C3FE0" w:rsidRDefault="00AC7E13"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A tal efecto, se emiten las siguientes observaciones y comentarios al Informe de evaluación sobre el cumplimiento de las obligaciones de publicidad activa por parte de</w:t>
      </w:r>
      <w:r w:rsidR="00A57C85" w:rsidRPr="003C3FE0">
        <w:rPr>
          <w:rFonts w:ascii="Arial" w:hAnsi="Arial" w:cs="Arial"/>
          <w:sz w:val="24"/>
          <w:szCs w:val="24"/>
        </w:rPr>
        <w:t>l</w:t>
      </w:r>
      <w:r w:rsidRPr="003C3FE0">
        <w:rPr>
          <w:rFonts w:ascii="Arial" w:hAnsi="Arial" w:cs="Arial"/>
          <w:sz w:val="24"/>
          <w:szCs w:val="24"/>
        </w:rPr>
        <w:t xml:space="preserve"> CMT, y se adjunta el cuestionario relativo al ejercicio del derecho de acceso cumplimentado.</w:t>
      </w:r>
    </w:p>
    <w:p w:rsidR="00AC7E13" w:rsidRPr="003C3FE0" w:rsidRDefault="00AC7E13" w:rsidP="003C3FE0">
      <w:pPr>
        <w:tabs>
          <w:tab w:val="left" w:pos="7245"/>
        </w:tabs>
        <w:spacing w:line="276" w:lineRule="auto"/>
        <w:ind w:left="567"/>
        <w:jc w:val="both"/>
        <w:rPr>
          <w:rFonts w:ascii="Arial" w:hAnsi="Arial" w:cs="Arial"/>
          <w:sz w:val="24"/>
          <w:szCs w:val="24"/>
        </w:rPr>
      </w:pPr>
    </w:p>
    <w:p w:rsidR="00A153E6" w:rsidRPr="003C3FE0" w:rsidRDefault="00A153E6"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Primera.-</w:t>
      </w:r>
      <w:proofErr w:type="gramEnd"/>
      <w:r w:rsidRPr="003C3FE0">
        <w:rPr>
          <w:rFonts w:ascii="Arial" w:hAnsi="Arial" w:cs="Arial"/>
          <w:sz w:val="24"/>
          <w:szCs w:val="24"/>
        </w:rPr>
        <w:t xml:space="preserve"> </w:t>
      </w:r>
      <w:r w:rsidR="00483AC5" w:rsidRPr="003C3FE0">
        <w:rPr>
          <w:rFonts w:ascii="Arial" w:hAnsi="Arial" w:cs="Arial"/>
          <w:sz w:val="24"/>
          <w:szCs w:val="24"/>
        </w:rPr>
        <w:t>Denominación de la entidad evaluada.</w:t>
      </w:r>
    </w:p>
    <w:p w:rsidR="00483AC5" w:rsidRPr="003C3FE0" w:rsidRDefault="00483AC5" w:rsidP="003C3FE0">
      <w:pPr>
        <w:tabs>
          <w:tab w:val="left" w:pos="7245"/>
        </w:tabs>
        <w:spacing w:line="276" w:lineRule="auto"/>
        <w:ind w:left="567"/>
        <w:jc w:val="both"/>
        <w:rPr>
          <w:rFonts w:ascii="Arial" w:hAnsi="Arial" w:cs="Arial"/>
          <w:sz w:val="24"/>
          <w:szCs w:val="24"/>
        </w:rPr>
      </w:pPr>
    </w:p>
    <w:p w:rsidR="00483AC5" w:rsidRPr="003C3FE0" w:rsidRDefault="00483AC5"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La denominación que aparece en el informe es “</w:t>
      </w:r>
      <w:r w:rsidRPr="003C3FE0">
        <w:rPr>
          <w:rFonts w:ascii="Arial" w:hAnsi="Arial" w:cs="Arial"/>
          <w:i/>
          <w:sz w:val="24"/>
          <w:szCs w:val="24"/>
        </w:rPr>
        <w:t>Comisionado del Mercado de Tabacos (CMT)</w:t>
      </w:r>
      <w:r w:rsidRPr="003C3FE0">
        <w:rPr>
          <w:rFonts w:ascii="Arial" w:hAnsi="Arial" w:cs="Arial"/>
          <w:sz w:val="24"/>
          <w:szCs w:val="24"/>
        </w:rPr>
        <w:t>”, siendo la denominación correcta “Comisionado para el Mercado de Tabacos (CMT)”</w:t>
      </w:r>
      <w:r w:rsidR="00A57151" w:rsidRPr="003C3FE0">
        <w:rPr>
          <w:rFonts w:ascii="Arial" w:hAnsi="Arial" w:cs="Arial"/>
          <w:sz w:val="24"/>
          <w:szCs w:val="24"/>
        </w:rPr>
        <w:t>.</w:t>
      </w:r>
    </w:p>
    <w:p w:rsidR="00A57151" w:rsidRPr="003C3FE0" w:rsidRDefault="00A57151" w:rsidP="003C3FE0">
      <w:pPr>
        <w:tabs>
          <w:tab w:val="left" w:pos="7245"/>
        </w:tabs>
        <w:spacing w:line="276" w:lineRule="auto"/>
        <w:ind w:left="567"/>
        <w:jc w:val="both"/>
        <w:rPr>
          <w:rFonts w:ascii="Arial" w:hAnsi="Arial" w:cs="Arial"/>
          <w:sz w:val="24"/>
          <w:szCs w:val="24"/>
        </w:rPr>
      </w:pPr>
    </w:p>
    <w:p w:rsidR="00A57151" w:rsidRPr="003C3FE0" w:rsidRDefault="00A57151"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Segunda.-</w:t>
      </w:r>
      <w:proofErr w:type="gramEnd"/>
      <w:r w:rsidRPr="003C3FE0">
        <w:rPr>
          <w:rFonts w:ascii="Arial" w:hAnsi="Arial" w:cs="Arial"/>
          <w:sz w:val="24"/>
          <w:szCs w:val="24"/>
        </w:rPr>
        <w:t xml:space="preserve"> </w:t>
      </w:r>
      <w:r w:rsidR="008B2E95" w:rsidRPr="003C3FE0">
        <w:rPr>
          <w:rFonts w:ascii="Arial" w:hAnsi="Arial" w:cs="Arial"/>
          <w:sz w:val="24"/>
          <w:szCs w:val="24"/>
        </w:rPr>
        <w:t>Registro de Actividades de Tratamiento.</w:t>
      </w:r>
    </w:p>
    <w:p w:rsidR="008B2E95" w:rsidRPr="003C3FE0" w:rsidRDefault="008B2E95" w:rsidP="003C3FE0">
      <w:pPr>
        <w:tabs>
          <w:tab w:val="left" w:pos="7245"/>
        </w:tabs>
        <w:spacing w:line="276" w:lineRule="auto"/>
        <w:ind w:left="567"/>
        <w:jc w:val="both"/>
        <w:rPr>
          <w:rFonts w:ascii="Arial" w:hAnsi="Arial" w:cs="Arial"/>
          <w:sz w:val="24"/>
          <w:szCs w:val="24"/>
        </w:rPr>
      </w:pPr>
    </w:p>
    <w:p w:rsidR="00D4540C" w:rsidRPr="003C3FE0" w:rsidRDefault="008B2E95"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En el informe de evaluación consta que “</w:t>
      </w:r>
      <w:r w:rsidRPr="003C3FE0">
        <w:rPr>
          <w:rFonts w:ascii="Arial" w:hAnsi="Arial" w:cs="Arial"/>
          <w:i/>
          <w:sz w:val="24"/>
          <w:szCs w:val="24"/>
        </w:rPr>
        <w:t xml:space="preserve">El enlace “Registro de actividades de tratamiento” informa sobre la política de protección de </w:t>
      </w:r>
      <w:proofErr w:type="gramStart"/>
      <w:r w:rsidRPr="003C3FE0">
        <w:rPr>
          <w:rFonts w:ascii="Arial" w:hAnsi="Arial" w:cs="Arial"/>
          <w:i/>
          <w:sz w:val="24"/>
          <w:szCs w:val="24"/>
        </w:rPr>
        <w:t>datos</w:t>
      </w:r>
      <w:proofErr w:type="gramEnd"/>
      <w:r w:rsidRPr="003C3FE0">
        <w:rPr>
          <w:rFonts w:ascii="Arial" w:hAnsi="Arial" w:cs="Arial"/>
          <w:i/>
          <w:sz w:val="24"/>
          <w:szCs w:val="24"/>
        </w:rPr>
        <w:t xml:space="preserve"> pero no se publica el Registro de Actividades de Tratamiento como tal</w:t>
      </w:r>
      <w:r w:rsidRPr="003C3FE0">
        <w:rPr>
          <w:rFonts w:ascii="Arial" w:hAnsi="Arial" w:cs="Arial"/>
          <w:sz w:val="24"/>
          <w:szCs w:val="24"/>
        </w:rPr>
        <w:t>”</w:t>
      </w:r>
      <w:r w:rsidR="00D4540C" w:rsidRPr="003C3FE0">
        <w:rPr>
          <w:rFonts w:ascii="Arial" w:hAnsi="Arial" w:cs="Arial"/>
          <w:sz w:val="24"/>
          <w:szCs w:val="24"/>
        </w:rPr>
        <w:t>.</w:t>
      </w:r>
    </w:p>
    <w:p w:rsidR="00D4540C" w:rsidRPr="003C3FE0" w:rsidRDefault="00D4540C" w:rsidP="003C3FE0">
      <w:pPr>
        <w:tabs>
          <w:tab w:val="left" w:pos="7245"/>
        </w:tabs>
        <w:spacing w:line="276" w:lineRule="auto"/>
        <w:ind w:left="567"/>
        <w:jc w:val="both"/>
        <w:rPr>
          <w:rFonts w:ascii="Arial" w:hAnsi="Arial" w:cs="Arial"/>
          <w:sz w:val="24"/>
          <w:szCs w:val="24"/>
        </w:rPr>
      </w:pPr>
    </w:p>
    <w:p w:rsidR="008B2E95" w:rsidRPr="003C3FE0" w:rsidRDefault="00D4540C"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En relación al Registro de Actividades de Tratamiento del CMT, se informa que recientemente se ha remitido a la Subdirección General de Servicios Web, Transparencia y Protección de Datos del Ministerio de Hacienda y Función Pública toda la información actualizada sobre los procedimientos que se desarrollan en el Organismo, con objeto de que se proceda a su publicación.</w:t>
      </w:r>
    </w:p>
    <w:p w:rsidR="00775258" w:rsidRPr="003C3FE0" w:rsidRDefault="00775258" w:rsidP="003C3FE0">
      <w:pPr>
        <w:tabs>
          <w:tab w:val="left" w:pos="7245"/>
        </w:tabs>
        <w:spacing w:line="276" w:lineRule="auto"/>
        <w:ind w:left="567"/>
        <w:jc w:val="both"/>
        <w:rPr>
          <w:rFonts w:ascii="Arial" w:hAnsi="Arial" w:cs="Arial"/>
          <w:sz w:val="24"/>
          <w:szCs w:val="24"/>
        </w:rPr>
      </w:pPr>
    </w:p>
    <w:p w:rsidR="00775258" w:rsidRPr="003C3FE0" w:rsidRDefault="00775258"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Tercera.-</w:t>
      </w:r>
      <w:proofErr w:type="gramEnd"/>
      <w:r w:rsidRPr="003C3FE0">
        <w:rPr>
          <w:rFonts w:ascii="Arial" w:hAnsi="Arial" w:cs="Arial"/>
          <w:sz w:val="24"/>
          <w:szCs w:val="24"/>
        </w:rPr>
        <w:t xml:space="preserve"> Planes y Programas.</w:t>
      </w:r>
    </w:p>
    <w:p w:rsidR="00775258" w:rsidRPr="003C3FE0" w:rsidRDefault="00775258" w:rsidP="003C3FE0">
      <w:pPr>
        <w:tabs>
          <w:tab w:val="left" w:pos="7245"/>
        </w:tabs>
        <w:spacing w:line="276" w:lineRule="auto"/>
        <w:ind w:left="567"/>
        <w:jc w:val="both"/>
        <w:rPr>
          <w:rFonts w:ascii="Arial" w:hAnsi="Arial" w:cs="Arial"/>
          <w:sz w:val="24"/>
          <w:szCs w:val="24"/>
        </w:rPr>
      </w:pPr>
    </w:p>
    <w:p w:rsidR="00775258" w:rsidRPr="003C3FE0" w:rsidRDefault="00775258"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Conforme se indica en el informe de evaluación “</w:t>
      </w:r>
      <w:r w:rsidRPr="003C3FE0">
        <w:rPr>
          <w:rFonts w:ascii="Arial" w:hAnsi="Arial" w:cs="Arial"/>
          <w:i/>
          <w:sz w:val="24"/>
          <w:szCs w:val="24"/>
        </w:rPr>
        <w:t xml:space="preserve">El enlace “Planes y programas anuales” abre una página del Ministerio de Hacienda y Función Pública en la que se </w:t>
      </w:r>
      <w:r w:rsidRPr="003C3FE0">
        <w:rPr>
          <w:rFonts w:ascii="Arial" w:hAnsi="Arial" w:cs="Arial"/>
          <w:i/>
          <w:sz w:val="24"/>
          <w:szCs w:val="24"/>
        </w:rPr>
        <w:lastRenderedPageBreak/>
        <w:t>relacionan los planes de objetivos del Ministerio y de algunos organismos adscritos, entre los que no figura el CMT</w:t>
      </w:r>
      <w:r w:rsidRPr="003C3FE0">
        <w:rPr>
          <w:rFonts w:ascii="Arial" w:hAnsi="Arial" w:cs="Arial"/>
          <w:sz w:val="24"/>
          <w:szCs w:val="24"/>
        </w:rPr>
        <w:t>”.</w:t>
      </w:r>
    </w:p>
    <w:p w:rsidR="00775258" w:rsidRPr="003C3FE0" w:rsidRDefault="00775258" w:rsidP="003C3FE0">
      <w:pPr>
        <w:tabs>
          <w:tab w:val="left" w:pos="7245"/>
        </w:tabs>
        <w:spacing w:line="276" w:lineRule="auto"/>
        <w:ind w:left="567"/>
        <w:jc w:val="both"/>
        <w:rPr>
          <w:rFonts w:ascii="Arial" w:hAnsi="Arial" w:cs="Arial"/>
          <w:sz w:val="24"/>
          <w:szCs w:val="24"/>
        </w:rPr>
      </w:pPr>
    </w:p>
    <w:p w:rsidR="00775258" w:rsidRPr="003C3FE0" w:rsidRDefault="00775258"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En relación a esta cuestión, según el artículo 18.12 letra a) del Real Decreto 682/2021, de 3 de agosto, por el que se desarrolla la estructura orgánica básica del Ministerio de Hacienda y Función Pública y se modifica el Real Decreto 139/2020, de 28 de enero, por el que se establece la estructura orgánica básica de los departamentos ministeriales, el Organismo Autónomo Comisionado para el Mercado de Tabacos se encuentra adscrito al Ministerio de Hacienda y Función Pública, a través de la Subsecretaría.</w:t>
      </w:r>
    </w:p>
    <w:p w:rsidR="00775258" w:rsidRPr="003C3FE0" w:rsidRDefault="00775258" w:rsidP="003C3FE0">
      <w:pPr>
        <w:tabs>
          <w:tab w:val="left" w:pos="7245"/>
        </w:tabs>
        <w:spacing w:line="276" w:lineRule="auto"/>
        <w:ind w:left="567"/>
        <w:jc w:val="both"/>
        <w:rPr>
          <w:rFonts w:ascii="Arial" w:hAnsi="Arial" w:cs="Arial"/>
          <w:sz w:val="24"/>
          <w:szCs w:val="24"/>
        </w:rPr>
      </w:pPr>
    </w:p>
    <w:p w:rsidR="00483AC5" w:rsidRPr="003C3FE0" w:rsidRDefault="00775258"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Es por esta razón que el</w:t>
      </w:r>
      <w:r w:rsidR="00EA4701" w:rsidRPr="003C3FE0">
        <w:rPr>
          <w:rFonts w:ascii="Arial" w:hAnsi="Arial" w:cs="Arial"/>
          <w:sz w:val="24"/>
          <w:szCs w:val="24"/>
        </w:rPr>
        <w:t xml:space="preserve"> Plan de Objetivos del CMT se engloba dentro del Plan de objetivos de la Subsecretaría de Hacienda y Función Pública 2022. El apartado 6.9 del mencionado Plan contiene la “MEMORIA DEL PLAN DE OBJETIVOS DEL COMISIONADO PARA EL MERCADO DE TABACOS” (páginas 164 y siguientes), donde se plasman todos los aspectos relacionados con los objetivos del CMT para 2022, así como el grado de cumplimiento y resultados, indicadores de medida y valoración de los mismos.</w:t>
      </w:r>
    </w:p>
    <w:p w:rsidR="00EA4701" w:rsidRPr="003C3FE0" w:rsidRDefault="00EA4701" w:rsidP="003C3FE0">
      <w:pPr>
        <w:tabs>
          <w:tab w:val="left" w:pos="7245"/>
        </w:tabs>
        <w:spacing w:line="276" w:lineRule="auto"/>
        <w:ind w:left="567"/>
        <w:jc w:val="both"/>
        <w:rPr>
          <w:rFonts w:ascii="Arial" w:hAnsi="Arial" w:cs="Arial"/>
          <w:sz w:val="24"/>
          <w:szCs w:val="24"/>
        </w:rPr>
      </w:pPr>
    </w:p>
    <w:p w:rsidR="00483AC5" w:rsidRPr="003C3FE0" w:rsidRDefault="00A86DAF"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Cuarta.-</w:t>
      </w:r>
      <w:proofErr w:type="gramEnd"/>
      <w:r w:rsidRPr="003C3FE0">
        <w:rPr>
          <w:rFonts w:ascii="Arial" w:hAnsi="Arial" w:cs="Arial"/>
          <w:sz w:val="24"/>
          <w:szCs w:val="24"/>
        </w:rPr>
        <w:t xml:space="preserve"> </w:t>
      </w:r>
      <w:r w:rsidR="00925D4F" w:rsidRPr="003C3FE0">
        <w:rPr>
          <w:rFonts w:ascii="Arial" w:hAnsi="Arial" w:cs="Arial"/>
          <w:sz w:val="24"/>
          <w:szCs w:val="24"/>
        </w:rPr>
        <w:t>Contratos.</w:t>
      </w:r>
    </w:p>
    <w:p w:rsidR="00925D4F" w:rsidRPr="003C3FE0" w:rsidRDefault="00925D4F" w:rsidP="003C3FE0">
      <w:pPr>
        <w:tabs>
          <w:tab w:val="left" w:pos="7245"/>
        </w:tabs>
        <w:spacing w:line="276" w:lineRule="auto"/>
        <w:ind w:left="567"/>
        <w:jc w:val="both"/>
        <w:rPr>
          <w:rFonts w:ascii="Arial" w:hAnsi="Arial" w:cs="Arial"/>
          <w:sz w:val="24"/>
          <w:szCs w:val="24"/>
        </w:rPr>
      </w:pPr>
    </w:p>
    <w:p w:rsidR="004E5C64" w:rsidRPr="003C3FE0" w:rsidRDefault="00D00449"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En relación con el apartado de contratos, el CTBG indica en su informe que “</w:t>
      </w:r>
      <w:r w:rsidR="004E5C64" w:rsidRPr="003C3FE0">
        <w:rPr>
          <w:rFonts w:ascii="Arial" w:hAnsi="Arial" w:cs="Arial"/>
          <w:i/>
          <w:sz w:val="24"/>
          <w:szCs w:val="24"/>
        </w:rPr>
        <w:t>No se ha localizado información. La plataforma de Contratación no incluye las modificaciones entre los criterios de búsqueda de licitaciones</w:t>
      </w:r>
      <w:r w:rsidRPr="003C3FE0">
        <w:rPr>
          <w:rFonts w:ascii="Arial" w:hAnsi="Arial" w:cs="Arial"/>
          <w:sz w:val="24"/>
          <w:szCs w:val="24"/>
        </w:rPr>
        <w:t>”.</w:t>
      </w:r>
    </w:p>
    <w:p w:rsidR="004E5C64" w:rsidRPr="003C3FE0" w:rsidRDefault="004E5C64" w:rsidP="003C3FE0">
      <w:pPr>
        <w:tabs>
          <w:tab w:val="left" w:pos="7245"/>
        </w:tabs>
        <w:spacing w:line="276" w:lineRule="auto"/>
        <w:ind w:left="567"/>
        <w:jc w:val="both"/>
        <w:rPr>
          <w:rFonts w:ascii="Arial" w:hAnsi="Arial" w:cs="Arial"/>
          <w:sz w:val="24"/>
          <w:szCs w:val="24"/>
        </w:rPr>
      </w:pPr>
    </w:p>
    <w:p w:rsidR="00D00449" w:rsidRPr="003C3FE0" w:rsidRDefault="004E5C64"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Ello se debe a que ningún contrato adjudicado por el CMT ha sido objeto de modificación.</w:t>
      </w:r>
    </w:p>
    <w:p w:rsidR="00D00449" w:rsidRPr="003C3FE0" w:rsidRDefault="00D00449" w:rsidP="003C3FE0">
      <w:pPr>
        <w:tabs>
          <w:tab w:val="left" w:pos="7245"/>
        </w:tabs>
        <w:spacing w:line="276" w:lineRule="auto"/>
        <w:ind w:left="567"/>
        <w:jc w:val="both"/>
        <w:rPr>
          <w:rFonts w:ascii="Arial" w:hAnsi="Arial" w:cs="Arial"/>
          <w:sz w:val="24"/>
          <w:szCs w:val="24"/>
        </w:rPr>
      </w:pPr>
    </w:p>
    <w:p w:rsidR="00B6618E" w:rsidRPr="003C3FE0" w:rsidRDefault="004E5C64"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Quinta.-</w:t>
      </w:r>
      <w:proofErr w:type="gramEnd"/>
      <w:r w:rsidRPr="003C3FE0">
        <w:rPr>
          <w:rFonts w:ascii="Arial" w:hAnsi="Arial" w:cs="Arial"/>
          <w:sz w:val="24"/>
          <w:szCs w:val="24"/>
        </w:rPr>
        <w:t xml:space="preserve"> </w:t>
      </w:r>
      <w:r w:rsidR="00B6618E" w:rsidRPr="003C3FE0">
        <w:rPr>
          <w:rFonts w:ascii="Arial" w:hAnsi="Arial" w:cs="Arial"/>
          <w:sz w:val="24"/>
          <w:szCs w:val="24"/>
        </w:rPr>
        <w:t>Subcontrataciones.</w:t>
      </w:r>
    </w:p>
    <w:p w:rsidR="00B6618E" w:rsidRPr="003C3FE0" w:rsidRDefault="00B6618E" w:rsidP="003C3FE0">
      <w:pPr>
        <w:tabs>
          <w:tab w:val="left" w:pos="7245"/>
        </w:tabs>
        <w:spacing w:line="276" w:lineRule="auto"/>
        <w:ind w:left="567"/>
        <w:jc w:val="both"/>
        <w:rPr>
          <w:rFonts w:ascii="Arial" w:hAnsi="Arial" w:cs="Arial"/>
          <w:sz w:val="24"/>
          <w:szCs w:val="24"/>
        </w:rPr>
      </w:pPr>
    </w:p>
    <w:p w:rsidR="00B6618E" w:rsidRPr="003C3FE0" w:rsidRDefault="00B6618E"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En el apartado de encomiendas y encargos, respecto a las subcontrataciones, se indica que “</w:t>
      </w:r>
      <w:r w:rsidRPr="003C3FE0">
        <w:rPr>
          <w:rFonts w:ascii="Arial" w:hAnsi="Arial" w:cs="Arial"/>
          <w:i/>
          <w:sz w:val="24"/>
          <w:szCs w:val="24"/>
        </w:rPr>
        <w:t>El enlace convenios posiciona en la información relativa a convenios y encomiendas del Ministerio de Hacienda y Función Pública en el Portal de Transparencia de la AGE. Esta página no permite la búsqueda por organismo, por lo que es necesario revisar 136 páginas para localizar la información correspondiente al CMT. Por esta razón se ha considerado incumplida esta obligación</w:t>
      </w:r>
      <w:r w:rsidRPr="003C3FE0">
        <w:rPr>
          <w:rFonts w:ascii="Arial" w:hAnsi="Arial" w:cs="Arial"/>
          <w:sz w:val="24"/>
          <w:szCs w:val="24"/>
        </w:rPr>
        <w:t>”.</w:t>
      </w:r>
    </w:p>
    <w:p w:rsidR="00B6618E" w:rsidRPr="003C3FE0" w:rsidRDefault="00B6618E" w:rsidP="003C3FE0">
      <w:pPr>
        <w:tabs>
          <w:tab w:val="left" w:pos="7245"/>
        </w:tabs>
        <w:spacing w:line="276" w:lineRule="auto"/>
        <w:ind w:left="567"/>
        <w:jc w:val="both"/>
        <w:rPr>
          <w:rFonts w:ascii="Arial" w:hAnsi="Arial" w:cs="Arial"/>
          <w:sz w:val="24"/>
          <w:szCs w:val="24"/>
        </w:rPr>
      </w:pPr>
    </w:p>
    <w:p w:rsidR="00B6618E" w:rsidRPr="003C3FE0" w:rsidRDefault="00B6618E"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No obstante, en el CMT no han tenido lugar subcontrataciones, razón por la cual la información al respecto no ha sido objeto de publicación.</w:t>
      </w:r>
    </w:p>
    <w:p w:rsidR="00B6618E" w:rsidRPr="003C3FE0" w:rsidRDefault="00B6618E" w:rsidP="003C3FE0">
      <w:pPr>
        <w:tabs>
          <w:tab w:val="left" w:pos="7245"/>
        </w:tabs>
        <w:spacing w:line="276" w:lineRule="auto"/>
        <w:ind w:left="567"/>
        <w:jc w:val="both"/>
        <w:rPr>
          <w:rFonts w:ascii="Arial" w:hAnsi="Arial" w:cs="Arial"/>
          <w:sz w:val="24"/>
          <w:szCs w:val="24"/>
        </w:rPr>
      </w:pPr>
    </w:p>
    <w:p w:rsidR="00D00449" w:rsidRPr="003C3FE0" w:rsidRDefault="00B6618E"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Sexta.-</w:t>
      </w:r>
      <w:proofErr w:type="gramEnd"/>
      <w:r w:rsidRPr="003C3FE0">
        <w:rPr>
          <w:rFonts w:ascii="Arial" w:hAnsi="Arial" w:cs="Arial"/>
          <w:sz w:val="24"/>
          <w:szCs w:val="24"/>
        </w:rPr>
        <w:t xml:space="preserve"> </w:t>
      </w:r>
      <w:r w:rsidR="004E5C64" w:rsidRPr="003C3FE0">
        <w:rPr>
          <w:rFonts w:ascii="Arial" w:hAnsi="Arial" w:cs="Arial"/>
          <w:sz w:val="24"/>
          <w:szCs w:val="24"/>
        </w:rPr>
        <w:t>Subvenciones y ayudas públicas concedidas.</w:t>
      </w:r>
    </w:p>
    <w:p w:rsidR="004E5C64" w:rsidRPr="003C3FE0" w:rsidRDefault="004E5C64" w:rsidP="003C3FE0">
      <w:pPr>
        <w:tabs>
          <w:tab w:val="left" w:pos="7245"/>
        </w:tabs>
        <w:spacing w:line="276" w:lineRule="auto"/>
        <w:ind w:left="567"/>
        <w:jc w:val="both"/>
        <w:rPr>
          <w:rFonts w:ascii="Arial" w:hAnsi="Arial" w:cs="Arial"/>
          <w:sz w:val="24"/>
          <w:szCs w:val="24"/>
        </w:rPr>
      </w:pPr>
    </w:p>
    <w:p w:rsidR="004E5C64" w:rsidRPr="003C3FE0" w:rsidRDefault="004E5C64"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Según el Informe de evaluación “</w:t>
      </w:r>
      <w:r w:rsidRPr="003C3FE0">
        <w:rPr>
          <w:rFonts w:ascii="Arial" w:hAnsi="Arial" w:cs="Arial"/>
          <w:i/>
          <w:sz w:val="24"/>
          <w:szCs w:val="24"/>
        </w:rPr>
        <w:t>El enlace posiciona en la página inicial de la Base de Datos Nacional de Subvenciones en la que es preciso efectuar una búsqueda para localizar la información correspondiente al CMT. Por esta razón se ha considerado no cumplida esta obligación</w:t>
      </w:r>
      <w:r w:rsidRPr="003C3FE0">
        <w:rPr>
          <w:rFonts w:ascii="Arial" w:hAnsi="Arial" w:cs="Arial"/>
          <w:sz w:val="24"/>
          <w:szCs w:val="24"/>
        </w:rPr>
        <w:t xml:space="preserve">”. </w:t>
      </w:r>
    </w:p>
    <w:p w:rsidR="00D00449" w:rsidRPr="003C3FE0" w:rsidRDefault="00D00449" w:rsidP="003C3FE0">
      <w:pPr>
        <w:tabs>
          <w:tab w:val="left" w:pos="7245"/>
        </w:tabs>
        <w:spacing w:line="276" w:lineRule="auto"/>
        <w:ind w:left="567"/>
        <w:jc w:val="both"/>
        <w:rPr>
          <w:rFonts w:ascii="Arial" w:hAnsi="Arial" w:cs="Arial"/>
          <w:sz w:val="24"/>
          <w:szCs w:val="24"/>
        </w:rPr>
      </w:pPr>
    </w:p>
    <w:p w:rsidR="004E5C64" w:rsidRPr="003C3FE0" w:rsidRDefault="004E5C64"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 xml:space="preserve">En relación al apartado sobre subvenciones y ayudas públicas, procede indicar que el CMT en ningún caso concede </w:t>
      </w:r>
      <w:r w:rsidR="00F24BDC" w:rsidRPr="003C3FE0">
        <w:rPr>
          <w:rFonts w:ascii="Arial" w:hAnsi="Arial" w:cs="Arial"/>
          <w:sz w:val="24"/>
          <w:szCs w:val="24"/>
        </w:rPr>
        <w:t xml:space="preserve">ni recibe </w:t>
      </w:r>
      <w:r w:rsidRPr="003C3FE0">
        <w:rPr>
          <w:rFonts w:ascii="Arial" w:hAnsi="Arial" w:cs="Arial"/>
          <w:sz w:val="24"/>
          <w:szCs w:val="24"/>
        </w:rPr>
        <w:t>ningún tipo de subvención o ayuda de carácter económico, razón por la que no se publican datos sobre esta materia.</w:t>
      </w:r>
    </w:p>
    <w:p w:rsidR="00D00449" w:rsidRPr="003C3FE0" w:rsidRDefault="00D00449" w:rsidP="003C3FE0">
      <w:pPr>
        <w:tabs>
          <w:tab w:val="left" w:pos="7245"/>
        </w:tabs>
        <w:spacing w:line="276" w:lineRule="auto"/>
        <w:ind w:left="567"/>
        <w:jc w:val="both"/>
        <w:rPr>
          <w:rFonts w:ascii="Arial" w:hAnsi="Arial" w:cs="Arial"/>
          <w:sz w:val="24"/>
          <w:szCs w:val="24"/>
        </w:rPr>
      </w:pPr>
    </w:p>
    <w:p w:rsidR="00FC0261" w:rsidRPr="003C3FE0" w:rsidRDefault="00B6618E"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Séptima</w:t>
      </w:r>
      <w:r w:rsidR="00350F89" w:rsidRPr="003C3FE0">
        <w:rPr>
          <w:rFonts w:ascii="Arial" w:hAnsi="Arial" w:cs="Arial"/>
          <w:b/>
          <w:sz w:val="24"/>
          <w:szCs w:val="24"/>
        </w:rPr>
        <w:t>.-</w:t>
      </w:r>
      <w:proofErr w:type="gramEnd"/>
      <w:r w:rsidR="00350F89" w:rsidRPr="003C3FE0">
        <w:rPr>
          <w:rFonts w:ascii="Arial" w:hAnsi="Arial" w:cs="Arial"/>
          <w:sz w:val="24"/>
          <w:szCs w:val="24"/>
        </w:rPr>
        <w:t xml:space="preserve"> </w:t>
      </w:r>
      <w:r w:rsidR="00FC0261" w:rsidRPr="003C3FE0">
        <w:rPr>
          <w:rFonts w:ascii="Arial" w:hAnsi="Arial" w:cs="Arial"/>
          <w:sz w:val="24"/>
          <w:szCs w:val="24"/>
        </w:rPr>
        <w:t>Retribuciones.</w:t>
      </w:r>
    </w:p>
    <w:p w:rsidR="00FC0261" w:rsidRPr="003C3FE0" w:rsidRDefault="00FC0261" w:rsidP="003C3FE0">
      <w:pPr>
        <w:tabs>
          <w:tab w:val="left" w:pos="7245"/>
        </w:tabs>
        <w:spacing w:line="276" w:lineRule="auto"/>
        <w:ind w:left="567"/>
        <w:jc w:val="both"/>
        <w:rPr>
          <w:rFonts w:ascii="Arial" w:hAnsi="Arial" w:cs="Arial"/>
          <w:sz w:val="24"/>
          <w:szCs w:val="24"/>
        </w:rPr>
      </w:pPr>
    </w:p>
    <w:p w:rsidR="00FC0261" w:rsidRPr="003C3FE0" w:rsidRDefault="00FC0261"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En el Informe de evaluación se indica, respecto a las retribuciones anuales de Altos Cargos que “</w:t>
      </w:r>
      <w:r w:rsidRPr="003C3FE0">
        <w:rPr>
          <w:rFonts w:ascii="Arial" w:hAnsi="Arial" w:cs="Arial"/>
          <w:i/>
          <w:sz w:val="24"/>
          <w:szCs w:val="24"/>
        </w:rPr>
        <w:t>El enlace redirige a la página correspondiente a las retribuciones del Ministerio de Hacienda en el Portal de Transparencia de la AGE</w:t>
      </w:r>
      <w:r w:rsidRPr="003C3FE0">
        <w:rPr>
          <w:rFonts w:ascii="Arial" w:hAnsi="Arial" w:cs="Arial"/>
          <w:sz w:val="24"/>
          <w:szCs w:val="24"/>
        </w:rPr>
        <w:t>”, y en relación a las indemnizaciones percibidas por Altos Cargos con ocasión del abandono del cargo que “</w:t>
      </w:r>
      <w:r w:rsidRPr="003C3FE0">
        <w:rPr>
          <w:rFonts w:ascii="Arial" w:hAnsi="Arial" w:cs="Arial"/>
          <w:i/>
          <w:sz w:val="24"/>
          <w:szCs w:val="24"/>
        </w:rPr>
        <w:t>No se ha localizado información</w:t>
      </w:r>
      <w:r w:rsidRPr="003C3FE0">
        <w:rPr>
          <w:rFonts w:ascii="Arial" w:hAnsi="Arial" w:cs="Arial"/>
          <w:sz w:val="24"/>
          <w:szCs w:val="24"/>
        </w:rPr>
        <w:t>”.</w:t>
      </w:r>
    </w:p>
    <w:p w:rsidR="00FC0261" w:rsidRPr="003C3FE0" w:rsidRDefault="00FC0261" w:rsidP="003C3FE0">
      <w:pPr>
        <w:tabs>
          <w:tab w:val="left" w:pos="7245"/>
        </w:tabs>
        <w:spacing w:line="276" w:lineRule="auto"/>
        <w:ind w:left="567"/>
        <w:jc w:val="both"/>
        <w:rPr>
          <w:rFonts w:ascii="Arial" w:hAnsi="Arial" w:cs="Arial"/>
          <w:sz w:val="24"/>
          <w:szCs w:val="24"/>
        </w:rPr>
      </w:pPr>
    </w:p>
    <w:p w:rsidR="00FC0261" w:rsidRPr="003C3FE0" w:rsidRDefault="00FC0261"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Respecto a esta materia, se informa que ninguno de los empleados públicos del CMT ostenta la condición de Alto Cargo, ya que no concurren en los mismos las circunstancias a las que se refiere el artículo 1 de la Ley 3/2015, de 30 de marzo, reguladora del ejercicio del alto cargo de la Administración General del Estado. Es por ello que en el Portal de Transparencia no costa información sobre Altos Cargos del Organismo.</w:t>
      </w:r>
    </w:p>
    <w:p w:rsidR="00B6618E" w:rsidRPr="003C3FE0" w:rsidRDefault="00B6618E" w:rsidP="003C3FE0">
      <w:pPr>
        <w:tabs>
          <w:tab w:val="left" w:pos="7245"/>
        </w:tabs>
        <w:spacing w:line="276" w:lineRule="auto"/>
        <w:ind w:left="567"/>
        <w:jc w:val="both"/>
        <w:rPr>
          <w:rFonts w:ascii="Arial" w:hAnsi="Arial" w:cs="Arial"/>
          <w:sz w:val="24"/>
          <w:szCs w:val="24"/>
        </w:rPr>
      </w:pPr>
      <w:bookmarkStart w:id="0" w:name="_GoBack"/>
      <w:bookmarkEnd w:id="0"/>
    </w:p>
    <w:p w:rsidR="00FC0261" w:rsidRPr="003C3FE0" w:rsidRDefault="00B6618E"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Octava.-</w:t>
      </w:r>
      <w:proofErr w:type="gramEnd"/>
      <w:r w:rsidRPr="003C3FE0">
        <w:rPr>
          <w:rFonts w:ascii="Arial" w:hAnsi="Arial" w:cs="Arial"/>
          <w:sz w:val="24"/>
          <w:szCs w:val="24"/>
        </w:rPr>
        <w:t xml:space="preserve"> </w:t>
      </w:r>
      <w:r w:rsidR="00FC0261" w:rsidRPr="003C3FE0">
        <w:rPr>
          <w:rFonts w:ascii="Arial" w:hAnsi="Arial" w:cs="Arial"/>
          <w:sz w:val="24"/>
          <w:szCs w:val="24"/>
        </w:rPr>
        <w:t>Gobernanza económica.</w:t>
      </w:r>
    </w:p>
    <w:p w:rsidR="00FC0261" w:rsidRPr="003C3FE0" w:rsidRDefault="00FC0261" w:rsidP="003C3FE0">
      <w:pPr>
        <w:tabs>
          <w:tab w:val="left" w:pos="7245"/>
        </w:tabs>
        <w:spacing w:line="276" w:lineRule="auto"/>
        <w:ind w:left="567"/>
        <w:jc w:val="both"/>
        <w:rPr>
          <w:rFonts w:ascii="Arial" w:hAnsi="Arial" w:cs="Arial"/>
          <w:sz w:val="24"/>
          <w:szCs w:val="24"/>
        </w:rPr>
      </w:pPr>
    </w:p>
    <w:p w:rsidR="00FC0261" w:rsidRPr="003C3FE0" w:rsidRDefault="00FC0261"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En relación a las Resoluciones de autorización o reconocimiento de compatibilidad que afecten a los empleados, en el Informe de evaluación se indica que “</w:t>
      </w:r>
      <w:r w:rsidRPr="003C3FE0">
        <w:rPr>
          <w:rFonts w:ascii="Arial" w:hAnsi="Arial" w:cs="Arial"/>
          <w:i/>
          <w:sz w:val="24"/>
          <w:szCs w:val="24"/>
        </w:rPr>
        <w:t xml:space="preserve">El enlace redirige a la página relativa a compatibilidades de empleados públicos del Portal de Transparencia de la AGE. La búsqueda por Ministerio u organismo no proporciona resultados, razón por la que es preciso visitar 787 páginas para localizar la información, con el problema añadido de que no se identifica en la mayoría de los casos el Ministerio. Por otra </w:t>
      </w:r>
      <w:proofErr w:type="gramStart"/>
      <w:r w:rsidRPr="003C3FE0">
        <w:rPr>
          <w:rFonts w:ascii="Arial" w:hAnsi="Arial" w:cs="Arial"/>
          <w:i/>
          <w:sz w:val="24"/>
          <w:szCs w:val="24"/>
        </w:rPr>
        <w:t>parte</w:t>
      </w:r>
      <w:proofErr w:type="gramEnd"/>
      <w:r w:rsidRPr="003C3FE0">
        <w:rPr>
          <w:rFonts w:ascii="Arial" w:hAnsi="Arial" w:cs="Arial"/>
          <w:i/>
          <w:sz w:val="24"/>
          <w:szCs w:val="24"/>
        </w:rPr>
        <w:t xml:space="preserve"> tampoco es posible la descarga de la información en formato Excel porque ésta está limitada a 2.000 registros</w:t>
      </w:r>
      <w:r w:rsidRPr="003C3FE0">
        <w:rPr>
          <w:rFonts w:ascii="Arial" w:hAnsi="Arial" w:cs="Arial"/>
          <w:sz w:val="24"/>
          <w:szCs w:val="24"/>
        </w:rPr>
        <w:t>”. En definitiva, el Informe pone de manifiesto que “</w:t>
      </w:r>
      <w:r w:rsidRPr="003C3FE0">
        <w:rPr>
          <w:rFonts w:ascii="Arial" w:hAnsi="Arial" w:cs="Arial"/>
          <w:i/>
          <w:sz w:val="24"/>
          <w:szCs w:val="24"/>
        </w:rPr>
        <w:t>No se ha localizado información sobre las autorizaciones para la compatibilidad con actividades públicas o privadas concedidas a los empleados públicos</w:t>
      </w:r>
      <w:r w:rsidRPr="003C3FE0">
        <w:rPr>
          <w:rFonts w:ascii="Arial" w:hAnsi="Arial" w:cs="Arial"/>
          <w:sz w:val="24"/>
          <w:szCs w:val="24"/>
        </w:rPr>
        <w:t>”. Ello se debe a que en la actualidad ningún empleado público del CMT ha solicitado autorización de compatibilidad para el desempeño de actividades públicas o privadas.</w:t>
      </w:r>
    </w:p>
    <w:p w:rsidR="00FC0261" w:rsidRPr="003C3FE0" w:rsidRDefault="00FC0261" w:rsidP="003C3FE0">
      <w:pPr>
        <w:tabs>
          <w:tab w:val="left" w:pos="7245"/>
        </w:tabs>
        <w:spacing w:line="276" w:lineRule="auto"/>
        <w:ind w:left="567"/>
        <w:jc w:val="both"/>
        <w:rPr>
          <w:rFonts w:ascii="Arial" w:hAnsi="Arial" w:cs="Arial"/>
          <w:sz w:val="24"/>
          <w:szCs w:val="24"/>
        </w:rPr>
      </w:pPr>
    </w:p>
    <w:p w:rsidR="00FC0261" w:rsidRPr="003C3FE0" w:rsidRDefault="00FC0261"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lastRenderedPageBreak/>
        <w:t>En cuanto a la Autorización para actividad privada al cese de altos cargos, materia respecto a la cual el Informe de evaluación pone de manifiesto que “</w:t>
      </w:r>
      <w:r w:rsidRPr="003C3FE0">
        <w:rPr>
          <w:rFonts w:ascii="Arial" w:hAnsi="Arial" w:cs="Arial"/>
          <w:i/>
          <w:sz w:val="24"/>
          <w:szCs w:val="24"/>
        </w:rPr>
        <w:t>No se ha localizado información</w:t>
      </w:r>
      <w:r w:rsidRPr="003C3FE0">
        <w:rPr>
          <w:rFonts w:ascii="Arial" w:hAnsi="Arial" w:cs="Arial"/>
          <w:sz w:val="24"/>
          <w:szCs w:val="24"/>
        </w:rPr>
        <w:t>”, como ya se ha indicado, no resulta aplicable por cuanto no hay Altos cargos en el CMT.</w:t>
      </w:r>
    </w:p>
    <w:p w:rsidR="00352416" w:rsidRPr="003C3FE0" w:rsidRDefault="00352416" w:rsidP="003C3FE0">
      <w:pPr>
        <w:tabs>
          <w:tab w:val="left" w:pos="7245"/>
        </w:tabs>
        <w:spacing w:line="276" w:lineRule="auto"/>
        <w:ind w:left="567"/>
        <w:jc w:val="both"/>
        <w:rPr>
          <w:rFonts w:ascii="Arial" w:hAnsi="Arial" w:cs="Arial"/>
          <w:sz w:val="24"/>
          <w:szCs w:val="24"/>
        </w:rPr>
      </w:pPr>
    </w:p>
    <w:p w:rsidR="00FC0261" w:rsidRPr="003C3FE0" w:rsidRDefault="00B6618E" w:rsidP="003C3FE0">
      <w:pPr>
        <w:tabs>
          <w:tab w:val="left" w:pos="7245"/>
        </w:tabs>
        <w:spacing w:line="276" w:lineRule="auto"/>
        <w:ind w:left="567"/>
        <w:jc w:val="both"/>
        <w:rPr>
          <w:rFonts w:ascii="Arial" w:hAnsi="Arial" w:cs="Arial"/>
          <w:sz w:val="24"/>
          <w:szCs w:val="24"/>
        </w:rPr>
      </w:pPr>
      <w:proofErr w:type="gramStart"/>
      <w:r w:rsidRPr="003C3FE0">
        <w:rPr>
          <w:rFonts w:ascii="Arial" w:hAnsi="Arial" w:cs="Arial"/>
          <w:b/>
          <w:sz w:val="24"/>
          <w:szCs w:val="24"/>
        </w:rPr>
        <w:t>Novena</w:t>
      </w:r>
      <w:r w:rsidR="0053557B" w:rsidRPr="003C3FE0">
        <w:rPr>
          <w:rFonts w:ascii="Arial" w:hAnsi="Arial" w:cs="Arial"/>
          <w:b/>
          <w:sz w:val="24"/>
          <w:szCs w:val="24"/>
        </w:rPr>
        <w:t>.-</w:t>
      </w:r>
      <w:proofErr w:type="gramEnd"/>
      <w:r w:rsidR="0053557B" w:rsidRPr="003C3FE0">
        <w:rPr>
          <w:rFonts w:ascii="Arial" w:hAnsi="Arial" w:cs="Arial"/>
          <w:sz w:val="24"/>
          <w:szCs w:val="24"/>
        </w:rPr>
        <w:t xml:space="preserve"> </w:t>
      </w:r>
      <w:r w:rsidR="00FC0261" w:rsidRPr="003C3FE0">
        <w:rPr>
          <w:rFonts w:ascii="Arial" w:hAnsi="Arial" w:cs="Arial"/>
          <w:sz w:val="24"/>
          <w:szCs w:val="24"/>
        </w:rPr>
        <w:t>Transparencia Voluntaria y Buenas Prácticas.</w:t>
      </w:r>
    </w:p>
    <w:p w:rsidR="00FC0261" w:rsidRPr="003C3FE0" w:rsidRDefault="00FC0261" w:rsidP="003C3FE0">
      <w:pPr>
        <w:tabs>
          <w:tab w:val="left" w:pos="7245"/>
        </w:tabs>
        <w:spacing w:line="276" w:lineRule="auto"/>
        <w:ind w:left="567"/>
        <w:jc w:val="both"/>
        <w:rPr>
          <w:rFonts w:ascii="Arial" w:hAnsi="Arial" w:cs="Arial"/>
          <w:sz w:val="24"/>
          <w:szCs w:val="24"/>
        </w:rPr>
      </w:pPr>
    </w:p>
    <w:p w:rsidR="00FC0261" w:rsidRPr="003C3FE0" w:rsidRDefault="00FC0261"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Según consta en el Informe de evaluación remitido por el CTBG, “</w:t>
      </w:r>
      <w:r w:rsidRPr="003C3FE0">
        <w:rPr>
          <w:rFonts w:ascii="Arial" w:hAnsi="Arial" w:cs="Arial"/>
          <w:i/>
          <w:sz w:val="24"/>
          <w:szCs w:val="24"/>
        </w:rPr>
        <w:t>El CMT no publica informaciones adicionales a las obligatorias que pueden considerarse relevantes desde el punto de vista de la Transparencia de la organización</w:t>
      </w:r>
      <w:r w:rsidRPr="003C3FE0">
        <w:rPr>
          <w:rFonts w:ascii="Arial" w:hAnsi="Arial" w:cs="Arial"/>
          <w:sz w:val="24"/>
          <w:szCs w:val="24"/>
        </w:rPr>
        <w:t>”.</w:t>
      </w:r>
    </w:p>
    <w:p w:rsidR="00FC0261" w:rsidRPr="003C3FE0" w:rsidRDefault="00FC0261" w:rsidP="003C3FE0">
      <w:pPr>
        <w:tabs>
          <w:tab w:val="left" w:pos="7245"/>
        </w:tabs>
        <w:spacing w:line="276" w:lineRule="auto"/>
        <w:ind w:left="567"/>
        <w:jc w:val="both"/>
        <w:rPr>
          <w:rFonts w:ascii="Arial" w:hAnsi="Arial" w:cs="Arial"/>
          <w:sz w:val="24"/>
          <w:szCs w:val="24"/>
        </w:rPr>
      </w:pPr>
    </w:p>
    <w:p w:rsidR="00FC0261" w:rsidRPr="003C3FE0" w:rsidRDefault="00FC0261"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No obstante, en el Bloque “Información económica y presupuestaria” se encuentra el apartado “Estadísticas”, donde se puede acceder a la siguiente información:</w:t>
      </w:r>
    </w:p>
    <w:p w:rsidR="00FC0261" w:rsidRPr="003C3FE0" w:rsidRDefault="00FC0261" w:rsidP="003C3FE0">
      <w:pPr>
        <w:tabs>
          <w:tab w:val="left" w:pos="7245"/>
        </w:tabs>
        <w:spacing w:line="276" w:lineRule="auto"/>
        <w:ind w:left="567"/>
        <w:jc w:val="both"/>
        <w:rPr>
          <w:rFonts w:ascii="Arial" w:hAnsi="Arial" w:cs="Arial"/>
          <w:sz w:val="24"/>
          <w:szCs w:val="24"/>
        </w:rPr>
      </w:pPr>
    </w:p>
    <w:p w:rsidR="00FC0261" w:rsidRPr="003C3FE0" w:rsidRDefault="00FC0261" w:rsidP="003C3FE0">
      <w:pPr>
        <w:pStyle w:val="Prrafodelista"/>
        <w:numPr>
          <w:ilvl w:val="0"/>
          <w:numId w:val="22"/>
        </w:numPr>
        <w:tabs>
          <w:tab w:val="left" w:pos="7245"/>
        </w:tabs>
        <w:spacing w:line="276" w:lineRule="auto"/>
        <w:jc w:val="both"/>
        <w:rPr>
          <w:rFonts w:ascii="Arial" w:hAnsi="Arial" w:cs="Arial"/>
          <w:sz w:val="24"/>
          <w:szCs w:val="24"/>
        </w:rPr>
      </w:pPr>
      <w:r w:rsidRPr="003C3FE0">
        <w:rPr>
          <w:rFonts w:ascii="Arial" w:hAnsi="Arial" w:cs="Arial"/>
          <w:sz w:val="24"/>
          <w:szCs w:val="24"/>
        </w:rPr>
        <w:t>Informes mensuales del Comité Consultivo del Comisionado para el Mercado de Tabacos, clasificados por años.</w:t>
      </w:r>
    </w:p>
    <w:p w:rsidR="00FC0261" w:rsidRPr="003C3FE0" w:rsidRDefault="00FC0261" w:rsidP="003C3FE0">
      <w:pPr>
        <w:pStyle w:val="Prrafodelista"/>
        <w:numPr>
          <w:ilvl w:val="0"/>
          <w:numId w:val="22"/>
        </w:numPr>
        <w:tabs>
          <w:tab w:val="left" w:pos="7245"/>
        </w:tabs>
        <w:spacing w:line="276" w:lineRule="auto"/>
        <w:jc w:val="both"/>
        <w:rPr>
          <w:rFonts w:ascii="Arial" w:hAnsi="Arial" w:cs="Arial"/>
          <w:sz w:val="24"/>
          <w:szCs w:val="24"/>
        </w:rPr>
      </w:pPr>
      <w:r w:rsidRPr="003C3FE0">
        <w:rPr>
          <w:rFonts w:ascii="Arial" w:hAnsi="Arial" w:cs="Arial"/>
          <w:sz w:val="24"/>
          <w:szCs w:val="24"/>
        </w:rPr>
        <w:t>Información estadística sobre el Mercado de Tabacos, donde se puede acceder a los resúmenes anuales de ventas de labores de tabaco a expendedurías localizadas en territorio peninsular e Illes Balears, así como a los datos correspondientes a Ceuta y Melilla.</w:t>
      </w:r>
    </w:p>
    <w:p w:rsidR="00FC0261" w:rsidRDefault="00FC0261" w:rsidP="003C3FE0">
      <w:pPr>
        <w:pStyle w:val="Prrafodelista"/>
        <w:numPr>
          <w:ilvl w:val="0"/>
          <w:numId w:val="22"/>
        </w:numPr>
        <w:tabs>
          <w:tab w:val="left" w:pos="7245"/>
        </w:tabs>
        <w:spacing w:line="276" w:lineRule="auto"/>
        <w:jc w:val="both"/>
        <w:rPr>
          <w:rFonts w:ascii="Arial" w:hAnsi="Arial" w:cs="Arial"/>
          <w:sz w:val="24"/>
          <w:szCs w:val="24"/>
        </w:rPr>
      </w:pPr>
      <w:r w:rsidRPr="003C3FE0">
        <w:rPr>
          <w:rFonts w:ascii="Arial" w:hAnsi="Arial" w:cs="Arial"/>
          <w:sz w:val="24"/>
          <w:szCs w:val="24"/>
        </w:rPr>
        <w:t>Estadísticas de expedientes sancionadores, clasificados por anualidades y en función tanto del sujeto infractor como del ámbito territorial.</w:t>
      </w:r>
    </w:p>
    <w:p w:rsidR="003C3FE0" w:rsidRDefault="003C3FE0" w:rsidP="003C3FE0">
      <w:pPr>
        <w:tabs>
          <w:tab w:val="left" w:pos="7245"/>
        </w:tabs>
        <w:spacing w:line="276" w:lineRule="auto"/>
        <w:jc w:val="both"/>
        <w:rPr>
          <w:rFonts w:ascii="Arial" w:hAnsi="Arial" w:cs="Arial"/>
          <w:sz w:val="24"/>
          <w:szCs w:val="24"/>
        </w:rPr>
      </w:pPr>
    </w:p>
    <w:p w:rsidR="003C3FE0" w:rsidRPr="003C3FE0" w:rsidRDefault="003C3FE0" w:rsidP="003C3FE0">
      <w:pPr>
        <w:tabs>
          <w:tab w:val="left" w:pos="7245"/>
        </w:tabs>
        <w:spacing w:line="276" w:lineRule="auto"/>
        <w:ind w:left="567"/>
        <w:jc w:val="both"/>
        <w:rPr>
          <w:rFonts w:ascii="Arial" w:hAnsi="Arial" w:cs="Arial"/>
          <w:sz w:val="24"/>
          <w:szCs w:val="24"/>
        </w:rPr>
      </w:pPr>
      <w:r>
        <w:rPr>
          <w:rFonts w:ascii="Arial" w:hAnsi="Arial" w:cs="Arial"/>
          <w:sz w:val="24"/>
          <w:szCs w:val="24"/>
        </w:rPr>
        <w:t>Asimismo, se han elaborado y publicado en el portal web manuales y guías sobre los distintos procedimientos y operadores, para facilitar la relación de los operadores del mercado con el organismo.</w:t>
      </w:r>
    </w:p>
    <w:p w:rsidR="00D00449" w:rsidRPr="003C3FE0" w:rsidRDefault="00D00449" w:rsidP="003C3FE0">
      <w:pPr>
        <w:tabs>
          <w:tab w:val="left" w:pos="7245"/>
        </w:tabs>
        <w:spacing w:line="276" w:lineRule="auto"/>
        <w:ind w:left="567"/>
        <w:jc w:val="both"/>
        <w:rPr>
          <w:rFonts w:ascii="Arial" w:hAnsi="Arial" w:cs="Arial"/>
          <w:sz w:val="24"/>
          <w:szCs w:val="24"/>
        </w:rPr>
      </w:pPr>
    </w:p>
    <w:p w:rsidR="00B551A9" w:rsidRPr="003C3FE0" w:rsidRDefault="00B551A9" w:rsidP="003C3FE0">
      <w:pPr>
        <w:tabs>
          <w:tab w:val="left" w:pos="7245"/>
        </w:tabs>
        <w:spacing w:line="276" w:lineRule="auto"/>
        <w:ind w:left="567"/>
        <w:jc w:val="both"/>
        <w:rPr>
          <w:rFonts w:ascii="Arial" w:hAnsi="Arial" w:cs="Arial"/>
          <w:sz w:val="24"/>
          <w:szCs w:val="24"/>
        </w:rPr>
      </w:pPr>
    </w:p>
    <w:p w:rsidR="00DA3714" w:rsidRPr="003C3FE0" w:rsidRDefault="00DA3714" w:rsidP="003C3FE0">
      <w:pPr>
        <w:tabs>
          <w:tab w:val="left" w:pos="7245"/>
        </w:tabs>
        <w:spacing w:line="276" w:lineRule="auto"/>
        <w:jc w:val="both"/>
        <w:rPr>
          <w:rFonts w:ascii="Arial" w:hAnsi="Arial" w:cs="Arial"/>
          <w:sz w:val="24"/>
          <w:szCs w:val="24"/>
        </w:rPr>
      </w:pPr>
    </w:p>
    <w:p w:rsidR="00DA3714" w:rsidRPr="003C3FE0" w:rsidRDefault="00DA3714" w:rsidP="003C3FE0">
      <w:pPr>
        <w:tabs>
          <w:tab w:val="left" w:pos="7245"/>
        </w:tabs>
        <w:spacing w:line="276" w:lineRule="auto"/>
        <w:jc w:val="both"/>
        <w:rPr>
          <w:rFonts w:ascii="Arial" w:hAnsi="Arial" w:cs="Arial"/>
          <w:sz w:val="24"/>
          <w:szCs w:val="24"/>
        </w:rPr>
      </w:pPr>
    </w:p>
    <w:p w:rsidR="00973F18" w:rsidRPr="003C3FE0" w:rsidRDefault="00973F18" w:rsidP="003C3FE0">
      <w:pPr>
        <w:tabs>
          <w:tab w:val="left" w:pos="7245"/>
        </w:tabs>
        <w:spacing w:line="276" w:lineRule="auto"/>
        <w:jc w:val="both"/>
        <w:rPr>
          <w:rFonts w:ascii="Arial" w:hAnsi="Arial" w:cs="Arial"/>
          <w:sz w:val="24"/>
          <w:szCs w:val="24"/>
        </w:rPr>
      </w:pPr>
    </w:p>
    <w:p w:rsidR="00DA3714" w:rsidRPr="003C3FE0" w:rsidRDefault="00DA3714" w:rsidP="003C3FE0">
      <w:pPr>
        <w:tabs>
          <w:tab w:val="left" w:pos="7245"/>
        </w:tabs>
        <w:spacing w:line="276" w:lineRule="auto"/>
        <w:jc w:val="right"/>
        <w:rPr>
          <w:rFonts w:ascii="Arial" w:hAnsi="Arial" w:cs="Arial"/>
          <w:sz w:val="24"/>
          <w:szCs w:val="24"/>
        </w:rPr>
      </w:pPr>
      <w:r w:rsidRPr="003C3FE0">
        <w:rPr>
          <w:rFonts w:ascii="Arial" w:hAnsi="Arial" w:cs="Arial"/>
          <w:sz w:val="24"/>
          <w:szCs w:val="24"/>
        </w:rPr>
        <w:t>Madrid, julio de 2022</w:t>
      </w:r>
    </w:p>
    <w:sectPr w:rsidR="00DA3714" w:rsidRPr="003C3FE0" w:rsidSect="00003934">
      <w:type w:val="continuous"/>
      <w:pgSz w:w="11906" w:h="16838" w:code="9"/>
      <w:pgMar w:top="992" w:right="567" w:bottom="851" w:left="851" w:header="283" w:footer="0" w:gutter="0"/>
      <w:cols w:space="720" w:equalWidth="0">
        <w:col w:w="9411"/>
      </w:cols>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37F" w:rsidRDefault="00C0337F">
      <w:r>
        <w:separator/>
      </w:r>
    </w:p>
  </w:endnote>
  <w:endnote w:type="continuationSeparator" w:id="0">
    <w:p w:rsidR="00C0337F" w:rsidRDefault="00C0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Free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9B" w:rsidRDefault="002870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09B" w:rsidRDefault="002870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C1" w:rsidRDefault="000443C1"/>
  <w:tbl>
    <w:tblPr>
      <w:tblpPr w:leftFromText="142" w:rightFromText="142" w:vertAnchor="text" w:horzAnchor="margin" w:tblpXSpec="right" w:tblpY="1"/>
      <w:tblOverlap w:val="never"/>
      <w:tblW w:w="10586" w:type="dxa"/>
      <w:tblBorders>
        <w:insideV w:val="single" w:sz="4" w:space="0" w:color="auto"/>
      </w:tblBorders>
      <w:tblCellMar>
        <w:left w:w="70" w:type="dxa"/>
        <w:right w:w="70" w:type="dxa"/>
      </w:tblCellMar>
      <w:tblLook w:val="0000" w:firstRow="0" w:lastRow="0" w:firstColumn="0" w:lastColumn="0" w:noHBand="0" w:noVBand="0"/>
    </w:tblPr>
    <w:tblGrid>
      <w:gridCol w:w="9166"/>
      <w:gridCol w:w="1420"/>
    </w:tblGrid>
    <w:tr w:rsidR="0028709B" w:rsidTr="008B6C4E">
      <w:trPr>
        <w:trHeight w:val="328"/>
      </w:trPr>
      <w:tc>
        <w:tcPr>
          <w:tcW w:w="9166" w:type="dxa"/>
          <w:vAlign w:val="bottom"/>
        </w:tcPr>
        <w:p w:rsidR="0028709B" w:rsidRDefault="000B2909" w:rsidP="000B2909">
          <w:pPr>
            <w:pStyle w:val="Textonotapie"/>
            <w:tabs>
              <w:tab w:val="left" w:pos="1021"/>
              <w:tab w:val="left" w:pos="8080"/>
            </w:tabs>
            <w:ind w:right="-212"/>
            <w:jc w:val="center"/>
            <w:rPr>
              <w:rFonts w:ascii="Gill Sans MT" w:hAnsi="Gill Sans MT" w:cs="Arial"/>
              <w:sz w:val="16"/>
              <w:szCs w:val="16"/>
            </w:rPr>
          </w:pPr>
          <w:r w:rsidRPr="000B2909">
            <w:rPr>
              <w:rFonts w:ascii="Gill Sans MT" w:hAnsi="Gill Sans MT" w:cs="Arial"/>
              <w:sz w:val="16"/>
              <w:szCs w:val="16"/>
            </w:rPr>
            <w:fldChar w:fldCharType="begin"/>
          </w:r>
          <w:r w:rsidRPr="000B2909">
            <w:rPr>
              <w:rFonts w:ascii="Gill Sans MT" w:hAnsi="Gill Sans MT" w:cs="Arial"/>
              <w:sz w:val="16"/>
              <w:szCs w:val="16"/>
            </w:rPr>
            <w:instrText>PAGE   \* MERGEFORMAT</w:instrText>
          </w:r>
          <w:r w:rsidRPr="000B2909">
            <w:rPr>
              <w:rFonts w:ascii="Gill Sans MT" w:hAnsi="Gill Sans MT" w:cs="Arial"/>
              <w:sz w:val="16"/>
              <w:szCs w:val="16"/>
            </w:rPr>
            <w:fldChar w:fldCharType="separate"/>
          </w:r>
          <w:r w:rsidR="0026183E" w:rsidRPr="0026183E">
            <w:rPr>
              <w:rFonts w:ascii="Gill Sans MT" w:hAnsi="Gill Sans MT" w:cs="Arial"/>
              <w:noProof/>
              <w:sz w:val="16"/>
              <w:szCs w:val="16"/>
              <w:lang w:val="es-ES"/>
            </w:rPr>
            <w:t>2</w:t>
          </w:r>
          <w:r w:rsidRPr="000B2909">
            <w:rPr>
              <w:rFonts w:ascii="Gill Sans MT" w:hAnsi="Gill Sans MT" w:cs="Arial"/>
              <w:sz w:val="16"/>
              <w:szCs w:val="16"/>
            </w:rPr>
            <w:fldChar w:fldCharType="end"/>
          </w:r>
        </w:p>
        <w:p w:rsidR="00003934" w:rsidRDefault="00003934" w:rsidP="000B2909">
          <w:pPr>
            <w:pStyle w:val="Textonotapie"/>
            <w:tabs>
              <w:tab w:val="left" w:pos="1021"/>
              <w:tab w:val="left" w:pos="8080"/>
            </w:tabs>
            <w:ind w:right="-212"/>
            <w:jc w:val="center"/>
            <w:rPr>
              <w:rFonts w:ascii="Gill Sans MT" w:hAnsi="Gill Sans MT" w:cs="Arial"/>
              <w:sz w:val="16"/>
              <w:szCs w:val="16"/>
            </w:rPr>
          </w:pPr>
        </w:p>
        <w:p w:rsidR="008B6C4E" w:rsidRDefault="008B6C4E" w:rsidP="000B2909">
          <w:pPr>
            <w:pStyle w:val="Textonotapie"/>
            <w:tabs>
              <w:tab w:val="left" w:pos="1021"/>
              <w:tab w:val="left" w:pos="8080"/>
            </w:tabs>
            <w:ind w:right="-212"/>
            <w:jc w:val="center"/>
            <w:rPr>
              <w:rFonts w:ascii="Gill Sans MT" w:hAnsi="Gill Sans MT" w:cs="Arial"/>
              <w:sz w:val="16"/>
              <w:szCs w:val="16"/>
            </w:rPr>
          </w:pPr>
        </w:p>
        <w:p w:rsidR="008B6C4E" w:rsidRDefault="008B6C4E" w:rsidP="000B2909">
          <w:pPr>
            <w:pStyle w:val="Textonotapie"/>
            <w:tabs>
              <w:tab w:val="left" w:pos="1021"/>
              <w:tab w:val="left" w:pos="8080"/>
            </w:tabs>
            <w:ind w:right="-212"/>
            <w:jc w:val="center"/>
            <w:rPr>
              <w:rFonts w:ascii="Gill Sans MT" w:hAnsi="Gill Sans MT" w:cs="Arial"/>
              <w:sz w:val="16"/>
              <w:szCs w:val="16"/>
            </w:rPr>
          </w:pPr>
        </w:p>
        <w:p w:rsidR="00854D88" w:rsidRPr="000B2909" w:rsidRDefault="00854D88" w:rsidP="000B2909">
          <w:pPr>
            <w:pStyle w:val="Textonotapie"/>
            <w:tabs>
              <w:tab w:val="left" w:pos="1021"/>
              <w:tab w:val="left" w:pos="8080"/>
            </w:tabs>
            <w:ind w:right="-212"/>
            <w:jc w:val="center"/>
            <w:rPr>
              <w:rFonts w:ascii="Gill Sans MT" w:hAnsi="Gill Sans MT" w:cs="Arial"/>
              <w:sz w:val="16"/>
              <w:szCs w:val="16"/>
            </w:rPr>
          </w:pPr>
        </w:p>
      </w:tc>
      <w:tc>
        <w:tcPr>
          <w:tcW w:w="1420" w:type="dxa"/>
        </w:tcPr>
        <w:p w:rsidR="00E37631" w:rsidRDefault="00E37631">
          <w:pPr>
            <w:pStyle w:val="Textonotapie"/>
            <w:tabs>
              <w:tab w:val="left" w:pos="1915"/>
              <w:tab w:val="left" w:pos="8080"/>
            </w:tabs>
            <w:ind w:right="-67"/>
            <w:rPr>
              <w:rFonts w:ascii="Gill Sans MT" w:hAnsi="Gill Sans MT" w:cs="Arial"/>
              <w:sz w:val="10"/>
            </w:rPr>
          </w:pPr>
        </w:p>
        <w:p w:rsidR="00BD7B14" w:rsidRDefault="00BD7B14">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rsidR="00132D32" w:rsidRDefault="00132D32" w:rsidP="00132D32">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DE </w:t>
          </w:r>
          <w:r w:rsidR="00A97655">
            <w:rPr>
              <w:rFonts w:ascii="Gill Sans MT" w:hAnsi="Gill Sans MT" w:cs="Arial"/>
              <w:sz w:val="10"/>
            </w:rPr>
            <w:t>HACIENDA</w:t>
          </w:r>
        </w:p>
        <w:p w:rsidR="00E756C7" w:rsidRDefault="00E756C7" w:rsidP="00132D32">
          <w:pPr>
            <w:pStyle w:val="Textonotapie"/>
            <w:tabs>
              <w:tab w:val="left" w:pos="1915"/>
              <w:tab w:val="left" w:pos="8080"/>
            </w:tabs>
            <w:ind w:right="-67"/>
            <w:rPr>
              <w:rFonts w:ascii="Gill Sans MT" w:hAnsi="Gill Sans MT" w:cs="Arial"/>
              <w:sz w:val="10"/>
            </w:rPr>
          </w:pPr>
          <w:r>
            <w:rPr>
              <w:rFonts w:ascii="Gill Sans MT" w:hAnsi="Gill Sans MT" w:cs="Arial"/>
              <w:sz w:val="10"/>
            </w:rPr>
            <w:t>Y FUNCIÓN PÚBLICA</w:t>
          </w:r>
        </w:p>
        <w:p w:rsidR="0028709B" w:rsidRDefault="0028709B">
          <w:pPr>
            <w:pStyle w:val="Textonotapie"/>
            <w:tabs>
              <w:tab w:val="left" w:pos="1915"/>
              <w:tab w:val="left" w:pos="8080"/>
            </w:tabs>
            <w:ind w:right="-67"/>
            <w:rPr>
              <w:rFonts w:ascii="Gill Sans MT" w:hAnsi="Gill Sans MT" w:cs="Arial"/>
              <w:sz w:val="10"/>
            </w:rPr>
          </w:pPr>
        </w:p>
        <w:p w:rsidR="008B6C4E" w:rsidRDefault="00854D88" w:rsidP="00E37631">
          <w:pPr>
            <w:pStyle w:val="Textonotapie"/>
            <w:tabs>
              <w:tab w:val="left" w:pos="1915"/>
              <w:tab w:val="left" w:pos="8080"/>
            </w:tabs>
            <w:ind w:right="-67"/>
            <w:rPr>
              <w:rFonts w:ascii="Gill Sans MT" w:hAnsi="Gill Sans MT" w:cs="Arial"/>
              <w:sz w:val="10"/>
            </w:rPr>
          </w:pPr>
          <w:r>
            <w:rPr>
              <w:rFonts w:ascii="Gill Sans MT" w:hAnsi="Gill Sans MT" w:cs="Arial"/>
              <w:sz w:val="10"/>
            </w:rPr>
            <w:t>COMISIONADO PARA EL MERCADO DE TABACOS</w:t>
          </w:r>
        </w:p>
      </w:tc>
    </w:tr>
  </w:tbl>
  <w:p w:rsidR="0028709B" w:rsidRDefault="0028709B">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83E" w:rsidRDefault="0026183E"/>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28709B">
      <w:tc>
        <w:tcPr>
          <w:tcW w:w="8434" w:type="dxa"/>
          <w:vAlign w:val="bottom"/>
        </w:tcPr>
        <w:p w:rsidR="008D7D1C" w:rsidRDefault="008D7D1C" w:rsidP="008D7D1C">
          <w:pPr>
            <w:pStyle w:val="Textonotapie"/>
            <w:tabs>
              <w:tab w:val="left" w:pos="1021"/>
              <w:tab w:val="left" w:pos="8080"/>
            </w:tabs>
            <w:rPr>
              <w:rFonts w:ascii="Gill Sans MT" w:hAnsi="Gill Sans MT" w:cs="Arial"/>
              <w:sz w:val="14"/>
            </w:rPr>
          </w:pPr>
          <w:r>
            <w:rPr>
              <w:rFonts w:ascii="Gill Sans MT" w:hAnsi="Gill Sans MT" w:cs="Arial"/>
              <w:sz w:val="14"/>
            </w:rPr>
            <w:t>www.</w:t>
          </w:r>
          <w:r w:rsidR="007903F5">
            <w:rPr>
              <w:rFonts w:ascii="Gill Sans MT" w:hAnsi="Gill Sans MT" w:cs="Arial"/>
              <w:sz w:val="14"/>
            </w:rPr>
            <w:t>hacienda</w:t>
          </w:r>
          <w:r>
            <w:rPr>
              <w:rFonts w:ascii="Gill Sans MT" w:hAnsi="Gill Sans MT" w:cs="Arial"/>
              <w:sz w:val="14"/>
            </w:rPr>
            <w:t>.gob.es</w:t>
          </w:r>
        </w:p>
        <w:p w:rsidR="0028709B" w:rsidRDefault="00FC4049" w:rsidP="007903F5">
          <w:pPr>
            <w:pStyle w:val="Textonotapie"/>
            <w:tabs>
              <w:tab w:val="left" w:pos="1021"/>
              <w:tab w:val="left" w:pos="8080"/>
            </w:tabs>
            <w:rPr>
              <w:rFonts w:ascii="Gill Sans MT" w:hAnsi="Gill Sans MT" w:cs="Arial"/>
              <w:sz w:val="14"/>
            </w:rPr>
          </w:pPr>
          <w:r>
            <w:rPr>
              <w:rFonts w:ascii="Gill Sans MT" w:hAnsi="Gill Sans MT" w:cs="Arial"/>
              <w:sz w:val="14"/>
            </w:rPr>
            <w:t>info</w:t>
          </w:r>
          <w:r w:rsidR="008D7D1C">
            <w:rPr>
              <w:rFonts w:ascii="Gill Sans MT" w:hAnsi="Gill Sans MT" w:cs="Arial"/>
              <w:sz w:val="14"/>
            </w:rPr>
            <w:t>@cmtabacos.</w:t>
          </w:r>
          <w:r w:rsidR="007903F5">
            <w:rPr>
              <w:rFonts w:ascii="Gill Sans MT" w:hAnsi="Gill Sans MT" w:cs="Arial"/>
              <w:sz w:val="14"/>
            </w:rPr>
            <w:t>hacienda.gob</w:t>
          </w:r>
          <w:r w:rsidR="008D7D1C">
            <w:rPr>
              <w:rFonts w:ascii="Gill Sans MT" w:hAnsi="Gill Sans MT" w:cs="Arial"/>
              <w:sz w:val="14"/>
            </w:rPr>
            <w:t>.es</w:t>
          </w:r>
        </w:p>
      </w:tc>
      <w:tc>
        <w:tcPr>
          <w:tcW w:w="2289" w:type="dxa"/>
        </w:tcPr>
        <w:p w:rsidR="008D7D1C" w:rsidRDefault="004F640B" w:rsidP="008D7D1C">
          <w:pPr>
            <w:pStyle w:val="Textonotapie"/>
            <w:tabs>
              <w:tab w:val="left" w:pos="1915"/>
              <w:tab w:val="left" w:pos="8080"/>
            </w:tabs>
            <w:ind w:right="-42"/>
            <w:rPr>
              <w:rFonts w:ascii="Gill Sans MT" w:hAnsi="Gill Sans MT" w:cs="Arial"/>
              <w:sz w:val="14"/>
            </w:rPr>
          </w:pPr>
          <w:r>
            <w:rPr>
              <w:rFonts w:ascii="Gill Sans MT" w:hAnsi="Gill Sans MT" w:cs="Arial"/>
              <w:sz w:val="14"/>
            </w:rPr>
            <w:t xml:space="preserve">PASEO DE LA HABANA, </w:t>
          </w:r>
          <w:proofErr w:type="spellStart"/>
          <w:r>
            <w:rPr>
              <w:rFonts w:ascii="Gill Sans MT" w:hAnsi="Gill Sans MT" w:cs="Arial"/>
              <w:sz w:val="14"/>
            </w:rPr>
            <w:t>Nº</w:t>
          </w:r>
          <w:proofErr w:type="spellEnd"/>
          <w:r>
            <w:rPr>
              <w:rFonts w:ascii="Gill Sans MT" w:hAnsi="Gill Sans MT" w:cs="Arial"/>
              <w:sz w:val="14"/>
            </w:rPr>
            <w:t xml:space="preserve"> 140.</w:t>
          </w:r>
        </w:p>
        <w:p w:rsidR="008D7D1C" w:rsidRDefault="00857AED" w:rsidP="008D7D1C">
          <w:pPr>
            <w:pStyle w:val="Textonotapie"/>
            <w:tabs>
              <w:tab w:val="left" w:pos="1915"/>
              <w:tab w:val="left" w:pos="8080"/>
            </w:tabs>
            <w:ind w:right="-42"/>
            <w:rPr>
              <w:rFonts w:ascii="Gill Sans MT" w:hAnsi="Gill Sans MT" w:cs="Arial"/>
              <w:sz w:val="14"/>
            </w:rPr>
          </w:pPr>
          <w:r>
            <w:rPr>
              <w:rFonts w:ascii="Gill Sans MT" w:hAnsi="Gill Sans MT" w:cs="Arial"/>
              <w:sz w:val="14"/>
            </w:rPr>
            <w:t>28071</w:t>
          </w:r>
          <w:r w:rsidR="008D7D1C" w:rsidRPr="00D36F69">
            <w:rPr>
              <w:rFonts w:ascii="Gill Sans MT" w:hAnsi="Gill Sans MT" w:cs="Arial"/>
              <w:sz w:val="14"/>
            </w:rPr>
            <w:t xml:space="preserve"> </w:t>
          </w:r>
          <w:r w:rsidR="008D7D1C">
            <w:rPr>
              <w:rFonts w:ascii="Gill Sans MT" w:hAnsi="Gill Sans MT" w:cs="Arial"/>
              <w:sz w:val="14"/>
            </w:rPr>
            <w:t>MADRID</w:t>
          </w:r>
        </w:p>
        <w:p w:rsidR="0028709B" w:rsidRDefault="005852CD" w:rsidP="00FC4049">
          <w:pPr>
            <w:pStyle w:val="Textonotapie"/>
            <w:tabs>
              <w:tab w:val="left" w:pos="1915"/>
              <w:tab w:val="left" w:pos="8080"/>
            </w:tabs>
            <w:ind w:right="-42"/>
            <w:rPr>
              <w:rFonts w:ascii="Gill Sans MT" w:hAnsi="Gill Sans MT" w:cs="Arial"/>
              <w:sz w:val="14"/>
            </w:rPr>
          </w:pPr>
          <w:r>
            <w:rPr>
              <w:rFonts w:ascii="Gill Sans MT" w:hAnsi="Gill Sans MT" w:cs="Arial"/>
              <w:sz w:val="14"/>
            </w:rPr>
            <w:t>TEL: 91</w:t>
          </w:r>
          <w:r w:rsidR="00FC4049">
            <w:rPr>
              <w:rFonts w:ascii="Gill Sans MT" w:hAnsi="Gill Sans MT" w:cs="Arial"/>
              <w:sz w:val="14"/>
            </w:rPr>
            <w:t>7</w:t>
          </w:r>
          <w:r>
            <w:rPr>
              <w:rFonts w:ascii="Gill Sans MT" w:hAnsi="Gill Sans MT" w:cs="Arial"/>
              <w:sz w:val="14"/>
            </w:rPr>
            <w:t xml:space="preserve"> 45 75 4</w:t>
          </w:r>
          <w:r w:rsidR="00FC4049">
            <w:rPr>
              <w:rFonts w:ascii="Gill Sans MT" w:hAnsi="Gill Sans MT" w:cs="Arial"/>
              <w:sz w:val="14"/>
            </w:rPr>
            <w:t>5</w:t>
          </w:r>
        </w:p>
      </w:tc>
    </w:tr>
  </w:tbl>
  <w:p w:rsidR="0028709B" w:rsidRDefault="005852CD">
    <w:pPr>
      <w:pStyle w:val="Piedepgina"/>
    </w:pPr>
    <w:r>
      <w:rPr>
        <w:noProof/>
        <w:lang w:val="es-ES"/>
      </w:rPr>
      <mc:AlternateContent>
        <mc:Choice Requires="wps">
          <w:drawing>
            <wp:anchor distT="0" distB="0" distL="114300" distR="114300" simplePos="0" relativeHeight="251657728" behindDoc="0" locked="0" layoutInCell="0" allowOverlap="1">
              <wp:simplePos x="0" y="0"/>
              <wp:positionH relativeFrom="column">
                <wp:posOffset>4771390</wp:posOffset>
              </wp:positionH>
              <wp:positionV relativeFrom="paragraph">
                <wp:posOffset>-217170</wp:posOffset>
              </wp:positionV>
              <wp:extent cx="1438910" cy="456565"/>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AEFA" id="Rectangle 37" o:spid="_x0000_s1026" style="position:absolute;margin-left:375.7pt;margin-top:-17.1pt;width:113.3pt;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d3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CwSqd3rQIAAKYFAAAO&#10;AAAAAAAAAAAAAAAAAC4CAABkcnMvZTJvRG9jLnhtbFBLAQItABQABgAIAAAAIQAOr3at4wAAAAoB&#10;AAAPAAAAAAAAAAAAAAAAAAcFAABkcnMvZG93bnJldi54bWxQSwUGAAAAAAQABADzAAAAFwYAAAAA&#10;" o:allowincell="f" filled="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37F" w:rsidRDefault="00C0337F">
      <w:r>
        <w:separator/>
      </w:r>
    </w:p>
  </w:footnote>
  <w:footnote w:type="continuationSeparator" w:id="0">
    <w:p w:rsidR="00C0337F" w:rsidRDefault="00C0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9B" w:rsidRDefault="002870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09B" w:rsidRDefault="0028709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9B" w:rsidRDefault="005852CD">
    <w:pPr>
      <w:pStyle w:val="Encabezado"/>
      <w:tabs>
        <w:tab w:val="clear" w:pos="8504"/>
      </w:tabs>
      <w:ind w:right="-87"/>
      <w:jc w:val="right"/>
    </w:pPr>
    <w:r w:rsidRPr="00FC4049">
      <w:rPr>
        <w:noProof/>
        <w:lang w:val="es-ES"/>
      </w:rPr>
      <w:drawing>
        <wp:inline distT="0" distB="0" distL="0" distR="0">
          <wp:extent cx="838200" cy="876300"/>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p w:rsidR="000443C1" w:rsidRDefault="000443C1">
    <w:pPr>
      <w:pStyle w:val="Encabezado"/>
      <w:tabs>
        <w:tab w:val="clear" w:pos="8504"/>
      </w:tabs>
      <w:ind w:right="-87"/>
      <w:jc w:val="right"/>
    </w:pPr>
  </w:p>
  <w:p w:rsidR="000443C1" w:rsidRDefault="000443C1">
    <w:pPr>
      <w:pStyle w:val="Encabezado"/>
      <w:tabs>
        <w:tab w:val="clear" w:pos="8504"/>
      </w:tabs>
      <w:ind w:right="-8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09B" w:rsidRDefault="0028709B">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2336C"/>
    <w:multiLevelType w:val="hybridMultilevel"/>
    <w:tmpl w:val="984ADF7E"/>
    <w:lvl w:ilvl="0" w:tplc="0C86DC22">
      <w:start w:val="30"/>
      <w:numFmt w:val="bullet"/>
      <w:lvlText w:val="-"/>
      <w:lvlJc w:val="left"/>
      <w:pPr>
        <w:ind w:left="927" w:hanging="360"/>
      </w:pPr>
      <w:rPr>
        <w:rFonts w:ascii="Calibri" w:eastAsia="Times New Roman"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7"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8"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6"/>
  </w:num>
  <w:num w:numId="5">
    <w:abstractNumId w:val="17"/>
  </w:num>
  <w:num w:numId="6">
    <w:abstractNumId w:val="3"/>
  </w:num>
  <w:num w:numId="7">
    <w:abstractNumId w:val="13"/>
  </w:num>
  <w:num w:numId="8">
    <w:abstractNumId w:val="19"/>
  </w:num>
  <w:num w:numId="9">
    <w:abstractNumId w:val="4"/>
  </w:num>
  <w:num w:numId="10">
    <w:abstractNumId w:val="5"/>
  </w:num>
  <w:num w:numId="11">
    <w:abstractNumId w:val="15"/>
  </w:num>
  <w:num w:numId="12">
    <w:abstractNumId w:val="10"/>
  </w:num>
  <w:num w:numId="13">
    <w:abstractNumId w:val="7"/>
  </w:num>
  <w:num w:numId="14">
    <w:abstractNumId w:val="18"/>
  </w:num>
  <w:num w:numId="15">
    <w:abstractNumId w:val="2"/>
  </w:num>
  <w:num w:numId="16">
    <w:abstractNumId w:val="8"/>
  </w:num>
  <w:num w:numId="17">
    <w:abstractNumId w:val="14"/>
  </w:num>
  <w:num w:numId="18">
    <w:abstractNumId w:val="6"/>
  </w:num>
  <w:num w:numId="19">
    <w:abstractNumId w:val="9"/>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7F"/>
    <w:rsid w:val="00003934"/>
    <w:rsid w:val="00016B46"/>
    <w:rsid w:val="000443C1"/>
    <w:rsid w:val="000B2909"/>
    <w:rsid w:val="000D7589"/>
    <w:rsid w:val="00111F66"/>
    <w:rsid w:val="00132D32"/>
    <w:rsid w:val="00177DF0"/>
    <w:rsid w:val="001830A1"/>
    <w:rsid w:val="001842CE"/>
    <w:rsid w:val="00205B76"/>
    <w:rsid w:val="00227CFE"/>
    <w:rsid w:val="0026183E"/>
    <w:rsid w:val="002869BF"/>
    <w:rsid w:val="0028709B"/>
    <w:rsid w:val="002F532D"/>
    <w:rsid w:val="003064DE"/>
    <w:rsid w:val="003302CC"/>
    <w:rsid w:val="00350F89"/>
    <w:rsid w:val="00352416"/>
    <w:rsid w:val="003C3FE0"/>
    <w:rsid w:val="003F5EF4"/>
    <w:rsid w:val="00483AC5"/>
    <w:rsid w:val="004B634E"/>
    <w:rsid w:val="004E5C64"/>
    <w:rsid w:val="004F640B"/>
    <w:rsid w:val="00514FEC"/>
    <w:rsid w:val="00521EFE"/>
    <w:rsid w:val="005326A8"/>
    <w:rsid w:val="0053557B"/>
    <w:rsid w:val="00557671"/>
    <w:rsid w:val="00557876"/>
    <w:rsid w:val="005643E7"/>
    <w:rsid w:val="005852CD"/>
    <w:rsid w:val="006362D6"/>
    <w:rsid w:val="006604FD"/>
    <w:rsid w:val="0067169B"/>
    <w:rsid w:val="00694F12"/>
    <w:rsid w:val="006F0454"/>
    <w:rsid w:val="00775258"/>
    <w:rsid w:val="007903F5"/>
    <w:rsid w:val="007A63AE"/>
    <w:rsid w:val="007B4DB3"/>
    <w:rsid w:val="007C16BF"/>
    <w:rsid w:val="007F768C"/>
    <w:rsid w:val="00836250"/>
    <w:rsid w:val="00854D88"/>
    <w:rsid w:val="00857AED"/>
    <w:rsid w:val="008969D9"/>
    <w:rsid w:val="008B2E95"/>
    <w:rsid w:val="008B6C4E"/>
    <w:rsid w:val="008C2BB0"/>
    <w:rsid w:val="008D7D1C"/>
    <w:rsid w:val="00900943"/>
    <w:rsid w:val="00925D4F"/>
    <w:rsid w:val="00973F18"/>
    <w:rsid w:val="009D7ABD"/>
    <w:rsid w:val="00A153E6"/>
    <w:rsid w:val="00A44409"/>
    <w:rsid w:val="00A57151"/>
    <w:rsid w:val="00A57C85"/>
    <w:rsid w:val="00A86DAF"/>
    <w:rsid w:val="00A97655"/>
    <w:rsid w:val="00AA310D"/>
    <w:rsid w:val="00AC7E13"/>
    <w:rsid w:val="00AE454A"/>
    <w:rsid w:val="00B43EB2"/>
    <w:rsid w:val="00B551A9"/>
    <w:rsid w:val="00B6618E"/>
    <w:rsid w:val="00B97B95"/>
    <w:rsid w:val="00BD7B14"/>
    <w:rsid w:val="00C0337F"/>
    <w:rsid w:val="00C3488D"/>
    <w:rsid w:val="00C822B3"/>
    <w:rsid w:val="00CA5DFC"/>
    <w:rsid w:val="00D00449"/>
    <w:rsid w:val="00D34C70"/>
    <w:rsid w:val="00D4540C"/>
    <w:rsid w:val="00DA3714"/>
    <w:rsid w:val="00DB66F3"/>
    <w:rsid w:val="00DC6D7F"/>
    <w:rsid w:val="00E02067"/>
    <w:rsid w:val="00E31C43"/>
    <w:rsid w:val="00E37631"/>
    <w:rsid w:val="00E605DF"/>
    <w:rsid w:val="00E756C7"/>
    <w:rsid w:val="00E82B8D"/>
    <w:rsid w:val="00EA4701"/>
    <w:rsid w:val="00EC49D7"/>
    <w:rsid w:val="00F24BDC"/>
    <w:rsid w:val="00F56DE0"/>
    <w:rsid w:val="00F9009A"/>
    <w:rsid w:val="00FC0261"/>
    <w:rsid w:val="00FC4049"/>
    <w:rsid w:val="00FF5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9705A2"/>
  <w15:docId w15:val="{B09A71AD-3D2A-4A93-A609-EC7076AD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5643E7"/>
    <w:rPr>
      <w:lang w:val="es-ES_tradnl"/>
    </w:rPr>
  </w:style>
  <w:style w:type="paragraph" w:styleId="Textodeglobo">
    <w:name w:val="Balloon Text"/>
    <w:basedOn w:val="Normal"/>
    <w:link w:val="TextodegloboCar"/>
    <w:uiPriority w:val="99"/>
    <w:semiHidden/>
    <w:unhideWhenUsed/>
    <w:rsid w:val="008D7D1C"/>
    <w:rPr>
      <w:rFonts w:ascii="Tahoma" w:hAnsi="Tahoma" w:cs="Tahoma"/>
      <w:sz w:val="16"/>
      <w:szCs w:val="16"/>
    </w:rPr>
  </w:style>
  <w:style w:type="character" w:customStyle="1" w:styleId="TextodegloboCar">
    <w:name w:val="Texto de globo Car"/>
    <w:link w:val="Textodeglobo"/>
    <w:uiPriority w:val="99"/>
    <w:semiHidden/>
    <w:rsid w:val="008D7D1C"/>
    <w:rPr>
      <w:rFonts w:ascii="Tahoma" w:hAnsi="Tahoma" w:cs="Tahoma"/>
      <w:sz w:val="16"/>
      <w:szCs w:val="16"/>
      <w:lang w:val="es-ES_tradnl"/>
    </w:rPr>
  </w:style>
  <w:style w:type="paragraph" w:customStyle="1" w:styleId="Standard">
    <w:name w:val="Standard"/>
    <w:rsid w:val="000443C1"/>
    <w:pPr>
      <w:widowControl w:val="0"/>
      <w:suppressAutoHyphens/>
      <w:autoSpaceDN w:val="0"/>
      <w:textAlignment w:val="baseline"/>
    </w:pPr>
    <w:rPr>
      <w:rFonts w:eastAsia="Droid Sans Fallback" w:cs="FreeSans"/>
      <w:kern w:val="3"/>
      <w:sz w:val="24"/>
      <w:szCs w:val="24"/>
      <w:lang w:eastAsia="zh-CN" w:bidi="hi-IN"/>
    </w:rPr>
  </w:style>
  <w:style w:type="paragraph" w:styleId="Prrafodelista">
    <w:name w:val="List Paragraph"/>
    <w:basedOn w:val="Normal"/>
    <w:uiPriority w:val="34"/>
    <w:qFormat/>
    <w:rsid w:val="00B5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lla\Desktop\modelos\Docum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8E18-A6D6-4726-8A57-F4AFCF79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Documento.dotx</Template>
  <TotalTime>1</TotalTime>
  <Pages>4</Pages>
  <Words>1280</Words>
  <Characters>6868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Julia Bella Martí</dc:creator>
  <cp:keywords/>
  <cp:lastModifiedBy>Luis Gavira Caballero</cp:lastModifiedBy>
  <cp:revision>4</cp:revision>
  <cp:lastPrinted>2003-08-25T12:36:00Z</cp:lastPrinted>
  <dcterms:created xsi:type="dcterms:W3CDTF">2022-07-26T08:30:00Z</dcterms:created>
  <dcterms:modified xsi:type="dcterms:W3CDTF">2022-07-26T08:31:00Z</dcterms:modified>
</cp:coreProperties>
</file>