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147FFC">
        <w:rPr>
          <w:color w:val="6BA999"/>
        </w:rPr>
        <w:t>SECEGSA</w:t>
      </w:r>
      <w:r w:rsidR="009E6E8B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escrito de </w:t>
      </w:r>
      <w:r w:rsidR="009E6E8B">
        <w:rPr>
          <w:rFonts w:asciiTheme="minorHAnsi" w:hAnsiTheme="minorHAnsi" w:cstheme="minorHAnsi"/>
          <w:szCs w:val="24"/>
        </w:rPr>
        <w:t>1</w:t>
      </w:r>
      <w:r w:rsidR="00147FFC">
        <w:rPr>
          <w:rFonts w:asciiTheme="minorHAnsi" w:hAnsiTheme="minorHAnsi" w:cstheme="minorHAnsi"/>
          <w:szCs w:val="24"/>
        </w:rPr>
        <w:t>1</w:t>
      </w:r>
      <w:r w:rsidR="009E6E8B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de </w:t>
      </w:r>
      <w:r w:rsidR="00E8353A">
        <w:rPr>
          <w:rFonts w:asciiTheme="minorHAnsi" w:hAnsiTheme="minorHAnsi" w:cstheme="minorHAnsi"/>
          <w:szCs w:val="24"/>
        </w:rPr>
        <w:t>ju</w:t>
      </w:r>
      <w:r w:rsidR="009E6E8B">
        <w:rPr>
          <w:rFonts w:asciiTheme="minorHAnsi" w:hAnsiTheme="minorHAnsi" w:cstheme="minorHAnsi"/>
          <w:szCs w:val="24"/>
        </w:rPr>
        <w:t>l</w:t>
      </w:r>
      <w:r w:rsidR="00E8353A">
        <w:rPr>
          <w:rFonts w:asciiTheme="minorHAnsi" w:hAnsiTheme="minorHAnsi" w:cstheme="minorHAnsi"/>
          <w:szCs w:val="24"/>
        </w:rPr>
        <w:t>io</w:t>
      </w:r>
      <w:r w:rsidR="000C18DE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BC6382">
        <w:rPr>
          <w:rFonts w:asciiTheme="minorHAnsi" w:hAnsiTheme="minorHAnsi" w:cstheme="minorHAnsi"/>
          <w:szCs w:val="24"/>
        </w:rPr>
        <w:t>2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855ECA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9F54F7" w:rsidRDefault="00147FFC" w:rsidP="00147FFC">
      <w:pPr>
        <w:pStyle w:val="Prrafodelista"/>
        <w:numPr>
          <w:ilvl w:val="0"/>
          <w:numId w:val="12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Se admiten las observaciones relativas a la publicación del perfil y trayectoria profesional de altos cargos y máximos responsables, así como la correspondiente a la publicación de las retribuciones del Secretario General, que no había sido localizada en el proceso de evaluación. </w:t>
      </w:r>
      <w:r w:rsidR="00690860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Tras la revisión efectuada el Índice de Cumplimiento de la Información Obligatoria se sitúa en el 30,4%</w:t>
      </w:r>
    </w:p>
    <w:p w:rsidR="007A2E94" w:rsidRPr="007A2E94" w:rsidRDefault="0037445B" w:rsidP="007A2E94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</w:t>
      </w:r>
      <w:r w:rsidR="007A2E94">
        <w:rPr>
          <w:rFonts w:asciiTheme="minorHAnsi" w:hAnsiTheme="minorHAnsi" w:cstheme="minorHAnsi"/>
          <w:szCs w:val="24"/>
        </w:rPr>
        <w:t xml:space="preserve">ste CTBG valora muy positivamente la </w:t>
      </w:r>
      <w:proofErr w:type="spellStart"/>
      <w:r w:rsidR="007A2E94">
        <w:rPr>
          <w:rFonts w:asciiTheme="minorHAnsi" w:hAnsiTheme="minorHAnsi" w:cstheme="minorHAnsi"/>
          <w:szCs w:val="24"/>
        </w:rPr>
        <w:t>proactividad</w:t>
      </w:r>
      <w:proofErr w:type="spellEnd"/>
      <w:r w:rsidR="007A2E94">
        <w:rPr>
          <w:rFonts w:asciiTheme="minorHAnsi" w:hAnsiTheme="minorHAnsi" w:cstheme="minorHAnsi"/>
          <w:szCs w:val="24"/>
        </w:rPr>
        <w:t xml:space="preserve"> </w:t>
      </w:r>
      <w:r w:rsidR="007455AC">
        <w:rPr>
          <w:rFonts w:asciiTheme="minorHAnsi" w:hAnsiTheme="minorHAnsi" w:cstheme="minorHAnsi"/>
          <w:szCs w:val="24"/>
        </w:rPr>
        <w:t xml:space="preserve">de </w:t>
      </w:r>
      <w:r w:rsidR="00147FFC">
        <w:rPr>
          <w:rFonts w:asciiTheme="minorHAnsi" w:hAnsiTheme="minorHAnsi" w:cstheme="minorHAnsi"/>
          <w:szCs w:val="24"/>
        </w:rPr>
        <w:t>SECEGSA</w:t>
      </w:r>
      <w:r w:rsidR="003C644D">
        <w:rPr>
          <w:rFonts w:asciiTheme="minorHAnsi" w:hAnsiTheme="minorHAnsi" w:cstheme="minorHAnsi"/>
          <w:szCs w:val="24"/>
        </w:rPr>
        <w:t>,</w:t>
      </w:r>
      <w:r w:rsidR="007A2E94">
        <w:rPr>
          <w:rFonts w:asciiTheme="minorHAnsi" w:hAnsiTheme="minorHAnsi" w:cstheme="minorHAnsi"/>
          <w:szCs w:val="24"/>
        </w:rPr>
        <w:t xml:space="preserve"> </w:t>
      </w:r>
      <w:r w:rsidR="00147FFC">
        <w:rPr>
          <w:rFonts w:asciiTheme="minorHAnsi" w:hAnsiTheme="minorHAnsi" w:cstheme="minorHAnsi"/>
          <w:szCs w:val="24"/>
        </w:rPr>
        <w:t>que ha aplicado once de las recomendaciones efectuadas</w:t>
      </w:r>
      <w:r w:rsidR="007455AC">
        <w:rPr>
          <w:rFonts w:asciiTheme="minorHAnsi" w:hAnsiTheme="minorHAnsi" w:cstheme="minorHAnsi"/>
          <w:szCs w:val="24"/>
        </w:rPr>
        <w:t xml:space="preserve"> tras la </w:t>
      </w:r>
      <w:r w:rsidR="00147FFC">
        <w:rPr>
          <w:rFonts w:asciiTheme="minorHAnsi" w:hAnsiTheme="minorHAnsi" w:cstheme="minorHAnsi"/>
          <w:szCs w:val="24"/>
        </w:rPr>
        <w:t>evaluación</w:t>
      </w:r>
      <w:r w:rsidR="007455AC">
        <w:rPr>
          <w:rFonts w:asciiTheme="minorHAnsi" w:hAnsiTheme="minorHAnsi" w:cstheme="minorHAnsi"/>
          <w:szCs w:val="24"/>
        </w:rPr>
        <w:t xml:space="preserve"> </w:t>
      </w:r>
      <w:r w:rsidR="002D6090">
        <w:rPr>
          <w:rFonts w:asciiTheme="minorHAnsi" w:hAnsiTheme="minorHAnsi" w:cstheme="minorHAnsi"/>
          <w:szCs w:val="24"/>
        </w:rPr>
        <w:t xml:space="preserve">de cumplimiento </w:t>
      </w:r>
      <w:r w:rsidR="00147FFC">
        <w:rPr>
          <w:rFonts w:asciiTheme="minorHAnsi" w:hAnsiTheme="minorHAnsi" w:cstheme="minorHAnsi"/>
          <w:szCs w:val="24"/>
        </w:rPr>
        <w:t>realizada</w:t>
      </w:r>
      <w:r w:rsidR="007455AC">
        <w:rPr>
          <w:rFonts w:asciiTheme="minorHAnsi" w:hAnsiTheme="minorHAnsi" w:cstheme="minorHAnsi"/>
          <w:szCs w:val="24"/>
        </w:rPr>
        <w:t xml:space="preserve">. No obstante, dado que su implantación se ha </w:t>
      </w:r>
      <w:r w:rsidR="003C644D">
        <w:rPr>
          <w:rFonts w:asciiTheme="minorHAnsi" w:hAnsiTheme="minorHAnsi" w:cstheme="minorHAnsi"/>
          <w:szCs w:val="24"/>
        </w:rPr>
        <w:t>ejecutado</w:t>
      </w:r>
      <w:r w:rsidR="007455AC">
        <w:rPr>
          <w:rFonts w:asciiTheme="minorHAnsi" w:hAnsiTheme="minorHAnsi" w:cstheme="minorHAnsi"/>
          <w:szCs w:val="24"/>
        </w:rPr>
        <w:t xml:space="preserve"> durante el periodo de observaciones, </w:t>
      </w:r>
      <w:r w:rsidR="002D6090">
        <w:rPr>
          <w:rFonts w:asciiTheme="minorHAnsi" w:hAnsiTheme="minorHAnsi" w:cstheme="minorHAnsi"/>
          <w:szCs w:val="24"/>
        </w:rPr>
        <w:t xml:space="preserve">estas mejoras </w:t>
      </w:r>
      <w:r w:rsidR="007455AC">
        <w:rPr>
          <w:rFonts w:asciiTheme="minorHAnsi" w:hAnsiTheme="minorHAnsi" w:cstheme="minorHAnsi"/>
          <w:szCs w:val="24"/>
        </w:rPr>
        <w:t xml:space="preserve">no pueden ser tenidas en cuenta para </w:t>
      </w:r>
      <w:r w:rsidR="002D6090">
        <w:rPr>
          <w:rFonts w:asciiTheme="minorHAnsi" w:hAnsiTheme="minorHAnsi" w:cstheme="minorHAnsi"/>
          <w:szCs w:val="24"/>
        </w:rPr>
        <w:t>el cálculo del Índice de Cumplimiento</w:t>
      </w:r>
      <w:r w:rsidR="007A2E94">
        <w:rPr>
          <w:rFonts w:asciiTheme="minorHAnsi" w:hAnsiTheme="minorHAnsi" w:cstheme="minorHAnsi"/>
          <w:szCs w:val="24"/>
        </w:rPr>
        <w:t>.</w:t>
      </w:r>
      <w:r w:rsidR="00147FFC">
        <w:rPr>
          <w:rFonts w:asciiTheme="minorHAnsi" w:hAnsiTheme="minorHAnsi" w:cstheme="minorHAnsi"/>
          <w:szCs w:val="24"/>
        </w:rPr>
        <w:t xml:space="preserve"> Si lo serán</w:t>
      </w:r>
      <w:r w:rsidR="003C644D">
        <w:rPr>
          <w:rFonts w:asciiTheme="minorHAnsi" w:hAnsiTheme="minorHAnsi" w:cstheme="minorHAnsi"/>
          <w:szCs w:val="24"/>
        </w:rPr>
        <w:t>,</w:t>
      </w:r>
      <w:r w:rsidR="00147FFC">
        <w:rPr>
          <w:rFonts w:asciiTheme="minorHAnsi" w:hAnsiTheme="minorHAnsi" w:cstheme="minorHAnsi"/>
          <w:szCs w:val="24"/>
        </w:rPr>
        <w:t xml:space="preserve"> cuando</w:t>
      </w:r>
      <w:r w:rsidR="003C644D">
        <w:rPr>
          <w:rFonts w:asciiTheme="minorHAnsi" w:hAnsiTheme="minorHAnsi" w:cstheme="minorHAnsi"/>
          <w:szCs w:val="24"/>
        </w:rPr>
        <w:t>,</w:t>
      </w:r>
      <w:r w:rsidR="00147FFC">
        <w:rPr>
          <w:rFonts w:asciiTheme="minorHAnsi" w:hAnsiTheme="minorHAnsi" w:cstheme="minorHAnsi"/>
          <w:szCs w:val="24"/>
        </w:rPr>
        <w:t xml:space="preserve"> en 2023</w:t>
      </w:r>
      <w:r w:rsidR="003C644D">
        <w:rPr>
          <w:rFonts w:asciiTheme="minorHAnsi" w:hAnsiTheme="minorHAnsi" w:cstheme="minorHAnsi"/>
          <w:szCs w:val="24"/>
        </w:rPr>
        <w:t>,</w:t>
      </w:r>
      <w:r w:rsidR="00147FFC">
        <w:rPr>
          <w:rFonts w:asciiTheme="minorHAnsi" w:hAnsiTheme="minorHAnsi" w:cstheme="minorHAnsi"/>
          <w:szCs w:val="24"/>
        </w:rPr>
        <w:t xml:space="preserve"> se realice una revisión del grado de aplicación de las recomenda</w:t>
      </w:r>
      <w:r w:rsidR="00731B7D">
        <w:rPr>
          <w:rFonts w:asciiTheme="minorHAnsi" w:hAnsiTheme="minorHAnsi" w:cstheme="minorHAnsi"/>
          <w:szCs w:val="24"/>
        </w:rPr>
        <w:t>ciones y una reevaluación del gra</w:t>
      </w:r>
      <w:bookmarkStart w:id="0" w:name="_GoBack"/>
      <w:bookmarkEnd w:id="0"/>
      <w:r w:rsidR="00731B7D">
        <w:rPr>
          <w:rFonts w:asciiTheme="minorHAnsi" w:hAnsiTheme="minorHAnsi" w:cstheme="minorHAnsi"/>
          <w:szCs w:val="24"/>
        </w:rPr>
        <w:t>do de cumplimiento de las obligaciones de publicidad activa.</w:t>
      </w:r>
      <w:r w:rsidR="00147FFC">
        <w:rPr>
          <w:rFonts w:asciiTheme="minorHAnsi" w:hAnsiTheme="minorHAnsi" w:cstheme="minorHAnsi"/>
          <w:szCs w:val="24"/>
        </w:rPr>
        <w:t xml:space="preserve"> </w:t>
      </w:r>
    </w:p>
    <w:p w:rsidR="006F17B5" w:rsidRPr="002C000A" w:rsidRDefault="0006533A" w:rsidP="0006533A">
      <w:pPr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8D3780">
        <w:rPr>
          <w:rFonts w:asciiTheme="minorHAnsi" w:hAnsiTheme="minorHAnsi" w:cstheme="minorHAnsi"/>
          <w:szCs w:val="24"/>
        </w:rPr>
        <w:t>julio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>
        <w:rPr>
          <w:rFonts w:asciiTheme="minorHAnsi" w:hAnsiTheme="minorHAnsi" w:cstheme="minorHAnsi"/>
          <w:szCs w:val="24"/>
        </w:rPr>
        <w:t>2</w:t>
      </w:r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860" w:rsidRDefault="00690860" w:rsidP="00344FE7">
      <w:pPr>
        <w:spacing w:after="0" w:line="240" w:lineRule="auto"/>
      </w:pPr>
      <w:r>
        <w:separator/>
      </w:r>
    </w:p>
  </w:endnote>
  <w:endnote w:type="continuationSeparator" w:id="0">
    <w:p w:rsidR="00690860" w:rsidRDefault="00690860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90860" w:rsidRPr="00C23F36" w:rsidRDefault="00690860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9F54F7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860" w:rsidRDefault="00690860" w:rsidP="00344FE7">
      <w:pPr>
        <w:spacing w:after="0" w:line="240" w:lineRule="auto"/>
      </w:pPr>
      <w:r>
        <w:separator/>
      </w:r>
    </w:p>
  </w:footnote>
  <w:footnote w:type="continuationSeparator" w:id="0">
    <w:p w:rsidR="00690860" w:rsidRDefault="00690860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860" w:rsidRDefault="00690860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90860" w:rsidRDefault="00690860">
    <w:pPr>
      <w:pStyle w:val="Encabezado"/>
    </w:pPr>
  </w:p>
  <w:p w:rsidR="00690860" w:rsidRDefault="00690860" w:rsidP="00344FE7">
    <w:pPr>
      <w:pStyle w:val="Encabezado"/>
    </w:pPr>
  </w:p>
  <w:p w:rsidR="00690860" w:rsidRDefault="00690860" w:rsidP="00344FE7">
    <w:pPr>
      <w:pStyle w:val="Encabezado"/>
    </w:pPr>
  </w:p>
  <w:p w:rsidR="00690860" w:rsidRDefault="00690860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860" w:rsidRDefault="00690860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4529_"/>
      </v:shape>
    </w:pict>
  </w:numPicBullet>
  <w:abstractNum w:abstractNumId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0080B"/>
    <w:multiLevelType w:val="hybridMultilevel"/>
    <w:tmpl w:val="9F6CA0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234B9"/>
    <w:rsid w:val="00033E75"/>
    <w:rsid w:val="00036A5D"/>
    <w:rsid w:val="00040D63"/>
    <w:rsid w:val="00054405"/>
    <w:rsid w:val="0006533A"/>
    <w:rsid w:val="00074030"/>
    <w:rsid w:val="000B79D0"/>
    <w:rsid w:val="000C18DE"/>
    <w:rsid w:val="000C2E80"/>
    <w:rsid w:val="001257F9"/>
    <w:rsid w:val="0014196C"/>
    <w:rsid w:val="00147FFC"/>
    <w:rsid w:val="001620F0"/>
    <w:rsid w:val="001750A8"/>
    <w:rsid w:val="00175D6C"/>
    <w:rsid w:val="0018324C"/>
    <w:rsid w:val="00194E05"/>
    <w:rsid w:val="001B16D9"/>
    <w:rsid w:val="001E44BC"/>
    <w:rsid w:val="00212970"/>
    <w:rsid w:val="00235A40"/>
    <w:rsid w:val="00242952"/>
    <w:rsid w:val="00251194"/>
    <w:rsid w:val="00267F0B"/>
    <w:rsid w:val="00292806"/>
    <w:rsid w:val="0029598F"/>
    <w:rsid w:val="002A4771"/>
    <w:rsid w:val="002B3CF5"/>
    <w:rsid w:val="002C000A"/>
    <w:rsid w:val="002C32C7"/>
    <w:rsid w:val="002D6090"/>
    <w:rsid w:val="002F5D0B"/>
    <w:rsid w:val="003031A7"/>
    <w:rsid w:val="0031255D"/>
    <w:rsid w:val="003259B9"/>
    <w:rsid w:val="0033509B"/>
    <w:rsid w:val="00344FE7"/>
    <w:rsid w:val="00351475"/>
    <w:rsid w:val="003656B1"/>
    <w:rsid w:val="0037445B"/>
    <w:rsid w:val="003B5DE7"/>
    <w:rsid w:val="003C644D"/>
    <w:rsid w:val="003D0DAF"/>
    <w:rsid w:val="003F0972"/>
    <w:rsid w:val="003F38BD"/>
    <w:rsid w:val="004108BB"/>
    <w:rsid w:val="0041261C"/>
    <w:rsid w:val="004255C8"/>
    <w:rsid w:val="00432263"/>
    <w:rsid w:val="0045134F"/>
    <w:rsid w:val="004757E4"/>
    <w:rsid w:val="004B15B8"/>
    <w:rsid w:val="004D4EF1"/>
    <w:rsid w:val="004F3B77"/>
    <w:rsid w:val="00552514"/>
    <w:rsid w:val="005700FC"/>
    <w:rsid w:val="0059221A"/>
    <w:rsid w:val="005B1C12"/>
    <w:rsid w:val="005E3D42"/>
    <w:rsid w:val="00614890"/>
    <w:rsid w:val="00673770"/>
    <w:rsid w:val="00690860"/>
    <w:rsid w:val="006C0214"/>
    <w:rsid w:val="006F17B5"/>
    <w:rsid w:val="006F5890"/>
    <w:rsid w:val="0071472F"/>
    <w:rsid w:val="00731B7D"/>
    <w:rsid w:val="007330C4"/>
    <w:rsid w:val="007342F2"/>
    <w:rsid w:val="007455AC"/>
    <w:rsid w:val="00780DF9"/>
    <w:rsid w:val="007A2E94"/>
    <w:rsid w:val="007A662D"/>
    <w:rsid w:val="007C00E5"/>
    <w:rsid w:val="007C0642"/>
    <w:rsid w:val="007C1C6F"/>
    <w:rsid w:val="007C64CD"/>
    <w:rsid w:val="007D24E2"/>
    <w:rsid w:val="00815DA2"/>
    <w:rsid w:val="00816D4F"/>
    <w:rsid w:val="008245B4"/>
    <w:rsid w:val="0084538C"/>
    <w:rsid w:val="008516E4"/>
    <w:rsid w:val="00855ECA"/>
    <w:rsid w:val="00856637"/>
    <w:rsid w:val="00865A09"/>
    <w:rsid w:val="0089717A"/>
    <w:rsid w:val="008B79BD"/>
    <w:rsid w:val="008C234C"/>
    <w:rsid w:val="008D3780"/>
    <w:rsid w:val="00901F1F"/>
    <w:rsid w:val="009029E0"/>
    <w:rsid w:val="009557B1"/>
    <w:rsid w:val="009B5E4A"/>
    <w:rsid w:val="009B7ADA"/>
    <w:rsid w:val="009D2560"/>
    <w:rsid w:val="009D6677"/>
    <w:rsid w:val="009E16B5"/>
    <w:rsid w:val="009E30AA"/>
    <w:rsid w:val="009E6E8B"/>
    <w:rsid w:val="009F54F7"/>
    <w:rsid w:val="00A24192"/>
    <w:rsid w:val="00A26523"/>
    <w:rsid w:val="00A603C7"/>
    <w:rsid w:val="00A62936"/>
    <w:rsid w:val="00A72254"/>
    <w:rsid w:val="00AB4661"/>
    <w:rsid w:val="00AE5BF4"/>
    <w:rsid w:val="00B14D00"/>
    <w:rsid w:val="00B20ABA"/>
    <w:rsid w:val="00B21C2F"/>
    <w:rsid w:val="00B251D8"/>
    <w:rsid w:val="00B2797F"/>
    <w:rsid w:val="00B31F84"/>
    <w:rsid w:val="00B35A53"/>
    <w:rsid w:val="00B45F2F"/>
    <w:rsid w:val="00B75881"/>
    <w:rsid w:val="00B81EE6"/>
    <w:rsid w:val="00BC6382"/>
    <w:rsid w:val="00BC7A82"/>
    <w:rsid w:val="00C01613"/>
    <w:rsid w:val="00C0201F"/>
    <w:rsid w:val="00C05003"/>
    <w:rsid w:val="00C05970"/>
    <w:rsid w:val="00C119CE"/>
    <w:rsid w:val="00C23F36"/>
    <w:rsid w:val="00C305B6"/>
    <w:rsid w:val="00C3135F"/>
    <w:rsid w:val="00C70887"/>
    <w:rsid w:val="00C736B9"/>
    <w:rsid w:val="00C82AB2"/>
    <w:rsid w:val="00C87BC3"/>
    <w:rsid w:val="00C94C61"/>
    <w:rsid w:val="00CC0AAF"/>
    <w:rsid w:val="00CC61D6"/>
    <w:rsid w:val="00CE2741"/>
    <w:rsid w:val="00CF0704"/>
    <w:rsid w:val="00CF6D19"/>
    <w:rsid w:val="00D00373"/>
    <w:rsid w:val="00D23111"/>
    <w:rsid w:val="00D252B8"/>
    <w:rsid w:val="00D42991"/>
    <w:rsid w:val="00D445A4"/>
    <w:rsid w:val="00D44E9D"/>
    <w:rsid w:val="00D72EF9"/>
    <w:rsid w:val="00DB21EC"/>
    <w:rsid w:val="00DB2CB4"/>
    <w:rsid w:val="00DB2CCC"/>
    <w:rsid w:val="00DD07B5"/>
    <w:rsid w:val="00DF5982"/>
    <w:rsid w:val="00E03C82"/>
    <w:rsid w:val="00E23B8F"/>
    <w:rsid w:val="00E27657"/>
    <w:rsid w:val="00E31447"/>
    <w:rsid w:val="00E35741"/>
    <w:rsid w:val="00E4386D"/>
    <w:rsid w:val="00E5135F"/>
    <w:rsid w:val="00E64F85"/>
    <w:rsid w:val="00E8353A"/>
    <w:rsid w:val="00E90B21"/>
    <w:rsid w:val="00EB7058"/>
    <w:rsid w:val="00EC3AAE"/>
    <w:rsid w:val="00ED6FD3"/>
    <w:rsid w:val="00EF0D47"/>
    <w:rsid w:val="00EF5F68"/>
    <w:rsid w:val="00F14500"/>
    <w:rsid w:val="00F17B00"/>
    <w:rsid w:val="00F477DF"/>
    <w:rsid w:val="00F5121D"/>
    <w:rsid w:val="00F63482"/>
    <w:rsid w:val="00F66490"/>
    <w:rsid w:val="00F777C2"/>
    <w:rsid w:val="00F80E8A"/>
    <w:rsid w:val="00F85353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4</cp:revision>
  <cp:lastPrinted>2015-01-27T17:42:00Z</cp:lastPrinted>
  <dcterms:created xsi:type="dcterms:W3CDTF">2022-07-13T12:27:00Z</dcterms:created>
  <dcterms:modified xsi:type="dcterms:W3CDTF">2022-07-13T12:31:00Z</dcterms:modified>
</cp:coreProperties>
</file>