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BC2EA8">
        <w:rPr>
          <w:color w:val="6BA999"/>
        </w:rPr>
        <w:t xml:space="preserve"> </w:t>
      </w:r>
      <w:r w:rsidR="001400B8">
        <w:rPr>
          <w:color w:val="6BA999"/>
        </w:rPr>
        <w:t>EL COMISIONADO PARA EL MERCADO DE TABACOS</w:t>
      </w:r>
      <w:r w:rsidR="00DF6D1C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1400B8">
        <w:rPr>
          <w:rFonts w:asciiTheme="minorHAnsi" w:hAnsiTheme="minorHAnsi" w:cstheme="minorHAnsi"/>
          <w:szCs w:val="24"/>
        </w:rPr>
        <w:t>26</w:t>
      </w:r>
      <w:r w:rsidR="007B2862">
        <w:rPr>
          <w:rFonts w:asciiTheme="minorHAnsi" w:hAnsiTheme="minorHAnsi" w:cstheme="minorHAnsi"/>
          <w:szCs w:val="24"/>
        </w:rPr>
        <w:t xml:space="preserve"> de julio</w:t>
      </w:r>
      <w:r w:rsidR="007B286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4E4EE3">
        <w:rPr>
          <w:rFonts w:asciiTheme="minorHAnsi" w:hAnsiTheme="minorHAnsi" w:cstheme="minorHAnsi"/>
          <w:szCs w:val="24"/>
        </w:rPr>
        <w:t>2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855ECA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335B71" w:rsidRPr="00AD7C9B" w:rsidRDefault="00984F01" w:rsidP="00335B71">
      <w:pPr>
        <w:pStyle w:val="Prrafodelista"/>
        <w:numPr>
          <w:ilvl w:val="0"/>
          <w:numId w:val="25"/>
        </w:numPr>
        <w:tabs>
          <w:tab w:val="left" w:pos="284"/>
        </w:tabs>
        <w:spacing w:before="120" w:after="120" w:line="312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D7C9B">
        <w:rPr>
          <w:rFonts w:asciiTheme="minorHAnsi" w:hAnsiTheme="minorHAnsi" w:cstheme="minorHAnsi"/>
          <w:sz w:val="24"/>
          <w:szCs w:val="24"/>
        </w:rPr>
        <w:t>Se indica en el informe de observaciones que</w:t>
      </w:r>
      <w:r w:rsidR="001400B8" w:rsidRPr="00AD7C9B">
        <w:rPr>
          <w:rFonts w:asciiTheme="minorHAnsi" w:hAnsiTheme="minorHAnsi" w:cstheme="minorHAnsi"/>
          <w:sz w:val="24"/>
          <w:szCs w:val="24"/>
        </w:rPr>
        <w:t xml:space="preserve"> la información relativa al grupo de obligaciones planificación – Planes y programas, grado de cumplimiento y resultados e indicadores de medida y valoración –</w:t>
      </w:r>
      <w:r w:rsidR="000835E5" w:rsidRPr="00AD7C9B">
        <w:rPr>
          <w:rFonts w:asciiTheme="minorHAnsi" w:hAnsiTheme="minorHAnsi" w:cstheme="minorHAnsi"/>
          <w:sz w:val="24"/>
          <w:szCs w:val="24"/>
        </w:rPr>
        <w:t xml:space="preserve">, dada la adscripción del Organismo a la Subsecretaría de Hacienda y Función Pública, </w:t>
      </w:r>
      <w:r w:rsidR="001400B8" w:rsidRPr="00AD7C9B">
        <w:rPr>
          <w:rFonts w:asciiTheme="minorHAnsi" w:hAnsiTheme="minorHAnsi" w:cstheme="minorHAnsi"/>
          <w:sz w:val="24"/>
          <w:szCs w:val="24"/>
        </w:rPr>
        <w:t xml:space="preserve">se encuentra incluida en el Plan de Objetivos de </w:t>
      </w:r>
      <w:r w:rsidR="00AD7C9B">
        <w:rPr>
          <w:rFonts w:asciiTheme="minorHAnsi" w:hAnsiTheme="minorHAnsi" w:cstheme="minorHAnsi"/>
          <w:sz w:val="24"/>
          <w:szCs w:val="24"/>
        </w:rPr>
        <w:t>dicha</w:t>
      </w:r>
      <w:r w:rsidR="001400B8" w:rsidRPr="00AD7C9B">
        <w:rPr>
          <w:rFonts w:asciiTheme="minorHAnsi" w:hAnsiTheme="minorHAnsi" w:cstheme="minorHAnsi"/>
          <w:sz w:val="24"/>
          <w:szCs w:val="24"/>
        </w:rPr>
        <w:t xml:space="preserve"> Subsecretaria al que se da acceso, entre otros planes del Ministerio y de organismos dependientes, mediante el enlace publicado al efecto en el Portal de Transparencia del CMT.</w:t>
      </w:r>
      <w:r w:rsidR="000835E5" w:rsidRPr="00AD7C9B">
        <w:rPr>
          <w:rFonts w:asciiTheme="minorHAnsi" w:hAnsiTheme="minorHAnsi" w:cstheme="minorHAnsi"/>
          <w:sz w:val="24"/>
          <w:szCs w:val="24"/>
        </w:rPr>
        <w:t xml:space="preserve"> Dado que no se informa en el Portal de Transparencia del CMT de esta circunstancia, lo esperable es que los ciudadanos –</w:t>
      </w:r>
      <w:r w:rsidR="00605DEA" w:rsidRPr="00AD7C9B">
        <w:rPr>
          <w:rFonts w:asciiTheme="minorHAnsi" w:hAnsiTheme="minorHAnsi" w:cstheme="minorHAnsi"/>
          <w:sz w:val="24"/>
          <w:szCs w:val="24"/>
        </w:rPr>
        <w:t xml:space="preserve"> </w:t>
      </w:r>
      <w:r w:rsidR="000835E5" w:rsidRPr="00AD7C9B">
        <w:rPr>
          <w:rFonts w:asciiTheme="minorHAnsi" w:hAnsiTheme="minorHAnsi" w:cstheme="minorHAnsi"/>
          <w:sz w:val="24"/>
          <w:szCs w:val="24"/>
        </w:rPr>
        <w:t>también los evaluadores – al revisar la información publicada en la página que abre el enlace y no localizar ningún documento relativo al CMT consideren que no se publica información. Por esta razón</w:t>
      </w:r>
      <w:r w:rsidR="00503BFE" w:rsidRPr="00AD7C9B">
        <w:rPr>
          <w:rFonts w:asciiTheme="minorHAnsi" w:hAnsiTheme="minorHAnsi" w:cstheme="minorHAnsi"/>
          <w:sz w:val="24"/>
          <w:szCs w:val="24"/>
        </w:rPr>
        <w:t xml:space="preserve"> se recomienda que se indique expresamente la inclusión de la información de planificación del CMT en la relativa a la Subsecretaría, </w:t>
      </w:r>
      <w:r w:rsidR="00AD7C9B">
        <w:rPr>
          <w:rFonts w:asciiTheme="minorHAnsi" w:hAnsiTheme="minorHAnsi" w:cstheme="minorHAnsi"/>
          <w:sz w:val="24"/>
          <w:szCs w:val="24"/>
        </w:rPr>
        <w:t>ya</w:t>
      </w:r>
      <w:r w:rsidR="00503BFE" w:rsidRPr="00AD7C9B">
        <w:rPr>
          <w:rFonts w:asciiTheme="minorHAnsi" w:hAnsiTheme="minorHAnsi" w:cstheme="minorHAnsi"/>
          <w:sz w:val="24"/>
          <w:szCs w:val="24"/>
        </w:rPr>
        <w:t xml:space="preserve"> que no es probable que los ciudadanos interesados dispongan de información que les permita intuir que esta información se localiza entre la relativa a la Subsecretaría. </w:t>
      </w:r>
      <w:r w:rsidR="000835E5" w:rsidRPr="00AD7C9B">
        <w:rPr>
          <w:rFonts w:asciiTheme="minorHAnsi" w:hAnsiTheme="minorHAnsi" w:cstheme="minorHAnsi"/>
          <w:sz w:val="24"/>
          <w:szCs w:val="24"/>
        </w:rPr>
        <w:t xml:space="preserve"> </w:t>
      </w:r>
      <w:r w:rsidR="00335B71" w:rsidRPr="00AD7C9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B25B7" w:rsidRPr="00AD7C9B" w:rsidRDefault="00CB25B7" w:rsidP="00CB25B7">
      <w:pPr>
        <w:pStyle w:val="Prrafodelista"/>
        <w:tabs>
          <w:tab w:val="left" w:pos="284"/>
        </w:tabs>
        <w:spacing w:before="120" w:after="120" w:line="312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</w:p>
    <w:p w:rsidR="00CB25B7" w:rsidRPr="00AD7C9B" w:rsidRDefault="00503BFE" w:rsidP="00CB25B7">
      <w:pPr>
        <w:pStyle w:val="Prrafodelista"/>
        <w:numPr>
          <w:ilvl w:val="0"/>
          <w:numId w:val="25"/>
        </w:numPr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D7C9B">
        <w:rPr>
          <w:rFonts w:asciiTheme="minorHAnsi" w:hAnsiTheme="minorHAnsi" w:cstheme="minorHAnsi"/>
          <w:sz w:val="24"/>
          <w:szCs w:val="24"/>
        </w:rPr>
        <w:t xml:space="preserve">Para diversas obligaciones – Modificaciones de contratos, subcontrataciones vinculadas a encomiendas de gestión, subvenciones y ayudas públicas, autorizaciones de compatibilidad de empleados públicos, etc. – se indica en el informe de observaciones que no se publica información porque no ha habido actividad en esos ámbitos. </w:t>
      </w:r>
      <w:r w:rsidR="00E335E6" w:rsidRPr="00AD7C9B">
        <w:rPr>
          <w:rFonts w:asciiTheme="minorHAnsi" w:hAnsiTheme="minorHAnsi" w:cstheme="minorHAnsi"/>
          <w:sz w:val="24"/>
          <w:szCs w:val="24"/>
        </w:rPr>
        <w:t xml:space="preserve"> </w:t>
      </w:r>
      <w:r w:rsidR="00CB25B7" w:rsidRPr="00AD7C9B">
        <w:rPr>
          <w:rFonts w:asciiTheme="minorHAnsi" w:hAnsiTheme="minorHAnsi" w:cstheme="minorHAnsi"/>
          <w:sz w:val="24"/>
          <w:szCs w:val="24"/>
        </w:rPr>
        <w:t xml:space="preserve">Este Consejo viene recomendando, </w:t>
      </w:r>
      <w:r w:rsidR="00D556CA">
        <w:rPr>
          <w:rFonts w:asciiTheme="minorHAnsi" w:hAnsiTheme="minorHAnsi" w:cstheme="minorHAnsi"/>
          <w:sz w:val="24"/>
          <w:szCs w:val="24"/>
        </w:rPr>
        <w:t xml:space="preserve">y así se indicó en el informe provisional de evaluación del CMT, que, </w:t>
      </w:r>
      <w:r w:rsidR="00CB25B7" w:rsidRPr="00AD7C9B">
        <w:rPr>
          <w:rFonts w:asciiTheme="minorHAnsi" w:hAnsiTheme="minorHAnsi" w:cstheme="minorHAnsi"/>
          <w:sz w:val="24"/>
          <w:szCs w:val="24"/>
        </w:rPr>
        <w:t>en el caso de que no sea posible la publicación de alguna de las informaciones vinculadas a los bloques de obligaciones de publicidad activa</w:t>
      </w:r>
      <w:r w:rsidR="00D556CA">
        <w:rPr>
          <w:rFonts w:asciiTheme="minorHAnsi" w:hAnsiTheme="minorHAnsi" w:cstheme="minorHAnsi"/>
          <w:sz w:val="24"/>
          <w:szCs w:val="24"/>
        </w:rPr>
        <w:t xml:space="preserve"> (</w:t>
      </w:r>
      <w:r w:rsidR="00CB25B7" w:rsidRPr="00AD7C9B">
        <w:rPr>
          <w:rFonts w:asciiTheme="minorHAnsi" w:hAnsiTheme="minorHAnsi" w:cstheme="minorHAnsi"/>
          <w:sz w:val="24"/>
          <w:szCs w:val="24"/>
        </w:rPr>
        <w:t>bien porque exista algún impedimento legal para su publicación o bien porque no haya habido actividad en el ámbito al que se refiere</w:t>
      </w:r>
      <w:r w:rsidR="00D556CA">
        <w:rPr>
          <w:rFonts w:asciiTheme="minorHAnsi" w:hAnsiTheme="minorHAnsi" w:cstheme="minorHAnsi"/>
          <w:sz w:val="24"/>
          <w:szCs w:val="24"/>
        </w:rPr>
        <w:t>)</w:t>
      </w:r>
      <w:r w:rsidR="00CB25B7" w:rsidRPr="00AD7C9B">
        <w:rPr>
          <w:rFonts w:asciiTheme="minorHAnsi" w:hAnsiTheme="minorHAnsi" w:cstheme="minorHAnsi"/>
          <w:sz w:val="24"/>
          <w:szCs w:val="24"/>
        </w:rPr>
        <w:t>,</w:t>
      </w:r>
      <w:r w:rsidR="00AD7C9B">
        <w:rPr>
          <w:rFonts w:asciiTheme="minorHAnsi" w:hAnsiTheme="minorHAnsi" w:cstheme="minorHAnsi"/>
          <w:sz w:val="24"/>
          <w:szCs w:val="24"/>
        </w:rPr>
        <w:t xml:space="preserve"> </w:t>
      </w:r>
      <w:r w:rsidR="00CB25B7" w:rsidRPr="00AD7C9B">
        <w:rPr>
          <w:rFonts w:asciiTheme="minorHAnsi" w:hAnsiTheme="minorHAnsi" w:cstheme="minorHAnsi"/>
          <w:sz w:val="24"/>
          <w:szCs w:val="24"/>
        </w:rPr>
        <w:t xml:space="preserve">debería hacerse constar expresamente esta circunstancia en el apartado correspondiente a la información obligatoria que no se publica. Sólo de </w:t>
      </w:r>
      <w:r w:rsidR="00CB25B7" w:rsidRPr="00AD7C9B">
        <w:rPr>
          <w:rFonts w:asciiTheme="minorHAnsi" w:hAnsiTheme="minorHAnsi" w:cstheme="minorHAnsi"/>
          <w:sz w:val="24"/>
          <w:szCs w:val="24"/>
        </w:rPr>
        <w:lastRenderedPageBreak/>
        <w:t xml:space="preserve">esta manera es posible distinguir si existe un incumplimiento de la obligación de publicar o si es que no se publica la información porque </w:t>
      </w:r>
      <w:r w:rsidR="00D556CA">
        <w:rPr>
          <w:rFonts w:asciiTheme="minorHAnsi" w:hAnsiTheme="minorHAnsi" w:cstheme="minorHAnsi"/>
          <w:sz w:val="24"/>
          <w:szCs w:val="24"/>
        </w:rPr>
        <w:t xml:space="preserve">realmente </w:t>
      </w:r>
      <w:r w:rsidR="00CB25B7" w:rsidRPr="00AD7C9B">
        <w:rPr>
          <w:rFonts w:asciiTheme="minorHAnsi" w:hAnsiTheme="minorHAnsi" w:cstheme="minorHAnsi"/>
          <w:sz w:val="24"/>
          <w:szCs w:val="24"/>
        </w:rPr>
        <w:t xml:space="preserve">no </w:t>
      </w:r>
      <w:r w:rsidR="00D556CA">
        <w:rPr>
          <w:rFonts w:asciiTheme="minorHAnsi" w:hAnsiTheme="minorHAnsi" w:cstheme="minorHAnsi"/>
          <w:sz w:val="24"/>
          <w:szCs w:val="24"/>
        </w:rPr>
        <w:t>existe</w:t>
      </w:r>
      <w:r w:rsidR="00CB25B7" w:rsidRPr="00AD7C9B">
        <w:rPr>
          <w:rFonts w:asciiTheme="minorHAnsi" w:hAnsiTheme="minorHAnsi" w:cstheme="minorHAnsi"/>
          <w:sz w:val="24"/>
          <w:szCs w:val="24"/>
        </w:rPr>
        <w:t xml:space="preserve"> información que publicar.</w:t>
      </w:r>
    </w:p>
    <w:p w:rsidR="00CB25B7" w:rsidRPr="00AD7C9B" w:rsidRDefault="00CB25B7" w:rsidP="00CB25B7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3E4D0E" w:rsidRPr="00AD7C9B" w:rsidRDefault="00CB25B7" w:rsidP="00CB25B7">
      <w:pPr>
        <w:pStyle w:val="Prrafodelista"/>
        <w:numPr>
          <w:ilvl w:val="0"/>
          <w:numId w:val="25"/>
        </w:numPr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D7C9B">
        <w:rPr>
          <w:rFonts w:asciiTheme="minorHAnsi" w:hAnsiTheme="minorHAnsi" w:cstheme="minorHAnsi"/>
          <w:sz w:val="24"/>
          <w:szCs w:val="24"/>
        </w:rPr>
        <w:t>Algo similar se da en relación con las obligaciones indemnizaciones percibidas por Altos Cargos</w:t>
      </w:r>
      <w:r w:rsidR="003E4D0E" w:rsidRPr="00AD7C9B">
        <w:rPr>
          <w:rFonts w:asciiTheme="minorHAnsi" w:hAnsiTheme="minorHAnsi" w:cstheme="minorHAnsi"/>
          <w:sz w:val="24"/>
          <w:szCs w:val="24"/>
        </w:rPr>
        <w:t xml:space="preserve"> y autorizaciones para el ejercicio de actividades privadas al cese de los mismos</w:t>
      </w:r>
      <w:r w:rsidRPr="00AD7C9B">
        <w:rPr>
          <w:rFonts w:asciiTheme="minorHAnsi" w:hAnsiTheme="minorHAnsi" w:cstheme="minorHAnsi"/>
          <w:sz w:val="24"/>
          <w:szCs w:val="24"/>
        </w:rPr>
        <w:t>, dado que en el Portal de Transparencia</w:t>
      </w:r>
      <w:r w:rsidR="00D556CA">
        <w:rPr>
          <w:rFonts w:asciiTheme="minorHAnsi" w:hAnsiTheme="minorHAnsi" w:cstheme="minorHAnsi"/>
          <w:sz w:val="24"/>
          <w:szCs w:val="24"/>
        </w:rPr>
        <w:t xml:space="preserve"> del CMT</w:t>
      </w:r>
      <w:r w:rsidRPr="00AD7C9B">
        <w:rPr>
          <w:rFonts w:asciiTheme="minorHAnsi" w:hAnsiTheme="minorHAnsi" w:cstheme="minorHAnsi"/>
          <w:sz w:val="24"/>
          <w:szCs w:val="24"/>
        </w:rPr>
        <w:t xml:space="preserve">, no se informa expresamente de que el organismo carece de Altos Cargos. </w:t>
      </w:r>
    </w:p>
    <w:p w:rsidR="003E4D0E" w:rsidRPr="00AD7C9B" w:rsidRDefault="003E4D0E" w:rsidP="003E4D0E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CB25B7" w:rsidRPr="00AD7C9B" w:rsidRDefault="00CB25B7" w:rsidP="00CB25B7">
      <w:pPr>
        <w:pStyle w:val="Prrafodelista"/>
        <w:numPr>
          <w:ilvl w:val="0"/>
          <w:numId w:val="25"/>
        </w:numPr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D7C9B">
        <w:rPr>
          <w:rFonts w:asciiTheme="minorHAnsi" w:hAnsiTheme="minorHAnsi" w:cstheme="minorHAnsi"/>
          <w:sz w:val="24"/>
          <w:szCs w:val="24"/>
        </w:rPr>
        <w:t>En el caso concreto de las retribuciones, este Consejo recuerda que el artículo 8 f) de la LTAIBG no limita la obligación a los Altos Cargos</w:t>
      </w:r>
      <w:r w:rsidR="00D556CA">
        <w:rPr>
          <w:rFonts w:asciiTheme="minorHAnsi" w:hAnsiTheme="minorHAnsi" w:cstheme="minorHAnsi"/>
          <w:sz w:val="24"/>
          <w:szCs w:val="24"/>
        </w:rPr>
        <w:t>,</w:t>
      </w:r>
      <w:r w:rsidRPr="00AD7C9B">
        <w:rPr>
          <w:rFonts w:asciiTheme="minorHAnsi" w:hAnsiTheme="minorHAnsi" w:cstheme="minorHAnsi"/>
          <w:sz w:val="24"/>
          <w:szCs w:val="24"/>
        </w:rPr>
        <w:t xml:space="preserve"> sino que la extiende a los máximos responsables de la entidad. Desde este Consejo</w:t>
      </w:r>
      <w:r w:rsidR="00AD7C9B">
        <w:rPr>
          <w:rFonts w:asciiTheme="minorHAnsi" w:hAnsiTheme="minorHAnsi" w:cstheme="minorHAnsi"/>
          <w:sz w:val="24"/>
          <w:szCs w:val="24"/>
        </w:rPr>
        <w:t>,</w:t>
      </w:r>
      <w:r w:rsidRPr="00AD7C9B">
        <w:rPr>
          <w:rFonts w:asciiTheme="minorHAnsi" w:hAnsiTheme="minorHAnsi" w:cstheme="minorHAnsi"/>
          <w:sz w:val="24"/>
          <w:szCs w:val="24"/>
        </w:rPr>
        <w:t xml:space="preserve"> se ha venido interpretando que el concepto de máximo responsable engloba a todas aquellas personas que participan en el proceso de toma de decisiones que afectan al ejercicio de las funciones y competencias de la organización. Por lo tanto, no se limita exclusivamente a aquellos cargos designados por Consejo de Ministro o vinculados mediante contratos de Alta Dirección o que encajen en los supuestos que el Real Decreto 451/2012, por el que se regula el régimen retributivo de los máximos responsables y directivos en el sector público y otras entidades, incluye bajo el concepto de máximo responsable o directivo. </w:t>
      </w:r>
    </w:p>
    <w:p w:rsidR="003E4D0E" w:rsidRPr="00AD7C9B" w:rsidRDefault="003E4D0E" w:rsidP="003E4D0E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3E4D0E" w:rsidRPr="00AD7C9B" w:rsidRDefault="003E4D0E" w:rsidP="003E4D0E">
      <w:pPr>
        <w:pStyle w:val="Prrafodelista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D7C9B">
        <w:rPr>
          <w:rFonts w:asciiTheme="minorHAnsi" w:hAnsiTheme="minorHAnsi" w:cstheme="minorHAnsi"/>
          <w:sz w:val="24"/>
          <w:szCs w:val="24"/>
        </w:rPr>
        <w:t xml:space="preserve">Por otra parte, la información se publica mediante enlace al Portal de Transparencia de la AGE. </w:t>
      </w:r>
      <w:r w:rsidR="00AD7C9B" w:rsidRPr="00AD7C9B">
        <w:rPr>
          <w:rFonts w:asciiTheme="minorHAnsi" w:hAnsiTheme="minorHAnsi" w:cstheme="minorHAnsi"/>
          <w:sz w:val="24"/>
          <w:szCs w:val="24"/>
        </w:rPr>
        <w:t>El criterio que viene manteniendo este Consejo, es que el Portal de Transparencia publique exclusivamente la información relativa a los Ministerios y servicios comunes, Delegaciones y Subdelegaciones del Gobierno y Administración General del Estado en el Exterior, tal y como delimita su estructura el artículo 55.2 de la Ley 40/2015. Por lo tanto, la información correspondiente a los organismos vinculados o dependientes debe publicarse en sus web institucionales, en aplicación del artículo 5.4 de la LTAIBG.</w:t>
      </w:r>
    </w:p>
    <w:p w:rsidR="001C6094" w:rsidRPr="00AD7C9B" w:rsidRDefault="001C6094" w:rsidP="00AD7C9B">
      <w:pPr>
        <w:pStyle w:val="Prrafodelista"/>
        <w:tabs>
          <w:tab w:val="left" w:pos="284"/>
        </w:tabs>
        <w:spacing w:before="120" w:after="120" w:line="312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</w:p>
    <w:p w:rsidR="00E335E6" w:rsidRPr="00AD7C9B" w:rsidRDefault="00AD7C9B" w:rsidP="00CB25B7">
      <w:pPr>
        <w:pStyle w:val="Prrafodelista"/>
        <w:numPr>
          <w:ilvl w:val="0"/>
          <w:numId w:val="25"/>
        </w:numPr>
        <w:tabs>
          <w:tab w:val="left" w:pos="284"/>
        </w:tabs>
        <w:spacing w:before="120" w:after="120"/>
        <w:ind w:left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Finalmente, en relación con las informaciones voluntarias que se señalan en el informe de observaciones, no se han incluido en el apartado transparencia voluntaria ya que se vinculan directa</w:t>
      </w:r>
      <w:r w:rsidR="00D556CA">
        <w:rPr>
          <w:rFonts w:asciiTheme="minorHAnsi" w:hAnsiTheme="minorHAnsi" w:cstheme="minorHAnsi"/>
          <w:sz w:val="24"/>
          <w:szCs w:val="24"/>
        </w:rPr>
        <w:t>mente</w:t>
      </w:r>
      <w:r>
        <w:rPr>
          <w:rFonts w:asciiTheme="minorHAnsi" w:hAnsiTheme="minorHAnsi" w:cstheme="minorHAnsi"/>
          <w:sz w:val="24"/>
          <w:szCs w:val="24"/>
        </w:rPr>
        <w:t xml:space="preserve"> al contenido material de la obligación información estadística sobre cumplimiento y calidad de los servicios (artículo 8 i) LTAIBG)</w:t>
      </w:r>
      <w:r w:rsidR="005760EF">
        <w:rPr>
          <w:rFonts w:asciiTheme="minorHAnsi" w:hAnsiTheme="minorHAnsi" w:cstheme="minorHAnsi"/>
          <w:sz w:val="24"/>
          <w:szCs w:val="24"/>
        </w:rPr>
        <w:t>. Es la información sobre la que se ha valorado el cumplimiento de esta obligación.</w:t>
      </w:r>
    </w:p>
    <w:p w:rsidR="005760EF" w:rsidRDefault="005760EF" w:rsidP="00D02D43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5760EF" w:rsidRDefault="005760EF" w:rsidP="00D02D43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5760EF" w:rsidRDefault="005760EF" w:rsidP="00D02D43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0B65C9" w:rsidRPr="00AD7C9B" w:rsidRDefault="00D02D43" w:rsidP="00D02D43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AD7C9B">
        <w:rPr>
          <w:rFonts w:asciiTheme="minorHAnsi" w:hAnsiTheme="minorHAnsi" w:cstheme="minorHAnsi"/>
          <w:szCs w:val="24"/>
        </w:rPr>
        <w:t xml:space="preserve">Este Consejo valora muy positivamente </w:t>
      </w:r>
      <w:r w:rsidR="005760EF">
        <w:rPr>
          <w:rFonts w:asciiTheme="minorHAnsi" w:hAnsiTheme="minorHAnsi" w:cstheme="minorHAnsi"/>
          <w:szCs w:val="24"/>
        </w:rPr>
        <w:t xml:space="preserve">la </w:t>
      </w:r>
      <w:proofErr w:type="spellStart"/>
      <w:r w:rsidR="005760EF">
        <w:rPr>
          <w:rFonts w:asciiTheme="minorHAnsi" w:hAnsiTheme="minorHAnsi" w:cstheme="minorHAnsi"/>
          <w:szCs w:val="24"/>
        </w:rPr>
        <w:t>proactividad</w:t>
      </w:r>
      <w:proofErr w:type="spellEnd"/>
      <w:r w:rsidR="005760EF">
        <w:rPr>
          <w:rFonts w:asciiTheme="minorHAnsi" w:hAnsiTheme="minorHAnsi" w:cstheme="minorHAnsi"/>
          <w:szCs w:val="24"/>
        </w:rPr>
        <w:t xml:space="preserve"> del CMT, que ha aplicado una de las recomendaciones durante el periodo de observaciones, y confía en que la aplicación de las restantes, contribuya</w:t>
      </w:r>
      <w:r w:rsidR="00BF1C05" w:rsidRPr="00AD7C9B">
        <w:rPr>
          <w:rFonts w:asciiTheme="minorHAnsi" w:hAnsiTheme="minorHAnsi" w:cstheme="minorHAnsi"/>
          <w:szCs w:val="24"/>
        </w:rPr>
        <w:t xml:space="preserve"> a una importante mejora en el Índice de Cumplimiento</w:t>
      </w:r>
      <w:r w:rsidR="008F530C" w:rsidRPr="00AD7C9B">
        <w:rPr>
          <w:rFonts w:asciiTheme="minorHAnsi" w:hAnsiTheme="minorHAnsi" w:cstheme="minorHAnsi"/>
          <w:szCs w:val="24"/>
        </w:rPr>
        <w:t xml:space="preserve"> en 2023</w:t>
      </w:r>
      <w:r w:rsidRPr="00AD7C9B">
        <w:rPr>
          <w:rFonts w:asciiTheme="minorHAnsi" w:hAnsiTheme="minorHAnsi" w:cstheme="minorHAnsi"/>
          <w:szCs w:val="24"/>
        </w:rPr>
        <w:t xml:space="preserve">. </w:t>
      </w:r>
    </w:p>
    <w:p w:rsidR="0045134F" w:rsidRPr="00194E05" w:rsidRDefault="0045134F" w:rsidP="00194E0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bookmarkStart w:id="0" w:name="_GoBack"/>
      <w:bookmarkEnd w:id="0"/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5760EF">
        <w:rPr>
          <w:rFonts w:asciiTheme="minorHAnsi" w:hAnsiTheme="minorHAnsi" w:cstheme="minorHAnsi"/>
          <w:szCs w:val="24"/>
        </w:rPr>
        <w:t>agosto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C221CA">
        <w:rPr>
          <w:rFonts w:asciiTheme="minorHAnsi" w:hAnsiTheme="minorHAnsi" w:cstheme="minorHAnsi"/>
          <w:szCs w:val="24"/>
        </w:rPr>
        <w:t>2</w:t>
      </w:r>
    </w:p>
    <w:sectPr w:rsidR="006F17B5" w:rsidRPr="002C000A" w:rsidSect="009E16B5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9B" w:rsidRDefault="00AD7C9B" w:rsidP="00344FE7">
      <w:pPr>
        <w:spacing w:after="0" w:line="240" w:lineRule="auto"/>
      </w:pPr>
      <w:r>
        <w:separator/>
      </w:r>
    </w:p>
  </w:endnote>
  <w:endnote w:type="continuationSeparator" w:id="0">
    <w:p w:rsidR="00AD7C9B" w:rsidRDefault="00AD7C9B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D7C9B" w:rsidRPr="00C23F36" w:rsidRDefault="00AD7C9B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D556CA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9B" w:rsidRDefault="00AD7C9B" w:rsidP="00344FE7">
      <w:pPr>
        <w:spacing w:after="0" w:line="240" w:lineRule="auto"/>
      </w:pPr>
      <w:r>
        <w:separator/>
      </w:r>
    </w:p>
  </w:footnote>
  <w:footnote w:type="continuationSeparator" w:id="0">
    <w:p w:rsidR="00AD7C9B" w:rsidRDefault="00AD7C9B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9B" w:rsidRDefault="00AD7C9B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7C9B" w:rsidRDefault="00AD7C9B">
    <w:pPr>
      <w:pStyle w:val="Encabezado"/>
    </w:pPr>
  </w:p>
  <w:p w:rsidR="00AD7C9B" w:rsidRDefault="00AD7C9B" w:rsidP="00344FE7">
    <w:pPr>
      <w:pStyle w:val="Encabezado"/>
    </w:pPr>
  </w:p>
  <w:p w:rsidR="00AD7C9B" w:rsidRDefault="00AD7C9B" w:rsidP="00344FE7">
    <w:pPr>
      <w:pStyle w:val="Encabezado"/>
    </w:pPr>
  </w:p>
  <w:p w:rsidR="00AD7C9B" w:rsidRDefault="00AD7C9B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9B" w:rsidRDefault="00AD7C9B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29_"/>
      </v:shape>
    </w:pict>
  </w:numPicBullet>
  <w:numPicBullet w:numPicBulletId="1">
    <w:pict>
      <v:shape id="_x0000_i1027" type="#_x0000_t75" style="width:9pt;height:9pt" o:bullet="t">
        <v:imagedata r:id="rId2" o:title="BD14533_"/>
      </v:shape>
    </w:pict>
  </w:numPicBullet>
  <w:numPicBullet w:numPicBulletId="2">
    <w:pict>
      <v:shape id="_x0000_i1028" type="#_x0000_t75" style="width:11.25pt;height:11.25pt" o:bullet="t">
        <v:imagedata r:id="rId3" o:title="BD14654_"/>
      </v:shape>
    </w:pict>
  </w:numPicBullet>
  <w:abstractNum w:abstractNumId="0">
    <w:nsid w:val="00E037BA"/>
    <w:multiLevelType w:val="hybridMultilevel"/>
    <w:tmpl w:val="55E21E34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470B2"/>
    <w:multiLevelType w:val="hybridMultilevel"/>
    <w:tmpl w:val="D3B44758"/>
    <w:lvl w:ilvl="0" w:tplc="7EAAE42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6327F"/>
    <w:multiLevelType w:val="hybridMultilevel"/>
    <w:tmpl w:val="E496137C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35C74"/>
    <w:multiLevelType w:val="hybridMultilevel"/>
    <w:tmpl w:val="3392D456"/>
    <w:lvl w:ilvl="0" w:tplc="D74E48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C5B86"/>
    <w:multiLevelType w:val="hybridMultilevel"/>
    <w:tmpl w:val="EA020FC6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14A4CA9"/>
    <w:multiLevelType w:val="hybridMultilevel"/>
    <w:tmpl w:val="D4A41BB2"/>
    <w:lvl w:ilvl="0" w:tplc="B7C2270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29247EBB"/>
    <w:multiLevelType w:val="hybridMultilevel"/>
    <w:tmpl w:val="966ADC70"/>
    <w:lvl w:ilvl="0" w:tplc="3A74F2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35655"/>
    <w:multiLevelType w:val="hybridMultilevel"/>
    <w:tmpl w:val="6ABAFFF4"/>
    <w:lvl w:ilvl="0" w:tplc="6BF4C8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F5068"/>
    <w:multiLevelType w:val="hybridMultilevel"/>
    <w:tmpl w:val="D31EC764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683E78"/>
    <w:multiLevelType w:val="hybridMultilevel"/>
    <w:tmpl w:val="F190B0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E4333"/>
    <w:multiLevelType w:val="hybridMultilevel"/>
    <w:tmpl w:val="185265F8"/>
    <w:lvl w:ilvl="0" w:tplc="3E268E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229C1"/>
    <w:multiLevelType w:val="hybridMultilevel"/>
    <w:tmpl w:val="AA564622"/>
    <w:lvl w:ilvl="0" w:tplc="FA7C346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>
    <w:nsid w:val="704C53C2"/>
    <w:multiLevelType w:val="hybridMultilevel"/>
    <w:tmpl w:val="DC74DEB6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561641"/>
    <w:multiLevelType w:val="hybridMultilevel"/>
    <w:tmpl w:val="D6AAB0C6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1"/>
  </w:num>
  <w:num w:numId="11">
    <w:abstractNumId w:val="23"/>
  </w:num>
  <w:num w:numId="12">
    <w:abstractNumId w:val="10"/>
  </w:num>
  <w:num w:numId="13">
    <w:abstractNumId w:val="3"/>
  </w:num>
  <w:num w:numId="14">
    <w:abstractNumId w:val="13"/>
  </w:num>
  <w:num w:numId="15">
    <w:abstractNumId w:val="11"/>
  </w:num>
  <w:num w:numId="16">
    <w:abstractNumId w:val="0"/>
  </w:num>
  <w:num w:numId="17">
    <w:abstractNumId w:val="7"/>
  </w:num>
  <w:num w:numId="18">
    <w:abstractNumId w:val="22"/>
  </w:num>
  <w:num w:numId="19">
    <w:abstractNumId w:val="9"/>
  </w:num>
  <w:num w:numId="20">
    <w:abstractNumId w:val="18"/>
  </w:num>
  <w:num w:numId="21">
    <w:abstractNumId w:val="19"/>
  </w:num>
  <w:num w:numId="22">
    <w:abstractNumId w:val="16"/>
  </w:num>
  <w:num w:numId="23">
    <w:abstractNumId w:val="14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0FDE"/>
    <w:rsid w:val="00014882"/>
    <w:rsid w:val="000234B9"/>
    <w:rsid w:val="000324D2"/>
    <w:rsid w:val="00033E75"/>
    <w:rsid w:val="00036A5D"/>
    <w:rsid w:val="00061517"/>
    <w:rsid w:val="00074030"/>
    <w:rsid w:val="000835E5"/>
    <w:rsid w:val="000B65C9"/>
    <w:rsid w:val="000E3C52"/>
    <w:rsid w:val="001257F9"/>
    <w:rsid w:val="001400B8"/>
    <w:rsid w:val="0014196C"/>
    <w:rsid w:val="001620F0"/>
    <w:rsid w:val="001750A8"/>
    <w:rsid w:val="00175D6C"/>
    <w:rsid w:val="0018324C"/>
    <w:rsid w:val="00194E05"/>
    <w:rsid w:val="001B02FE"/>
    <w:rsid w:val="001B16D9"/>
    <w:rsid w:val="001C6094"/>
    <w:rsid w:val="001E44BC"/>
    <w:rsid w:val="00203C9C"/>
    <w:rsid w:val="00211286"/>
    <w:rsid w:val="00226CA0"/>
    <w:rsid w:val="00235A40"/>
    <w:rsid w:val="00241629"/>
    <w:rsid w:val="00251194"/>
    <w:rsid w:val="00292806"/>
    <w:rsid w:val="00294A05"/>
    <w:rsid w:val="002A4771"/>
    <w:rsid w:val="002C000A"/>
    <w:rsid w:val="002D352D"/>
    <w:rsid w:val="002F2730"/>
    <w:rsid w:val="002F5D0B"/>
    <w:rsid w:val="003259B9"/>
    <w:rsid w:val="003351CE"/>
    <w:rsid w:val="00335B71"/>
    <w:rsid w:val="00344FE7"/>
    <w:rsid w:val="00351475"/>
    <w:rsid w:val="00364215"/>
    <w:rsid w:val="003656B1"/>
    <w:rsid w:val="003B5DE7"/>
    <w:rsid w:val="003D01AF"/>
    <w:rsid w:val="003D03E9"/>
    <w:rsid w:val="003D0DAF"/>
    <w:rsid w:val="003D55F5"/>
    <w:rsid w:val="003E4D0E"/>
    <w:rsid w:val="003F0972"/>
    <w:rsid w:val="003F38BD"/>
    <w:rsid w:val="004108BB"/>
    <w:rsid w:val="004208AE"/>
    <w:rsid w:val="00434AE3"/>
    <w:rsid w:val="0045134F"/>
    <w:rsid w:val="004B15B8"/>
    <w:rsid w:val="004D4EF1"/>
    <w:rsid w:val="004E4EE3"/>
    <w:rsid w:val="00503BFE"/>
    <w:rsid w:val="00504CED"/>
    <w:rsid w:val="00532B7B"/>
    <w:rsid w:val="005333F9"/>
    <w:rsid w:val="005760EF"/>
    <w:rsid w:val="005767F7"/>
    <w:rsid w:val="005B1C12"/>
    <w:rsid w:val="005E3D42"/>
    <w:rsid w:val="00605DEA"/>
    <w:rsid w:val="00614890"/>
    <w:rsid w:val="00632FE5"/>
    <w:rsid w:val="00681FC9"/>
    <w:rsid w:val="006879DC"/>
    <w:rsid w:val="006C0214"/>
    <w:rsid w:val="006F17B5"/>
    <w:rsid w:val="006F5890"/>
    <w:rsid w:val="0071472F"/>
    <w:rsid w:val="007342F2"/>
    <w:rsid w:val="007448C3"/>
    <w:rsid w:val="007467AA"/>
    <w:rsid w:val="007615EB"/>
    <w:rsid w:val="00777715"/>
    <w:rsid w:val="007A662D"/>
    <w:rsid w:val="007B024C"/>
    <w:rsid w:val="007B2862"/>
    <w:rsid w:val="007C00E5"/>
    <w:rsid w:val="007C0642"/>
    <w:rsid w:val="007C1C6F"/>
    <w:rsid w:val="007D24E2"/>
    <w:rsid w:val="007F316E"/>
    <w:rsid w:val="00815DA2"/>
    <w:rsid w:val="00855ECA"/>
    <w:rsid w:val="008649E1"/>
    <w:rsid w:val="008842FD"/>
    <w:rsid w:val="00890E84"/>
    <w:rsid w:val="0089717A"/>
    <w:rsid w:val="008B79BD"/>
    <w:rsid w:val="008F530C"/>
    <w:rsid w:val="00901F1F"/>
    <w:rsid w:val="009029E0"/>
    <w:rsid w:val="00904540"/>
    <w:rsid w:val="009557B1"/>
    <w:rsid w:val="00962C57"/>
    <w:rsid w:val="00971064"/>
    <w:rsid w:val="00972287"/>
    <w:rsid w:val="00977FBE"/>
    <w:rsid w:val="00984F01"/>
    <w:rsid w:val="009B753B"/>
    <w:rsid w:val="009B7ADA"/>
    <w:rsid w:val="009C2E55"/>
    <w:rsid w:val="009D0833"/>
    <w:rsid w:val="009D2560"/>
    <w:rsid w:val="009D6677"/>
    <w:rsid w:val="009E16B5"/>
    <w:rsid w:val="009E30AA"/>
    <w:rsid w:val="009E35FF"/>
    <w:rsid w:val="00A20C7C"/>
    <w:rsid w:val="00A24192"/>
    <w:rsid w:val="00A26523"/>
    <w:rsid w:val="00A603C7"/>
    <w:rsid w:val="00A62936"/>
    <w:rsid w:val="00A64C2F"/>
    <w:rsid w:val="00A802F7"/>
    <w:rsid w:val="00AD7C9B"/>
    <w:rsid w:val="00AE5BF4"/>
    <w:rsid w:val="00AF21FA"/>
    <w:rsid w:val="00AF4D45"/>
    <w:rsid w:val="00AF5C68"/>
    <w:rsid w:val="00B2797F"/>
    <w:rsid w:val="00B31F84"/>
    <w:rsid w:val="00B35A53"/>
    <w:rsid w:val="00B75881"/>
    <w:rsid w:val="00B81EE6"/>
    <w:rsid w:val="00B90614"/>
    <w:rsid w:val="00BC2EA8"/>
    <w:rsid w:val="00BC7A82"/>
    <w:rsid w:val="00BF1C05"/>
    <w:rsid w:val="00C01613"/>
    <w:rsid w:val="00C0201F"/>
    <w:rsid w:val="00C04BFE"/>
    <w:rsid w:val="00C05003"/>
    <w:rsid w:val="00C119CE"/>
    <w:rsid w:val="00C221CA"/>
    <w:rsid w:val="00C23F36"/>
    <w:rsid w:val="00C305B6"/>
    <w:rsid w:val="00C3135F"/>
    <w:rsid w:val="00C46DED"/>
    <w:rsid w:val="00C736B9"/>
    <w:rsid w:val="00C74DA9"/>
    <w:rsid w:val="00C82AB2"/>
    <w:rsid w:val="00C87BC3"/>
    <w:rsid w:val="00C94C61"/>
    <w:rsid w:val="00CB25B7"/>
    <w:rsid w:val="00CD5A20"/>
    <w:rsid w:val="00CF0704"/>
    <w:rsid w:val="00CF150D"/>
    <w:rsid w:val="00D02D43"/>
    <w:rsid w:val="00D23111"/>
    <w:rsid w:val="00D239A9"/>
    <w:rsid w:val="00D445A4"/>
    <w:rsid w:val="00D44E9D"/>
    <w:rsid w:val="00D556CA"/>
    <w:rsid w:val="00D72EF9"/>
    <w:rsid w:val="00D8764A"/>
    <w:rsid w:val="00DB21EC"/>
    <w:rsid w:val="00DB2CB4"/>
    <w:rsid w:val="00DB2CCC"/>
    <w:rsid w:val="00DC2C93"/>
    <w:rsid w:val="00DD07B5"/>
    <w:rsid w:val="00DF5982"/>
    <w:rsid w:val="00DF6D1C"/>
    <w:rsid w:val="00E03C82"/>
    <w:rsid w:val="00E335E6"/>
    <w:rsid w:val="00E35741"/>
    <w:rsid w:val="00E4386D"/>
    <w:rsid w:val="00E43D90"/>
    <w:rsid w:val="00E5135F"/>
    <w:rsid w:val="00E64F85"/>
    <w:rsid w:val="00E90B21"/>
    <w:rsid w:val="00EB7058"/>
    <w:rsid w:val="00EC3AAE"/>
    <w:rsid w:val="00ED6FD3"/>
    <w:rsid w:val="00EF08AB"/>
    <w:rsid w:val="00EF5F68"/>
    <w:rsid w:val="00F17B00"/>
    <w:rsid w:val="00F5121D"/>
    <w:rsid w:val="00F53B0D"/>
    <w:rsid w:val="00F777C2"/>
    <w:rsid w:val="00F82E72"/>
    <w:rsid w:val="00FC767A"/>
    <w:rsid w:val="00FD4B61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08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08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D9E8-BBD1-41D4-BDF9-8ECA3FBA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792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5</cp:revision>
  <cp:lastPrinted>2015-01-27T17:42:00Z</cp:lastPrinted>
  <dcterms:created xsi:type="dcterms:W3CDTF">2022-08-24T11:22:00Z</dcterms:created>
  <dcterms:modified xsi:type="dcterms:W3CDTF">2022-08-25T07:39:00Z</dcterms:modified>
</cp:coreProperties>
</file>