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524F6E">
        <w:rPr>
          <w:color w:val="6BA999"/>
        </w:rPr>
        <w:t>LA FUNDACIÓN VALENCIAPORT</w:t>
      </w:r>
      <w:r w:rsidR="00463066">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00F47C71">
        <w:rPr>
          <w:rFonts w:asciiTheme="minorHAnsi" w:hAnsiTheme="minorHAnsi" w:cstheme="minorHAnsi"/>
          <w:szCs w:val="24"/>
        </w:rPr>
        <w:t>observaciones</w:t>
      </w:r>
      <w:r w:rsidR="002F5847">
        <w:rPr>
          <w:rFonts w:asciiTheme="minorHAnsi" w:hAnsiTheme="minorHAnsi" w:cstheme="minorHAnsi"/>
          <w:szCs w:val="24"/>
        </w:rPr>
        <w:t xml:space="preserve"> de fecha </w:t>
      </w:r>
      <w:r w:rsidR="00524F6E">
        <w:rPr>
          <w:rFonts w:asciiTheme="minorHAnsi" w:hAnsiTheme="minorHAnsi" w:cstheme="minorHAnsi"/>
          <w:szCs w:val="24"/>
        </w:rPr>
        <w:t>30</w:t>
      </w:r>
      <w:r w:rsidR="002F5847">
        <w:rPr>
          <w:rFonts w:asciiTheme="minorHAnsi" w:hAnsiTheme="minorHAnsi" w:cstheme="minorHAnsi"/>
          <w:szCs w:val="24"/>
        </w:rPr>
        <w:t xml:space="preserve"> de </w:t>
      </w:r>
      <w:r w:rsidR="00524F6E">
        <w:rPr>
          <w:rFonts w:asciiTheme="minorHAnsi" w:hAnsiTheme="minorHAnsi" w:cstheme="minorHAnsi"/>
          <w:szCs w:val="24"/>
        </w:rPr>
        <w:t>junio</w:t>
      </w:r>
      <w:r w:rsidR="002F5847">
        <w:rPr>
          <w:rFonts w:asciiTheme="minorHAnsi" w:hAnsiTheme="minorHAnsi" w:cstheme="minorHAnsi"/>
          <w:szCs w:val="24"/>
        </w:rPr>
        <w:t xml:space="preserve"> de 2022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84300F" w:rsidRDefault="00F752CB" w:rsidP="004B27A2">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w:t>
      </w:r>
      <w:proofErr w:type="spellStart"/>
      <w:r>
        <w:rPr>
          <w:rFonts w:asciiTheme="minorHAnsi" w:hAnsiTheme="minorHAnsi" w:cstheme="minorHAnsi"/>
          <w:szCs w:val="24"/>
        </w:rPr>
        <w:t>Valenciaport</w:t>
      </w:r>
      <w:proofErr w:type="spellEnd"/>
      <w:r>
        <w:rPr>
          <w:rFonts w:asciiTheme="minorHAnsi" w:hAnsiTheme="minorHAnsi" w:cstheme="minorHAnsi"/>
          <w:szCs w:val="24"/>
        </w:rPr>
        <w:t>, que tal como se comunicó a este Consejo en 2021, la entidad es una Fundación privada</w:t>
      </w:r>
      <w:r w:rsidR="0084300F">
        <w:rPr>
          <w:rFonts w:asciiTheme="minorHAnsi" w:hAnsiTheme="minorHAnsi" w:cstheme="minorHAnsi"/>
          <w:szCs w:val="24"/>
        </w:rPr>
        <w:t>,</w:t>
      </w:r>
      <w:r>
        <w:rPr>
          <w:rFonts w:asciiTheme="minorHAnsi" w:hAnsiTheme="minorHAnsi" w:cstheme="minorHAnsi"/>
          <w:szCs w:val="24"/>
        </w:rPr>
        <w:t xml:space="preserve"> </w:t>
      </w:r>
      <w:r w:rsidR="0084300F">
        <w:rPr>
          <w:rFonts w:asciiTheme="minorHAnsi" w:hAnsiTheme="minorHAnsi" w:cstheme="minorHAnsi"/>
          <w:szCs w:val="24"/>
        </w:rPr>
        <w:t xml:space="preserve"> que de manera errónea fue registrada en el INVENTE, razón por la que, aportando las correspondientes alegaciones, ha solicitado su baja en el Inventario, estando el expediente de baja en tramitación. El hecho es que dicha baja todavía no se ha producido y que, a fecha 15 de julio de 2022, la entidad continúa dada de alta en el INVENTE. Por esta razón, desde este Consejo sigue considerándose que </w:t>
      </w:r>
      <w:proofErr w:type="spellStart"/>
      <w:r w:rsidR="0084300F">
        <w:rPr>
          <w:rFonts w:asciiTheme="minorHAnsi" w:hAnsiTheme="minorHAnsi" w:cstheme="minorHAnsi"/>
          <w:szCs w:val="24"/>
        </w:rPr>
        <w:t>Valenciaport</w:t>
      </w:r>
      <w:proofErr w:type="spellEnd"/>
      <w:r w:rsidR="0084300F">
        <w:rPr>
          <w:rFonts w:asciiTheme="minorHAnsi" w:hAnsiTheme="minorHAnsi" w:cstheme="minorHAnsi"/>
          <w:szCs w:val="24"/>
        </w:rPr>
        <w:t xml:space="preserve"> es una Fundación Pública a la que son de aplicación todas las obligaciones de publicidad activa, aplicables a las restantes fundaciones públicas.</w:t>
      </w:r>
    </w:p>
    <w:p w:rsidR="002F2906" w:rsidRDefault="002F2906" w:rsidP="002F2906">
      <w:pPr>
        <w:pStyle w:val="Prrafodelista"/>
        <w:tabs>
          <w:tab w:val="left" w:pos="284"/>
        </w:tabs>
        <w:spacing w:before="120" w:after="120" w:line="312" w:lineRule="auto"/>
        <w:jc w:val="both"/>
        <w:rPr>
          <w:rFonts w:asciiTheme="minorHAnsi" w:hAnsiTheme="minorHAnsi" w:cstheme="minorHAnsi"/>
          <w:szCs w:val="24"/>
        </w:rPr>
      </w:pPr>
    </w:p>
    <w:p w:rsidR="00264C32" w:rsidRDefault="0084300F" w:rsidP="004B27A2">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También indica en su escrito </w:t>
      </w:r>
      <w:proofErr w:type="spellStart"/>
      <w:r>
        <w:rPr>
          <w:rFonts w:asciiTheme="minorHAnsi" w:hAnsiTheme="minorHAnsi" w:cstheme="minorHAnsi"/>
          <w:szCs w:val="24"/>
        </w:rPr>
        <w:t>Valenciaport</w:t>
      </w:r>
      <w:proofErr w:type="spellEnd"/>
      <w:r>
        <w:rPr>
          <w:rFonts w:asciiTheme="minorHAnsi" w:hAnsiTheme="minorHAnsi" w:cstheme="minorHAnsi"/>
          <w:szCs w:val="24"/>
        </w:rPr>
        <w:t>, que, desde el punto de vista subjetivo, debe considerarse una entidad de las contempladas en el artículo 3 de la LTAIBG</w:t>
      </w:r>
      <w:r w:rsidR="00456259">
        <w:rPr>
          <w:rFonts w:asciiTheme="minorHAnsi" w:hAnsiTheme="minorHAnsi" w:cstheme="minorHAnsi"/>
          <w:szCs w:val="24"/>
        </w:rPr>
        <w:t>,</w:t>
      </w:r>
      <w:r>
        <w:rPr>
          <w:rFonts w:asciiTheme="minorHAnsi" w:hAnsiTheme="minorHAnsi" w:cstheme="minorHAnsi"/>
          <w:szCs w:val="24"/>
        </w:rPr>
        <w:t xml:space="preserve"> por su condición de perceptora de subvenciones y ayudas públicas.</w:t>
      </w:r>
      <w:r w:rsidR="00FA256E">
        <w:rPr>
          <w:rFonts w:asciiTheme="minorHAnsi" w:hAnsiTheme="minorHAnsi" w:cstheme="minorHAnsi"/>
          <w:szCs w:val="24"/>
        </w:rPr>
        <w:t xml:space="preserve"> Sin embargo, el resultado de la evaluación hubiese sido prácticamente el mismo, dado que la Fundación no publica ninguna de las informaciones obligatorias del bloque Información Económica y Presupuestaria</w:t>
      </w:r>
      <w:r w:rsidR="002F2906">
        <w:rPr>
          <w:rFonts w:asciiTheme="minorHAnsi" w:hAnsiTheme="minorHAnsi" w:cstheme="minorHAnsi"/>
          <w:szCs w:val="24"/>
        </w:rPr>
        <w:t>, que es el bloque en el que se producen más diferencias entre las obligaciones aplicables a las fundaciones públicas y las aplicables a las entidades privadas</w:t>
      </w:r>
      <w:r w:rsidR="00FA256E">
        <w:rPr>
          <w:rFonts w:asciiTheme="minorHAnsi" w:hAnsiTheme="minorHAnsi" w:cstheme="minorHAnsi"/>
          <w:szCs w:val="24"/>
        </w:rPr>
        <w:t>.</w:t>
      </w:r>
    </w:p>
    <w:p w:rsidR="00AB3BFC" w:rsidRPr="00AB3BFC" w:rsidRDefault="00AB3BFC" w:rsidP="00AB3BFC">
      <w:pPr>
        <w:pStyle w:val="Prrafodelista"/>
        <w:rPr>
          <w:rFonts w:asciiTheme="minorHAnsi" w:hAnsiTheme="minorHAnsi" w:cstheme="minorHAnsi"/>
          <w:szCs w:val="24"/>
        </w:rPr>
      </w:pPr>
    </w:p>
    <w:p w:rsidR="00AB3BFC" w:rsidRPr="00AB3BFC" w:rsidRDefault="00AB3BFC" w:rsidP="00AB3BFC">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valora positivamente la previsión de la Fundación de adaptar su página web al cumplimiento de las obligaciones de publicidad activa.</w:t>
      </w:r>
      <w:bookmarkStart w:id="0" w:name="_GoBack"/>
      <w:bookmarkEnd w:id="0"/>
    </w:p>
    <w:p w:rsidR="00C3683C" w:rsidRDefault="00C3683C" w:rsidP="00C3683C">
      <w:pPr>
        <w:pStyle w:val="Prrafodelista"/>
        <w:tabs>
          <w:tab w:val="left" w:pos="284"/>
        </w:tabs>
        <w:spacing w:before="120" w:after="120" w:line="312" w:lineRule="auto"/>
        <w:jc w:val="both"/>
        <w:rPr>
          <w:rFonts w:asciiTheme="minorHAnsi" w:hAnsiTheme="minorHAnsi" w:cstheme="minorHAnsi"/>
          <w:szCs w:val="24"/>
        </w:rPr>
      </w:pPr>
    </w:p>
    <w:p w:rsidR="00D74624" w:rsidRDefault="00D74624" w:rsidP="00D74624">
      <w:pPr>
        <w:pStyle w:val="Prrafodelista"/>
        <w:tabs>
          <w:tab w:val="left" w:pos="284"/>
        </w:tabs>
        <w:spacing w:before="120" w:after="120" w:line="312" w:lineRule="auto"/>
        <w:ind w:left="1440"/>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2F5847">
        <w:rPr>
          <w:rFonts w:asciiTheme="minorHAnsi" w:hAnsiTheme="minorHAnsi" w:cstheme="minorHAnsi"/>
          <w:szCs w:val="24"/>
        </w:rPr>
        <w:t xml:space="preserve">julio </w:t>
      </w:r>
      <w:r w:rsidRPr="002C000A">
        <w:rPr>
          <w:rFonts w:asciiTheme="minorHAnsi" w:hAnsiTheme="minorHAnsi" w:cstheme="minorHAnsi"/>
          <w:szCs w:val="24"/>
        </w:rPr>
        <w:t>de 202</w:t>
      </w:r>
      <w:r w:rsidR="002F5847">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6E" w:rsidRDefault="00FA256E" w:rsidP="00344FE7">
      <w:pPr>
        <w:spacing w:after="0" w:line="240" w:lineRule="auto"/>
      </w:pPr>
      <w:r>
        <w:separator/>
      </w:r>
    </w:p>
  </w:endnote>
  <w:endnote w:type="continuationSeparator" w:id="0">
    <w:p w:rsidR="00FA256E" w:rsidRDefault="00FA256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A256E" w:rsidRPr="00C23F36" w:rsidRDefault="00FA256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F2906">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6E" w:rsidRDefault="00FA256E" w:rsidP="00344FE7">
      <w:pPr>
        <w:spacing w:after="0" w:line="240" w:lineRule="auto"/>
      </w:pPr>
      <w:r>
        <w:separator/>
      </w:r>
    </w:p>
  </w:footnote>
  <w:footnote w:type="continuationSeparator" w:id="0">
    <w:p w:rsidR="00FA256E" w:rsidRDefault="00FA256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6E" w:rsidRDefault="00FA256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A256E" w:rsidRDefault="00FA256E">
    <w:pPr>
      <w:pStyle w:val="Encabezado"/>
    </w:pPr>
  </w:p>
  <w:p w:rsidR="00FA256E" w:rsidRDefault="00FA256E" w:rsidP="00344FE7">
    <w:pPr>
      <w:pStyle w:val="Encabezado"/>
    </w:pPr>
  </w:p>
  <w:p w:rsidR="00FA256E" w:rsidRDefault="00FA256E" w:rsidP="00344FE7">
    <w:pPr>
      <w:pStyle w:val="Encabezado"/>
    </w:pPr>
  </w:p>
  <w:p w:rsidR="00FA256E" w:rsidRDefault="00FA256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6E" w:rsidRDefault="00FA256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29_"/>
      </v:shape>
    </w:pict>
  </w:numPicBullet>
  <w:numPicBullet w:numPicBulletId="1">
    <w:pict>
      <v:shape id="_x0000_i1036"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C8776C"/>
    <w:multiLevelType w:val="hybridMultilevel"/>
    <w:tmpl w:val="7C6248F6"/>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A023C"/>
    <w:rsid w:val="000B0E4F"/>
    <w:rsid w:val="000C0B23"/>
    <w:rsid w:val="00103303"/>
    <w:rsid w:val="001257F9"/>
    <w:rsid w:val="0014196C"/>
    <w:rsid w:val="001620F0"/>
    <w:rsid w:val="001750A8"/>
    <w:rsid w:val="00175D6C"/>
    <w:rsid w:val="0018324C"/>
    <w:rsid w:val="00192181"/>
    <w:rsid w:val="00194E05"/>
    <w:rsid w:val="001B02FE"/>
    <w:rsid w:val="001B16D9"/>
    <w:rsid w:val="001E44BC"/>
    <w:rsid w:val="00216F9C"/>
    <w:rsid w:val="00226CA0"/>
    <w:rsid w:val="00233814"/>
    <w:rsid w:val="0023593A"/>
    <w:rsid w:val="00235A40"/>
    <w:rsid w:val="00251194"/>
    <w:rsid w:val="00264C32"/>
    <w:rsid w:val="002826E6"/>
    <w:rsid w:val="00292806"/>
    <w:rsid w:val="002A4771"/>
    <w:rsid w:val="002B0471"/>
    <w:rsid w:val="002C000A"/>
    <w:rsid w:val="002F2730"/>
    <w:rsid w:val="002F2906"/>
    <w:rsid w:val="002F5847"/>
    <w:rsid w:val="002F5D0B"/>
    <w:rsid w:val="002F5FCA"/>
    <w:rsid w:val="0031159B"/>
    <w:rsid w:val="003259B9"/>
    <w:rsid w:val="00344FE7"/>
    <w:rsid w:val="00351475"/>
    <w:rsid w:val="00364215"/>
    <w:rsid w:val="003656B1"/>
    <w:rsid w:val="003B5DE7"/>
    <w:rsid w:val="003D01AF"/>
    <w:rsid w:val="003D0DAF"/>
    <w:rsid w:val="003F0972"/>
    <w:rsid w:val="003F38BD"/>
    <w:rsid w:val="004108BB"/>
    <w:rsid w:val="00434AE3"/>
    <w:rsid w:val="0045134F"/>
    <w:rsid w:val="00456259"/>
    <w:rsid w:val="00463066"/>
    <w:rsid w:val="004B15B8"/>
    <w:rsid w:val="004B27A2"/>
    <w:rsid w:val="004D4D20"/>
    <w:rsid w:val="004D4EF1"/>
    <w:rsid w:val="00524F6E"/>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4300F"/>
    <w:rsid w:val="00855ECA"/>
    <w:rsid w:val="0089717A"/>
    <w:rsid w:val="008A47D4"/>
    <w:rsid w:val="008B79BD"/>
    <w:rsid w:val="008F0D79"/>
    <w:rsid w:val="00901F1F"/>
    <w:rsid w:val="009029E0"/>
    <w:rsid w:val="00917888"/>
    <w:rsid w:val="009557B1"/>
    <w:rsid w:val="00973949"/>
    <w:rsid w:val="009915B0"/>
    <w:rsid w:val="00992437"/>
    <w:rsid w:val="009B5DF5"/>
    <w:rsid w:val="009B753B"/>
    <w:rsid w:val="009B7ADA"/>
    <w:rsid w:val="009C2E55"/>
    <w:rsid w:val="009D2560"/>
    <w:rsid w:val="009D6677"/>
    <w:rsid w:val="009E16B5"/>
    <w:rsid w:val="009E30AA"/>
    <w:rsid w:val="009E35FF"/>
    <w:rsid w:val="00A23DBC"/>
    <w:rsid w:val="00A24192"/>
    <w:rsid w:val="00A26523"/>
    <w:rsid w:val="00A36AF4"/>
    <w:rsid w:val="00A603C7"/>
    <w:rsid w:val="00A62936"/>
    <w:rsid w:val="00A802F7"/>
    <w:rsid w:val="00A8054F"/>
    <w:rsid w:val="00AB3BFC"/>
    <w:rsid w:val="00AD1C2E"/>
    <w:rsid w:val="00AE5BF4"/>
    <w:rsid w:val="00AF2582"/>
    <w:rsid w:val="00AF4D45"/>
    <w:rsid w:val="00AF5C68"/>
    <w:rsid w:val="00B2797F"/>
    <w:rsid w:val="00B31F84"/>
    <w:rsid w:val="00B35A53"/>
    <w:rsid w:val="00B75881"/>
    <w:rsid w:val="00B81EE6"/>
    <w:rsid w:val="00BC7A82"/>
    <w:rsid w:val="00BF335E"/>
    <w:rsid w:val="00BF7212"/>
    <w:rsid w:val="00C01613"/>
    <w:rsid w:val="00C0201F"/>
    <w:rsid w:val="00C05003"/>
    <w:rsid w:val="00C119CE"/>
    <w:rsid w:val="00C23E44"/>
    <w:rsid w:val="00C23F36"/>
    <w:rsid w:val="00C305B6"/>
    <w:rsid w:val="00C3135F"/>
    <w:rsid w:val="00C3683C"/>
    <w:rsid w:val="00C736B9"/>
    <w:rsid w:val="00C82AB2"/>
    <w:rsid w:val="00C87BC3"/>
    <w:rsid w:val="00C9012D"/>
    <w:rsid w:val="00C94C61"/>
    <w:rsid w:val="00CA0C56"/>
    <w:rsid w:val="00CB61A2"/>
    <w:rsid w:val="00CE30D1"/>
    <w:rsid w:val="00CF0704"/>
    <w:rsid w:val="00CF1510"/>
    <w:rsid w:val="00D045D3"/>
    <w:rsid w:val="00D0782B"/>
    <w:rsid w:val="00D23111"/>
    <w:rsid w:val="00D239A9"/>
    <w:rsid w:val="00D445A4"/>
    <w:rsid w:val="00D44E9D"/>
    <w:rsid w:val="00D72EF9"/>
    <w:rsid w:val="00D74624"/>
    <w:rsid w:val="00DA02DE"/>
    <w:rsid w:val="00DB21EC"/>
    <w:rsid w:val="00DB2CB4"/>
    <w:rsid w:val="00DB2CCC"/>
    <w:rsid w:val="00DD07B5"/>
    <w:rsid w:val="00DF5982"/>
    <w:rsid w:val="00E03C82"/>
    <w:rsid w:val="00E35741"/>
    <w:rsid w:val="00E4386D"/>
    <w:rsid w:val="00E43D90"/>
    <w:rsid w:val="00E5135F"/>
    <w:rsid w:val="00E5524E"/>
    <w:rsid w:val="00E64F85"/>
    <w:rsid w:val="00E90B21"/>
    <w:rsid w:val="00E939E3"/>
    <w:rsid w:val="00EB7058"/>
    <w:rsid w:val="00EC3AAE"/>
    <w:rsid w:val="00ED4D28"/>
    <w:rsid w:val="00ED6FD3"/>
    <w:rsid w:val="00EF5F68"/>
    <w:rsid w:val="00F17B00"/>
    <w:rsid w:val="00F47C71"/>
    <w:rsid w:val="00F5121D"/>
    <w:rsid w:val="00F65D71"/>
    <w:rsid w:val="00F752CB"/>
    <w:rsid w:val="00F777C2"/>
    <w:rsid w:val="00F80EDC"/>
    <w:rsid w:val="00F82E72"/>
    <w:rsid w:val="00FA256E"/>
    <w:rsid w:val="00FB1854"/>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2022-07-15T09:59:00Z</dcterms:created>
  <dcterms:modified xsi:type="dcterms:W3CDTF">2022-07-15T09:59:00Z</dcterms:modified>
</cp:coreProperties>
</file>