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128905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54F93" w:rsidRPr="00006957" w:rsidRDefault="00E54F9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D26A+X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E54F93" w:rsidRPr="00006957" w:rsidRDefault="00E54F9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F93" w:rsidRDefault="00E54F9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54F93" w:rsidRDefault="00E54F9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4CE4" w:rsidP="00AC246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EMGRISA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DB2C87" w:rsidP="00A5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A6E">
              <w:rPr>
                <w:sz w:val="24"/>
                <w:szCs w:val="24"/>
              </w:rPr>
              <w:t>3</w:t>
            </w:r>
            <w:r w:rsidR="009B321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9B321F">
              <w:rPr>
                <w:sz w:val="24"/>
                <w:szCs w:val="24"/>
              </w:rPr>
              <w:t>/2022</w:t>
            </w:r>
          </w:p>
        </w:tc>
      </w:tr>
    </w:tbl>
    <w:p w:rsidR="00BA266E" w:rsidRDefault="00BA266E"/>
    <w:p w:rsidR="00561402" w:rsidRPr="0012783F" w:rsidRDefault="00C7528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CF15A6" w:rsidRDefault="00E54F93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</w:t>
      </w:r>
      <w:r w:rsidR="0064735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C7528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2E4C87">
            <w:rPr>
              <w:b/>
              <w:color w:val="00642D"/>
              <w:sz w:val="30"/>
              <w:szCs w:val="30"/>
            </w:rPr>
            <w:t>1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E54F93" w:rsidRDefault="00E54F93" w:rsidP="007C2AC5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No se ha remitido información</w:t>
      </w:r>
    </w:p>
    <w:p w:rsidR="007C2AC5" w:rsidRPr="009079EA" w:rsidRDefault="00E54F93" w:rsidP="007C2AC5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el Portal de Transparencia de EMGRISA </w:t>
      </w:r>
      <w:r w:rsidR="007C2AC5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información sobre las 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BA49C1" w:rsidRDefault="00BA49C1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E34195" w:rsidRDefault="00C75284" w:rsidP="00CF15A6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4735D" w:rsidRDefault="00E54F93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EMGRISA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</w:t>
      </w:r>
      <w:r w:rsidR="008D3F6B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>En dicho espacio</w:t>
      </w:r>
      <w:r w:rsidR="00CA2C2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95A30">
        <w:rPr>
          <w:rStyle w:val="Ttulo2Car"/>
          <w:b w:val="0"/>
          <w:color w:val="auto"/>
          <w:sz w:val="22"/>
          <w:szCs w:val="22"/>
          <w:lang w:bidi="es-ES"/>
        </w:rPr>
        <w:t>se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 xml:space="preserve"> informa sobre el derecho de los ciudadanos a solicitar información pública. </w:t>
      </w:r>
    </w:p>
    <w:p w:rsidR="00F95C49" w:rsidRDefault="00CA2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presentar las solicitudes de acceso se ha habilitado </w:t>
      </w:r>
      <w:r w:rsidR="00E54F93">
        <w:rPr>
          <w:rStyle w:val="Ttulo2Car"/>
          <w:b w:val="0"/>
          <w:color w:val="auto"/>
          <w:sz w:val="22"/>
          <w:szCs w:val="22"/>
          <w:lang w:bidi="es-ES"/>
        </w:rPr>
        <w:t>un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correo electrónico</w:t>
      </w:r>
      <w:r w:rsidR="001E202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54F93">
        <w:rPr>
          <w:rStyle w:val="Ttulo2Car"/>
          <w:b w:val="0"/>
          <w:color w:val="auto"/>
          <w:sz w:val="22"/>
          <w:szCs w:val="22"/>
          <w:lang w:bidi="es-ES"/>
        </w:rPr>
        <w:t xml:space="preserve">que corresponde al grupo ENUSA del que la empresa forma parte. </w:t>
      </w:r>
    </w:p>
    <w:p w:rsidR="00E54F93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 xml:space="preserve"> –</w:t>
      </w:r>
      <w:r w:rsidR="00E54F93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>requiere la acreditación de la identidad</w:t>
      </w:r>
      <w:r w:rsidR="001E202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>-</w:t>
      </w:r>
      <w:r w:rsidR="00E54F93">
        <w:rPr>
          <w:rStyle w:val="Ttulo2Car"/>
          <w:b w:val="0"/>
          <w:color w:val="auto"/>
          <w:sz w:val="22"/>
          <w:szCs w:val="22"/>
          <w:lang w:bidi="es-ES"/>
        </w:rPr>
        <w:t xml:space="preserve">, el objeto de la consulta, 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1E2021">
        <w:rPr>
          <w:rStyle w:val="Ttulo2Car"/>
          <w:b w:val="0"/>
          <w:color w:val="auto"/>
          <w:sz w:val="22"/>
          <w:szCs w:val="22"/>
          <w:lang w:bidi="es-ES"/>
        </w:rPr>
        <w:t>el medio elegido por el solicitante a efectos de notificaciones</w:t>
      </w:r>
      <w:r w:rsidR="00E54F93">
        <w:rPr>
          <w:rStyle w:val="Ttulo2Car"/>
          <w:b w:val="0"/>
          <w:color w:val="auto"/>
          <w:sz w:val="22"/>
          <w:szCs w:val="22"/>
          <w:lang w:bidi="es-ES"/>
        </w:rPr>
        <w:t xml:space="preserve"> y la modalidad de acceso a la información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E54F93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se incluye información adicional sobre el procedimiento ni ayudas o instrucciones </w:t>
      </w:r>
      <w:proofErr w:type="spellStart"/>
      <w:r>
        <w:rPr>
          <w:rStyle w:val="Ttulo2Car"/>
          <w:b w:val="0"/>
          <w:color w:val="auto"/>
          <w:sz w:val="22"/>
          <w:szCs w:val="22"/>
          <w:lang w:bidi="es-ES"/>
        </w:rPr>
        <w:t>compllementarias</w:t>
      </w:r>
      <w:proofErr w:type="spellEnd"/>
      <w:r w:rsidR="001E2021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40246" w:rsidRPr="00E34195" w:rsidRDefault="00C7528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64735D">
        <w:rPr>
          <w:color w:val="auto"/>
          <w:lang w:bidi="es-ES"/>
        </w:rPr>
        <w:t>0</w:t>
      </w:r>
      <w:r w:rsidR="00E54F93">
        <w:rPr>
          <w:color w:val="auto"/>
          <w:lang w:bidi="es-ES"/>
        </w:rPr>
        <w:t>7</w:t>
      </w:r>
      <w:r w:rsidR="000B2A81">
        <w:rPr>
          <w:color w:val="auto"/>
          <w:lang w:bidi="es-ES"/>
        </w:rPr>
        <w:t>/0</w:t>
      </w:r>
      <w:r w:rsidR="0064735D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64735D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CA2C29">
        <w:rPr>
          <w:color w:val="auto"/>
          <w:lang w:bidi="es-ES"/>
        </w:rPr>
        <w:t>a través del buzón de correo electrónico</w:t>
      </w:r>
      <w:r w:rsidR="0064735D">
        <w:rPr>
          <w:color w:val="auto"/>
          <w:lang w:bidi="es-ES"/>
        </w:rPr>
        <w:t xml:space="preserve"> </w:t>
      </w:r>
      <w:hyperlink r:id="rId12" w:history="1">
        <w:r w:rsidR="00E54F93" w:rsidRPr="00C00861">
          <w:rPr>
            <w:rStyle w:val="Hipervnculo"/>
            <w:lang w:bidi="es-ES"/>
          </w:rPr>
          <w:t>info@emgrisa.es</w:t>
        </w:r>
      </w:hyperlink>
      <w:r w:rsidR="008D3F6B">
        <w:rPr>
          <w:color w:val="auto"/>
          <w:lang w:bidi="es-ES"/>
        </w:rPr>
        <w:t>,</w:t>
      </w:r>
      <w:r w:rsidR="0064735D">
        <w:rPr>
          <w:color w:val="auto"/>
          <w:lang w:bidi="es-ES"/>
        </w:rPr>
        <w:t xml:space="preserve"> una solicitud de información pública</w:t>
      </w:r>
      <w:r>
        <w:rPr>
          <w:color w:val="auto"/>
          <w:lang w:bidi="es-ES"/>
        </w:rPr>
        <w:t>.</w:t>
      </w:r>
      <w:r w:rsidR="00E54F93">
        <w:rPr>
          <w:color w:val="auto"/>
          <w:lang w:bidi="es-ES"/>
        </w:rPr>
        <w:t xml:space="preserve"> No se había localizado por parte de la persona solicitante el buzón específico </w:t>
      </w:r>
      <w:r w:rsidR="005A0FA1">
        <w:rPr>
          <w:color w:val="auto"/>
          <w:lang w:bidi="es-ES"/>
        </w:rPr>
        <w:t>transparencia@enusa.es.</w:t>
      </w:r>
      <w:r>
        <w:rPr>
          <w:color w:val="auto"/>
          <w:lang w:bidi="es-ES"/>
        </w:rPr>
        <w:t xml:space="preserve"> </w:t>
      </w:r>
      <w:r w:rsidR="00DD662C">
        <w:rPr>
          <w:color w:val="auto"/>
          <w:lang w:bidi="es-ES"/>
        </w:rPr>
        <w:t>No se emite acuse de recibo</w:t>
      </w:r>
      <w:r w:rsidR="00C2458D"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64735D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  <w:r w:rsidR="00F34803">
        <w:rPr>
          <w:color w:val="auto"/>
          <w:lang w:bidi="es-ES"/>
        </w:rPr>
        <w:t>.</w:t>
      </w:r>
      <w:r w:rsidR="008D3F6B"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5A0FA1" w:rsidRDefault="005A0FA1" w:rsidP="005A0FA1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respuesta.</w:t>
      </w: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CF15A6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5A2A22">
            <w:rPr>
              <w:b/>
              <w:color w:val="00642D"/>
              <w:sz w:val="30"/>
              <w:szCs w:val="30"/>
            </w:rPr>
            <w:t>en el periodo 2015-2021</w:t>
          </w:r>
        </w:p>
      </w:sdtContent>
    </w:sdt>
    <w:p w:rsidR="00256215" w:rsidRDefault="00256215" w:rsidP="00256215">
      <w:pPr>
        <w:pStyle w:val="Cuerpodelboletn"/>
      </w:pPr>
    </w:p>
    <w:p w:rsidR="00BA3664" w:rsidRDefault="00F34803" w:rsidP="005A0FA1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</w:t>
      </w:r>
      <w:r w:rsidR="005A0FA1">
        <w:rPr>
          <w:color w:val="auto"/>
        </w:rPr>
        <w:t xml:space="preserve">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BA49C1">
        <w:rPr>
          <w:color w:val="auto"/>
        </w:rPr>
        <w:t>reclamaci</w:t>
      </w:r>
      <w:r w:rsidR="00871B3A">
        <w:rPr>
          <w:color w:val="auto"/>
        </w:rPr>
        <w:t>ones</w:t>
      </w:r>
      <w:r w:rsidR="00AC715D">
        <w:rPr>
          <w:color w:val="auto"/>
        </w:rPr>
        <w:t xml:space="preserve"> contra</w:t>
      </w:r>
      <w:r>
        <w:rPr>
          <w:color w:val="auto"/>
        </w:rPr>
        <w:t xml:space="preserve"> resoluciones </w:t>
      </w:r>
      <w:r w:rsidR="0054642F">
        <w:rPr>
          <w:color w:val="auto"/>
        </w:rPr>
        <w:t>d</w:t>
      </w:r>
      <w:r w:rsidR="005A0FA1">
        <w:rPr>
          <w:color w:val="auto"/>
        </w:rPr>
        <w:t xml:space="preserve">e </w:t>
      </w:r>
      <w:r w:rsidR="00E54F93">
        <w:rPr>
          <w:color w:val="auto"/>
        </w:rPr>
        <w:t>EMGRISA</w:t>
      </w:r>
      <w:r w:rsidR="005A0FA1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5A0FA1" w:rsidRPr="004A133A" w:rsidRDefault="005A0FA1" w:rsidP="005A0FA1">
      <w:pPr>
        <w:pStyle w:val="Cuerpodelboletn"/>
        <w:spacing w:before="120" w:after="120" w:line="276" w:lineRule="auto"/>
        <w:ind w:left="425"/>
      </w:pPr>
    </w:p>
    <w:p w:rsidR="001F251B" w:rsidRPr="00256215" w:rsidRDefault="00C7528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CF15A6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5A2A22" w:rsidRDefault="00E54F93" w:rsidP="00B06497">
      <w:pPr>
        <w:ind w:left="426"/>
      </w:pPr>
      <w:r>
        <w:t>EMGRISA</w:t>
      </w:r>
      <w:r w:rsidR="005A0FA1">
        <w:t xml:space="preserve"> </w:t>
      </w:r>
      <w:r w:rsidR="005A2A22">
        <w:t>presenta un conjunto de buenas prácticas en materia de derecho de acceso que podrían ser aplicadas por otras organizaciones públicas:</w:t>
      </w:r>
    </w:p>
    <w:p w:rsidR="007B1EF0" w:rsidRDefault="005A2A22" w:rsidP="005A2A22">
      <w:pPr>
        <w:pStyle w:val="Prrafodelista"/>
        <w:numPr>
          <w:ilvl w:val="0"/>
          <w:numId w:val="10"/>
        </w:numPr>
      </w:pPr>
      <w:r>
        <w:t>La habilitación de un espacio específico en su Portal de Transparencia para la presentación de solicitudes de acceso a información de la entidad</w:t>
      </w:r>
      <w:r w:rsidR="00B06497">
        <w:t>.</w:t>
      </w:r>
    </w:p>
    <w:p w:rsidR="00F921D0" w:rsidRDefault="00F921D0" w:rsidP="005A0FA1">
      <w:pPr>
        <w:pStyle w:val="Prrafodelista"/>
        <w:ind w:left="1146"/>
      </w:pPr>
    </w:p>
    <w:p w:rsidR="005A0FA1" w:rsidRDefault="005A0FA1" w:rsidP="005A0FA1">
      <w:pPr>
        <w:pStyle w:val="Prrafodelista"/>
        <w:ind w:left="1146"/>
      </w:pPr>
    </w:p>
    <w:p w:rsidR="005A0FA1" w:rsidRDefault="005A0FA1" w:rsidP="005A0FA1">
      <w:pPr>
        <w:pStyle w:val="Prrafodelista"/>
        <w:ind w:left="1146"/>
      </w:pPr>
    </w:p>
    <w:p w:rsidR="005A0FA1" w:rsidRDefault="005A0FA1" w:rsidP="005A0FA1">
      <w:pPr>
        <w:pStyle w:val="Prrafodelista"/>
        <w:ind w:left="1146"/>
      </w:pPr>
    </w:p>
    <w:p w:rsidR="005A0FA1" w:rsidRDefault="005A0FA1" w:rsidP="005A0FA1">
      <w:pPr>
        <w:pStyle w:val="Prrafodelista"/>
        <w:ind w:left="1146"/>
      </w:pPr>
    </w:p>
    <w:p w:rsidR="005A0FA1" w:rsidRDefault="005A0FA1" w:rsidP="005A0FA1">
      <w:pPr>
        <w:pStyle w:val="Prrafodelista"/>
        <w:ind w:left="1146"/>
      </w:pPr>
    </w:p>
    <w:p w:rsidR="00256215" w:rsidRDefault="00C7528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5A0FA1" w:rsidRPr="00DD0521" w:rsidRDefault="005A0FA1" w:rsidP="005A0FA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>Como se ha indicado</w:t>
      </w:r>
      <w:r>
        <w:rPr>
          <w:rFonts w:eastAsia="Times New Roman" w:cs="Times New Roman"/>
          <w:bCs/>
        </w:rPr>
        <w:t>,</w:t>
      </w:r>
      <w:r w:rsidRPr="00DD0521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 xml:space="preserve">EMGRISA </w:t>
      </w:r>
      <w:r w:rsidRPr="00DD0521">
        <w:rPr>
          <w:rFonts w:eastAsia="Times New Roman" w:cs="Times New Roman"/>
          <w:bCs/>
        </w:rPr>
        <w:t>no ha remitido información sobre la actividad generada por la gestión de las solicitudes de acceso a información pública en 202</w:t>
      </w:r>
      <w:r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5A0FA1" w:rsidRDefault="005A0FA1" w:rsidP="005A0FA1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A0FA1" w:rsidRDefault="005A0FA1" w:rsidP="005A0FA1">
      <w:pPr>
        <w:pStyle w:val="Prrafodelista"/>
        <w:ind w:left="644"/>
        <w:jc w:val="both"/>
        <w:rPr>
          <w:bCs/>
        </w:rPr>
      </w:pPr>
    </w:p>
    <w:p w:rsidR="005A0FA1" w:rsidRDefault="005A0FA1" w:rsidP="005A0FA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EMGRISA debería publicar en su Portal de Transparencia las resoluciones que deniegan el acceso a la información por aplicación de los límites del artículo 14, según lo dispuesto por el artículo 14.3 de la LTAIBG.</w:t>
      </w:r>
    </w:p>
    <w:p w:rsidR="005A0FA1" w:rsidRDefault="005A0FA1" w:rsidP="005A0FA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A0FA1" w:rsidRPr="008648E8" w:rsidRDefault="005A0FA1" w:rsidP="005A0FA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921D0" w:rsidRDefault="00F921D0" w:rsidP="00CF15A6">
      <w:pPr>
        <w:pStyle w:val="Prrafodelista"/>
        <w:ind w:left="644"/>
        <w:jc w:val="both"/>
        <w:rPr>
          <w:bCs/>
        </w:rPr>
      </w:pP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E54F93" w:rsidP="00F34803">
      <w:pPr>
        <w:pStyle w:val="Prrafodelista"/>
        <w:ind w:left="644"/>
        <w:jc w:val="both"/>
      </w:pPr>
      <w:r>
        <w:t>EMGRISA</w:t>
      </w:r>
      <w:r w:rsidR="005A0FA1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A2EEE">
        <w:t>web</w:t>
      </w:r>
      <w:r w:rsidR="00D74E79">
        <w:t xml:space="preserve"> que </w:t>
      </w:r>
      <w:r w:rsidR="007B1EF0">
        <w:t>facilit</w:t>
      </w:r>
      <w:r w:rsidR="005A2A22">
        <w:t>a</w:t>
      </w:r>
      <w:r w:rsidR="007B1EF0">
        <w:t xml:space="preserve"> el ejercicio del derecho de acceso a la inf</w:t>
      </w:r>
      <w:r w:rsidR="005A2A22">
        <w:t xml:space="preserve">ormación </w:t>
      </w:r>
      <w:r w:rsidR="00BA49C1">
        <w:t>de la entidad</w:t>
      </w:r>
      <w:r w:rsidR="00F921D0">
        <w:t>, en el</w:t>
      </w:r>
      <w:r w:rsidR="00BA49C1">
        <w:t xml:space="preserve"> </w:t>
      </w:r>
      <w:r w:rsidR="00F921D0">
        <w:t>que se</w:t>
      </w:r>
      <w:r w:rsidR="00BA49C1">
        <w:t xml:space="preserve"> </w:t>
      </w:r>
      <w:r w:rsidR="005A2A22">
        <w:t>informa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F34803">
        <w:t xml:space="preserve">. </w:t>
      </w:r>
      <w:r w:rsidR="00F921D0">
        <w:t>No</w:t>
      </w:r>
      <w:r w:rsidR="00BA49C1">
        <w:t xml:space="preserve"> se incluyen instrucciones o ayudas adicionales y no se informa sobre el procedimiento de tramitación de las solicitudes de acceso</w:t>
      </w:r>
      <w:r w:rsidR="00F921D0">
        <w:t xml:space="preserve"> pero si se publica información sobre los </w:t>
      </w:r>
      <w:r w:rsidR="00BA49C1" w:rsidRPr="00BA49C1">
        <w:t>requisitos necesarios</w:t>
      </w:r>
      <w:r w:rsidR="00BA49C1">
        <w:t xml:space="preserve"> para presentarlas</w:t>
      </w:r>
      <w:r w:rsidR="00BA49C1" w:rsidRPr="00BA49C1">
        <w:t>.</w:t>
      </w:r>
    </w:p>
    <w:p w:rsidR="00E52BA3" w:rsidRDefault="00E52BA3" w:rsidP="00F34803">
      <w:pPr>
        <w:pStyle w:val="Prrafodelista"/>
        <w:ind w:left="644"/>
        <w:jc w:val="both"/>
      </w:pPr>
    </w:p>
    <w:p w:rsidR="008C2A93" w:rsidRDefault="008C2A93" w:rsidP="008C2A9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  <w:r w:rsidRPr="00C627FB">
        <w:t xml:space="preserve">Este Consejo recomienda que, para facilitar el acceso de la ciudadanía al ejercicio del derecho de acceso a la información pública, </w:t>
      </w:r>
      <w:r w:rsidR="00E54F93">
        <w:t>EMGRISA</w:t>
      </w:r>
      <w:r w:rsidR="005A0FA1">
        <w:t xml:space="preserve"> </w:t>
      </w:r>
      <w:r w:rsidR="00F921D0">
        <w:t xml:space="preserve">valore la posibilidad de incluir una breve </w:t>
      </w:r>
      <w:r w:rsidR="00692294">
        <w:t>descripción</w:t>
      </w:r>
      <w:r w:rsidR="00F921D0">
        <w:t xml:space="preserve"> </w:t>
      </w:r>
      <w:r w:rsidR="00692294">
        <w:t>d</w:t>
      </w:r>
      <w:r w:rsidR="00F921D0">
        <w:t>el procedimiento de tramitación de las solicitudes de acceso</w:t>
      </w:r>
      <w:r w:rsidRPr="00C627FB">
        <w:t xml:space="preserve">. </w:t>
      </w:r>
    </w:p>
    <w:p w:rsidR="008C2A93" w:rsidRDefault="008C2A93" w:rsidP="00F34803">
      <w:pPr>
        <w:pStyle w:val="Prrafodelista"/>
        <w:ind w:left="644"/>
        <w:jc w:val="both"/>
      </w:pP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5A0FA1" w:rsidRDefault="005A0FA1" w:rsidP="005A0FA1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  <w:r>
        <w:t>No obstante, desde este Consejo quiere señalarse que esta falta de respuesta, puede ser imputa</w:t>
      </w:r>
      <w:r w:rsidR="0070620A">
        <w:t>ble</w:t>
      </w:r>
      <w:r>
        <w:t xml:space="preserve"> al hecho de que la solicitud no fue presentada a través del buzón habilitado y que</w:t>
      </w:r>
      <w:r w:rsidR="0070620A">
        <w:t>, por lo tanto,</w:t>
      </w:r>
      <w:r>
        <w:t xml:space="preserve"> existe la posibilidad de que la unidad receptora del correo con la solicitud de información, no la redirigiese a la unidad responsable de su tramitación.  </w:t>
      </w:r>
    </w:p>
    <w:p w:rsidR="005A0FA1" w:rsidRDefault="005A0FA1" w:rsidP="005A0FA1">
      <w:pPr>
        <w:pStyle w:val="Prrafodelista"/>
        <w:ind w:left="7506" w:firstLine="282"/>
        <w:jc w:val="both"/>
      </w:pPr>
      <w:r>
        <w:t>Madrid, agosto de 2022</w:t>
      </w:r>
    </w:p>
    <w:p w:rsidR="00B40246" w:rsidRDefault="00B40246" w:rsidP="00902979">
      <w:pPr>
        <w:jc w:val="both"/>
      </w:pPr>
    </w:p>
    <w:p w:rsidR="00771F7D" w:rsidRDefault="00771F7D" w:rsidP="00902979">
      <w:pPr>
        <w:jc w:val="both"/>
      </w:pPr>
    </w:p>
    <w:p w:rsidR="00771F7D" w:rsidRDefault="00771F7D" w:rsidP="00902979">
      <w:pPr>
        <w:jc w:val="both"/>
      </w:pPr>
    </w:p>
    <w:p w:rsidR="00771F7D" w:rsidRDefault="00771F7D" w:rsidP="00902979">
      <w:pPr>
        <w:jc w:val="both"/>
      </w:pPr>
    </w:p>
    <w:sectPr w:rsidR="00771F7D" w:rsidSect="00DF63E7">
      <w:headerReference w:type="default" r:id="rId13"/>
      <w:footerReference w:type="defaul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3" w:rsidRDefault="00E54F93" w:rsidP="00932008">
      <w:pPr>
        <w:spacing w:after="0" w:line="240" w:lineRule="auto"/>
      </w:pPr>
      <w:r>
        <w:separator/>
      </w:r>
    </w:p>
  </w:endnote>
  <w:endnote w:type="continuationSeparator" w:id="0">
    <w:p w:rsidR="00E54F93" w:rsidRDefault="00E54F9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54F93" w:rsidRPr="00C533E7" w:rsidRDefault="00E54F9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C75284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E54F93" w:rsidRDefault="00E54F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3" w:rsidRDefault="00E54F93" w:rsidP="00932008">
      <w:pPr>
        <w:spacing w:after="0" w:line="240" w:lineRule="auto"/>
      </w:pPr>
      <w:r>
        <w:separator/>
      </w:r>
    </w:p>
  </w:footnote>
  <w:footnote w:type="continuationSeparator" w:id="0">
    <w:p w:rsidR="00E54F93" w:rsidRDefault="00E54F9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93" w:rsidRDefault="00E54F93">
    <w:pPr>
      <w:pStyle w:val="Encabezado"/>
    </w:pPr>
  </w:p>
  <w:p w:rsidR="00E54F93" w:rsidRDefault="00E54F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numPicBullet w:numPicBulletId="1">
    <w:pict>
      <v:shape id="_x0000_i1029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D35649"/>
    <w:multiLevelType w:val="hybridMultilevel"/>
    <w:tmpl w:val="04081C08"/>
    <w:lvl w:ilvl="0" w:tplc="FA7C346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5405"/>
    <w:rsid w:val="00102733"/>
    <w:rsid w:val="001252EE"/>
    <w:rsid w:val="0012783F"/>
    <w:rsid w:val="001561A4"/>
    <w:rsid w:val="00176A94"/>
    <w:rsid w:val="00194000"/>
    <w:rsid w:val="00197662"/>
    <w:rsid w:val="001B3D6A"/>
    <w:rsid w:val="001C238B"/>
    <w:rsid w:val="001E1C29"/>
    <w:rsid w:val="001E2021"/>
    <w:rsid w:val="001F251B"/>
    <w:rsid w:val="001F25E4"/>
    <w:rsid w:val="00241D7A"/>
    <w:rsid w:val="00256215"/>
    <w:rsid w:val="0026281C"/>
    <w:rsid w:val="00295A30"/>
    <w:rsid w:val="002A154B"/>
    <w:rsid w:val="002E0A33"/>
    <w:rsid w:val="002E4C87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1D64"/>
    <w:rsid w:val="005446A8"/>
    <w:rsid w:val="0054642F"/>
    <w:rsid w:val="00561402"/>
    <w:rsid w:val="00565A76"/>
    <w:rsid w:val="00574421"/>
    <w:rsid w:val="0057532F"/>
    <w:rsid w:val="00595AAF"/>
    <w:rsid w:val="00597024"/>
    <w:rsid w:val="005A0354"/>
    <w:rsid w:val="005A0FA1"/>
    <w:rsid w:val="005A2A22"/>
    <w:rsid w:val="005B1F0E"/>
    <w:rsid w:val="005B3C15"/>
    <w:rsid w:val="005E37C8"/>
    <w:rsid w:val="00626819"/>
    <w:rsid w:val="0064735D"/>
    <w:rsid w:val="00654162"/>
    <w:rsid w:val="00666ED2"/>
    <w:rsid w:val="00671A99"/>
    <w:rsid w:val="00692294"/>
    <w:rsid w:val="006A2766"/>
    <w:rsid w:val="006A2E9A"/>
    <w:rsid w:val="006A2EEE"/>
    <w:rsid w:val="0070620A"/>
    <w:rsid w:val="00706E04"/>
    <w:rsid w:val="00707CFE"/>
    <w:rsid w:val="00710031"/>
    <w:rsid w:val="00727BA2"/>
    <w:rsid w:val="00743756"/>
    <w:rsid w:val="00756117"/>
    <w:rsid w:val="00771F7D"/>
    <w:rsid w:val="0078754D"/>
    <w:rsid w:val="007B0F99"/>
    <w:rsid w:val="007B1EF0"/>
    <w:rsid w:val="007C2AC5"/>
    <w:rsid w:val="007C57AB"/>
    <w:rsid w:val="007D6B40"/>
    <w:rsid w:val="00815659"/>
    <w:rsid w:val="008207D9"/>
    <w:rsid w:val="00833900"/>
    <w:rsid w:val="00844FA9"/>
    <w:rsid w:val="008530AC"/>
    <w:rsid w:val="00871B3A"/>
    <w:rsid w:val="008911B1"/>
    <w:rsid w:val="008B0A0E"/>
    <w:rsid w:val="008C1E1E"/>
    <w:rsid w:val="008C2A93"/>
    <w:rsid w:val="008D3F6B"/>
    <w:rsid w:val="008F5F99"/>
    <w:rsid w:val="00902979"/>
    <w:rsid w:val="00904E47"/>
    <w:rsid w:val="0091341F"/>
    <w:rsid w:val="00923092"/>
    <w:rsid w:val="009239D9"/>
    <w:rsid w:val="00930638"/>
    <w:rsid w:val="00932008"/>
    <w:rsid w:val="009609E9"/>
    <w:rsid w:val="00983919"/>
    <w:rsid w:val="009B321F"/>
    <w:rsid w:val="009E7A2F"/>
    <w:rsid w:val="00A27A38"/>
    <w:rsid w:val="00A41DD5"/>
    <w:rsid w:val="00A53A6E"/>
    <w:rsid w:val="00A544D3"/>
    <w:rsid w:val="00A8003E"/>
    <w:rsid w:val="00A915A2"/>
    <w:rsid w:val="00AA3245"/>
    <w:rsid w:val="00AC2468"/>
    <w:rsid w:val="00AC715D"/>
    <w:rsid w:val="00AD1DBF"/>
    <w:rsid w:val="00AE1CBE"/>
    <w:rsid w:val="00AE788F"/>
    <w:rsid w:val="00B06497"/>
    <w:rsid w:val="00B378E2"/>
    <w:rsid w:val="00B40246"/>
    <w:rsid w:val="00B5583D"/>
    <w:rsid w:val="00B812AB"/>
    <w:rsid w:val="00B82222"/>
    <w:rsid w:val="00B841AE"/>
    <w:rsid w:val="00B84669"/>
    <w:rsid w:val="00BA266E"/>
    <w:rsid w:val="00BA3664"/>
    <w:rsid w:val="00BA49C1"/>
    <w:rsid w:val="00BB6799"/>
    <w:rsid w:val="00BD4582"/>
    <w:rsid w:val="00BE6A46"/>
    <w:rsid w:val="00BF5EDE"/>
    <w:rsid w:val="00C2458D"/>
    <w:rsid w:val="00C25AF5"/>
    <w:rsid w:val="00C33A23"/>
    <w:rsid w:val="00C34BB5"/>
    <w:rsid w:val="00C4479B"/>
    <w:rsid w:val="00C533E7"/>
    <w:rsid w:val="00C5423C"/>
    <w:rsid w:val="00C5744D"/>
    <w:rsid w:val="00C627FB"/>
    <w:rsid w:val="00C75284"/>
    <w:rsid w:val="00CA2C29"/>
    <w:rsid w:val="00CB5511"/>
    <w:rsid w:val="00CB7518"/>
    <w:rsid w:val="00CC2049"/>
    <w:rsid w:val="00CC587B"/>
    <w:rsid w:val="00CC610D"/>
    <w:rsid w:val="00CD0605"/>
    <w:rsid w:val="00CF15A6"/>
    <w:rsid w:val="00D41FBA"/>
    <w:rsid w:val="00D445A7"/>
    <w:rsid w:val="00D447A6"/>
    <w:rsid w:val="00D52E43"/>
    <w:rsid w:val="00D74E79"/>
    <w:rsid w:val="00D84B7B"/>
    <w:rsid w:val="00D864B1"/>
    <w:rsid w:val="00D96F84"/>
    <w:rsid w:val="00DB2C87"/>
    <w:rsid w:val="00DC0848"/>
    <w:rsid w:val="00DC4CE4"/>
    <w:rsid w:val="00DD3E02"/>
    <w:rsid w:val="00DD662C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2BA3"/>
    <w:rsid w:val="00E54F93"/>
    <w:rsid w:val="00E569FD"/>
    <w:rsid w:val="00EA202A"/>
    <w:rsid w:val="00EE5BDF"/>
    <w:rsid w:val="00EF298F"/>
    <w:rsid w:val="00F14DA4"/>
    <w:rsid w:val="00F34803"/>
    <w:rsid w:val="00F47C3B"/>
    <w:rsid w:val="00F50AE2"/>
    <w:rsid w:val="00F71D7D"/>
    <w:rsid w:val="00F7263F"/>
    <w:rsid w:val="00F921D0"/>
    <w:rsid w:val="00F95C49"/>
    <w:rsid w:val="00FD5B21"/>
    <w:rsid w:val="00FE0FC5"/>
    <w:rsid w:val="00FE36D5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C2A93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71B3A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C2A93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71B3A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emgris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01B3E"/>
    <w:rsid w:val="003D088C"/>
    <w:rsid w:val="00543A52"/>
    <w:rsid w:val="00546DCA"/>
    <w:rsid w:val="007545E1"/>
    <w:rsid w:val="0087096B"/>
    <w:rsid w:val="00A80EAD"/>
    <w:rsid w:val="00AB1850"/>
    <w:rsid w:val="00BD5795"/>
    <w:rsid w:val="00C26568"/>
    <w:rsid w:val="00C60DC9"/>
    <w:rsid w:val="00D35513"/>
    <w:rsid w:val="00D52397"/>
    <w:rsid w:val="00DA485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C433F9BF10DF4AF4A2E013BC86287DE0">
    <w:name w:val="C433F9BF10DF4AF4A2E013BC86287DE0"/>
    <w:rsid w:val="00301B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C433F9BF10DF4AF4A2E013BC86287DE0">
    <w:name w:val="C433F9BF10DF4AF4A2E013BC86287DE0"/>
    <w:rsid w:val="00301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7AD86-3BE5-4A20-A782-2161F469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22</TotalTime>
  <Pages>4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5</cp:revision>
  <cp:lastPrinted>2007-10-26T10:03:00Z</cp:lastPrinted>
  <dcterms:created xsi:type="dcterms:W3CDTF">2022-08-30T11:07:00Z</dcterms:created>
  <dcterms:modified xsi:type="dcterms:W3CDTF">2022-09-08T10:42:00Z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