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265" w:rsidRDefault="001733C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47265" w:rsidRPr="007F1D56">
                                  <w:rPr>
                                    <w:rFonts w:ascii="Century Gothic" w:hAnsi="Century Gothic"/>
                                    <w:sz w:val="40"/>
                                    <w:szCs w:val="40"/>
                                  </w:rPr>
                                  <w:t>Informe de r</w:t>
                                </w:r>
                                <w:r w:rsidR="00047265" w:rsidRPr="007F1D56">
                                  <w:rPr>
                                    <w:rFonts w:ascii="Century Gothic" w:hAnsi="Century Gothic"/>
                                    <w:sz w:val="40"/>
                                    <w:szCs w:val="40"/>
                                    <w:lang w:bidi="es-ES"/>
                                  </w:rPr>
                                  <w:t xml:space="preserve">evisión  del cumplimiento de las recomendaciones efectuadas por el CTBG en materia de Publicidad Activa  por parte </w:t>
                                </w:r>
                                <w:r w:rsidR="00047265">
                                  <w:rPr>
                                    <w:rFonts w:ascii="Century Gothic" w:hAnsi="Century Gothic"/>
                                    <w:sz w:val="40"/>
                                    <w:szCs w:val="40"/>
                                    <w:lang w:bidi="es-ES"/>
                                  </w:rPr>
                                  <w:t>del Instituto de las Mujeres, O.A.</w:t>
                                </w:r>
                              </w:sdtContent>
                            </w:sdt>
                            <w:r w:rsidR="00047265"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047265" w:rsidRDefault="001733C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47265" w:rsidRPr="007F1D56">
                            <w:rPr>
                              <w:rFonts w:ascii="Century Gothic" w:hAnsi="Century Gothic"/>
                              <w:sz w:val="40"/>
                              <w:szCs w:val="40"/>
                            </w:rPr>
                            <w:t>Informe de r</w:t>
                          </w:r>
                          <w:r w:rsidR="00047265" w:rsidRPr="007F1D56">
                            <w:rPr>
                              <w:rFonts w:ascii="Century Gothic" w:hAnsi="Century Gothic"/>
                              <w:sz w:val="40"/>
                              <w:szCs w:val="40"/>
                              <w:lang w:bidi="es-ES"/>
                            </w:rPr>
                            <w:t xml:space="preserve">evisión  del cumplimiento de las recomendaciones efectuadas por el CTBG en materia de Publicidad Activa  por parte </w:t>
                          </w:r>
                          <w:r w:rsidR="00047265">
                            <w:rPr>
                              <w:rFonts w:ascii="Century Gothic" w:hAnsi="Century Gothic"/>
                              <w:sz w:val="40"/>
                              <w:szCs w:val="40"/>
                              <w:lang w:bidi="es-ES"/>
                            </w:rPr>
                            <w:t>del Instituto de las Mujeres, O.A.</w:t>
                          </w:r>
                        </w:sdtContent>
                      </w:sdt>
                      <w:r w:rsidR="00047265"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47265" w:rsidRDefault="00047265"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D2776" w:rsidRDefault="004D277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1733C6"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D2CAB" w:rsidTr="007465AA">
        <w:tc>
          <w:tcPr>
            <w:tcW w:w="1668" w:type="dxa"/>
            <w:shd w:val="clear" w:color="auto" w:fill="008A3E"/>
          </w:tcPr>
          <w:p w:rsidR="00A249BB" w:rsidRPr="007D2CAB" w:rsidRDefault="00A249BB" w:rsidP="00F24CD5">
            <w:pPr>
              <w:jc w:val="center"/>
              <w:rPr>
                <w:b/>
                <w:color w:val="FFFFFF" w:themeColor="background1"/>
                <w:sz w:val="18"/>
                <w:szCs w:val="18"/>
              </w:rPr>
            </w:pPr>
            <w:r w:rsidRPr="007D2CAB">
              <w:rPr>
                <w:b/>
                <w:color w:val="FFFFFF" w:themeColor="background1"/>
                <w:sz w:val="18"/>
                <w:szCs w:val="18"/>
              </w:rPr>
              <w:lastRenderedPageBreak/>
              <w:t>Dimensión</w:t>
            </w:r>
          </w:p>
        </w:tc>
        <w:tc>
          <w:tcPr>
            <w:tcW w:w="6237" w:type="dxa"/>
            <w:gridSpan w:val="2"/>
            <w:shd w:val="clear" w:color="auto" w:fill="008A3E"/>
          </w:tcPr>
          <w:p w:rsidR="00A249BB" w:rsidRPr="007D2CAB" w:rsidRDefault="00A249BB" w:rsidP="00F24CD5">
            <w:pPr>
              <w:jc w:val="center"/>
              <w:rPr>
                <w:b/>
                <w:color w:val="FFFFFF" w:themeColor="background1"/>
                <w:sz w:val="18"/>
                <w:szCs w:val="18"/>
              </w:rPr>
            </w:pPr>
            <w:r w:rsidRPr="007D2CAB">
              <w:rPr>
                <w:b/>
                <w:color w:val="FFFFFF" w:themeColor="background1"/>
                <w:sz w:val="18"/>
                <w:szCs w:val="18"/>
              </w:rPr>
              <w:t>Recomendado</w:t>
            </w:r>
          </w:p>
        </w:tc>
        <w:tc>
          <w:tcPr>
            <w:tcW w:w="2777" w:type="dxa"/>
            <w:shd w:val="clear" w:color="auto" w:fill="008A3E"/>
          </w:tcPr>
          <w:p w:rsidR="00A249BB" w:rsidRPr="007D2CAB" w:rsidRDefault="00A249BB" w:rsidP="00F24CD5">
            <w:pPr>
              <w:jc w:val="center"/>
              <w:rPr>
                <w:b/>
                <w:color w:val="FFFFFF" w:themeColor="background1"/>
                <w:sz w:val="18"/>
                <w:szCs w:val="18"/>
              </w:rPr>
            </w:pPr>
            <w:r w:rsidRPr="007D2CAB">
              <w:rPr>
                <w:b/>
                <w:color w:val="FFFFFF" w:themeColor="background1"/>
                <w:sz w:val="18"/>
                <w:szCs w:val="18"/>
              </w:rPr>
              <w:t>Revisión</w:t>
            </w:r>
          </w:p>
        </w:tc>
      </w:tr>
      <w:tr w:rsidR="00A249BB" w:rsidRPr="007D2CAB" w:rsidTr="007465AA">
        <w:tc>
          <w:tcPr>
            <w:tcW w:w="1668" w:type="dxa"/>
            <w:vMerge w:val="restart"/>
            <w:vAlign w:val="center"/>
          </w:tcPr>
          <w:p w:rsidR="00A249BB" w:rsidRPr="007D2CAB" w:rsidRDefault="00A249BB" w:rsidP="00F24CD5">
            <w:pPr>
              <w:rPr>
                <w:sz w:val="18"/>
                <w:szCs w:val="18"/>
              </w:rPr>
            </w:pPr>
            <w:r w:rsidRPr="007D2CAB">
              <w:rPr>
                <w:sz w:val="18"/>
                <w:szCs w:val="18"/>
              </w:rPr>
              <w:t>Localización y estructuración de la Información</w:t>
            </w:r>
          </w:p>
        </w:tc>
        <w:tc>
          <w:tcPr>
            <w:tcW w:w="5528" w:type="dxa"/>
          </w:tcPr>
          <w:p w:rsidR="00A249BB" w:rsidRPr="007D2CAB" w:rsidRDefault="00540929" w:rsidP="00F24CD5">
            <w:pPr>
              <w:rPr>
                <w:sz w:val="18"/>
                <w:szCs w:val="18"/>
              </w:rPr>
            </w:pPr>
            <w:r w:rsidRPr="007D2CAB">
              <w:rPr>
                <w:sz w:val="18"/>
                <w:szCs w:val="18"/>
              </w:rPr>
              <w:t>Portal de Transparencia</w:t>
            </w:r>
          </w:p>
        </w:tc>
        <w:tc>
          <w:tcPr>
            <w:tcW w:w="709" w:type="dxa"/>
            <w:vAlign w:val="center"/>
          </w:tcPr>
          <w:p w:rsidR="00A249BB" w:rsidRPr="007D2CAB" w:rsidRDefault="00F24CD5" w:rsidP="003C6429">
            <w:pPr>
              <w:jc w:val="center"/>
              <w:rPr>
                <w:sz w:val="18"/>
                <w:szCs w:val="18"/>
              </w:rPr>
            </w:pPr>
            <w:r w:rsidRPr="007D2CAB">
              <w:rPr>
                <w:sz w:val="18"/>
                <w:szCs w:val="18"/>
              </w:rPr>
              <w:t>X</w:t>
            </w:r>
          </w:p>
        </w:tc>
        <w:tc>
          <w:tcPr>
            <w:tcW w:w="2777" w:type="dxa"/>
          </w:tcPr>
          <w:p w:rsidR="00A249BB" w:rsidRPr="007D2CAB" w:rsidRDefault="003C6429" w:rsidP="00F24CD5">
            <w:pPr>
              <w:rPr>
                <w:sz w:val="18"/>
                <w:szCs w:val="18"/>
              </w:rPr>
            </w:pPr>
            <w:r>
              <w:rPr>
                <w:sz w:val="18"/>
                <w:szCs w:val="18"/>
              </w:rPr>
              <w:t>No</w:t>
            </w: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Activación de los enlaces contenidos en el Portal de Transparencia</w:t>
            </w:r>
            <w:bookmarkStart w:id="0" w:name="_GoBack"/>
            <w:bookmarkEnd w:id="0"/>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Estructuración conforme a LTAIBG</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Publicación de toda la información sujeta a obligaciones de publicidad activa en el Portal de Transparencia</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7D2CAB" w:rsidRPr="007D2CAB" w:rsidTr="007465AA">
        <w:tc>
          <w:tcPr>
            <w:tcW w:w="1668" w:type="dxa"/>
            <w:vMerge w:val="restart"/>
            <w:vAlign w:val="center"/>
          </w:tcPr>
          <w:p w:rsidR="007D2CAB" w:rsidRPr="007D2CAB" w:rsidRDefault="007D2CAB" w:rsidP="00F24CD5">
            <w:pPr>
              <w:rPr>
                <w:sz w:val="18"/>
                <w:szCs w:val="18"/>
              </w:rPr>
            </w:pPr>
            <w:r w:rsidRPr="007D2CAB">
              <w:rPr>
                <w:sz w:val="18"/>
                <w:szCs w:val="18"/>
              </w:rPr>
              <w:t>Publicación de Contenidos</w:t>
            </w:r>
          </w:p>
        </w:tc>
        <w:tc>
          <w:tcPr>
            <w:tcW w:w="5528" w:type="dxa"/>
          </w:tcPr>
          <w:p w:rsidR="007D2CAB" w:rsidRPr="007D2CAB" w:rsidRDefault="007D2CAB" w:rsidP="007D2CAB">
            <w:pPr>
              <w:rPr>
                <w:sz w:val="18"/>
                <w:szCs w:val="18"/>
              </w:rPr>
            </w:pPr>
            <w:r w:rsidRPr="007D2CAB">
              <w:rPr>
                <w:sz w:val="18"/>
                <w:szCs w:val="18"/>
              </w:rPr>
              <w:t>Registro de Actividades de Tratamiento</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proofErr w:type="spellStart"/>
            <w:r w:rsidRPr="007D2CAB">
              <w:rPr>
                <w:sz w:val="18"/>
                <w:szCs w:val="18"/>
              </w:rPr>
              <w:t>Si</w:t>
            </w:r>
            <w:proofErr w:type="spellEnd"/>
            <w:r w:rsidRPr="007D2CAB">
              <w:rPr>
                <w:sz w:val="18"/>
                <w:szCs w:val="18"/>
              </w:rPr>
              <w:t>. Dentro enlace Instituto-RAT. Actualizado a 24.02.2022.</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Descripción de la estructura organizativa</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047265" w:rsidP="007D2CAB">
            <w:pPr>
              <w:rPr>
                <w:sz w:val="18"/>
                <w:szCs w:val="18"/>
              </w:rPr>
            </w:pPr>
            <w:r>
              <w:rPr>
                <w:sz w:val="18"/>
                <w:szCs w:val="18"/>
              </w:rPr>
              <w:t>No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Perfil y trayectoria profesional de los máximos responsables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r>
              <w:rPr>
                <w:sz w:val="18"/>
                <w:szCs w:val="18"/>
              </w:rPr>
              <w:t>Si, se accede a la información a través del organigrama</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 xml:space="preserve">Planes y Programas </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proofErr w:type="spellStart"/>
            <w:r w:rsidRPr="007D2CAB">
              <w:rPr>
                <w:sz w:val="18"/>
                <w:szCs w:val="18"/>
              </w:rPr>
              <w:t>Si</w:t>
            </w:r>
            <w:proofErr w:type="spellEnd"/>
            <w:r w:rsidRPr="007D2CAB">
              <w:rPr>
                <w:sz w:val="18"/>
                <w:szCs w:val="18"/>
              </w:rPr>
              <w:t>. Publicado el Plan Estratégico 2022-2025</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Indicadores de medida y valoración</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047265">
            <w:pPr>
              <w:rPr>
                <w:sz w:val="18"/>
                <w:szCs w:val="18"/>
              </w:rPr>
            </w:pPr>
            <w:proofErr w:type="spellStart"/>
            <w:r w:rsidRPr="007D2CAB">
              <w:rPr>
                <w:sz w:val="18"/>
                <w:szCs w:val="18"/>
              </w:rPr>
              <w:t>Si</w:t>
            </w:r>
            <w:proofErr w:type="spellEnd"/>
            <w:r w:rsidRPr="007D2CAB">
              <w:rPr>
                <w:sz w:val="18"/>
                <w:szCs w:val="18"/>
              </w:rPr>
              <w:t xml:space="preserve">. </w:t>
            </w:r>
            <w:r w:rsidR="00047265">
              <w:rPr>
                <w:sz w:val="18"/>
                <w:szCs w:val="18"/>
              </w:rPr>
              <w:t>Se publican en el documento que contiene</w:t>
            </w:r>
            <w:r w:rsidRPr="007D2CAB">
              <w:rPr>
                <w:sz w:val="18"/>
                <w:szCs w:val="18"/>
              </w:rPr>
              <w:t xml:space="preserve"> el Plan Estratégico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Directrices, instrucciones, acuerdos, circulares o respuestas a consultas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047265">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Contratos</w:t>
            </w:r>
            <w:r w:rsidR="00F71999">
              <w:rPr>
                <w:sz w:val="18"/>
                <w:szCs w:val="18"/>
              </w:rPr>
              <w:t>: Revisar los contenidos y actualización de la información que se publica en la web</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F71999">
            <w:pPr>
              <w:rPr>
                <w:sz w:val="18"/>
                <w:szCs w:val="18"/>
              </w:rPr>
            </w:pPr>
            <w:proofErr w:type="spellStart"/>
            <w:r w:rsidRPr="007D2CAB">
              <w:rPr>
                <w:sz w:val="18"/>
                <w:szCs w:val="18"/>
              </w:rPr>
              <w:t>Si</w:t>
            </w:r>
            <w:proofErr w:type="spellEnd"/>
            <w:r w:rsidRPr="007D2CAB">
              <w:rPr>
                <w:sz w:val="18"/>
                <w:szCs w:val="18"/>
              </w:rPr>
              <w:t xml:space="preserve">. </w:t>
            </w:r>
            <w:r w:rsidR="00F71999">
              <w:rPr>
                <w:sz w:val="18"/>
                <w:szCs w:val="18"/>
              </w:rPr>
              <w:t>Se publica información actualizada aunque</w:t>
            </w:r>
            <w:r>
              <w:rPr>
                <w:sz w:val="18"/>
                <w:szCs w:val="18"/>
              </w:rPr>
              <w:t xml:space="preserve"> no se informa sobre el presupuesto de licitación y los medios de publicidad.</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 xml:space="preserve">Modificaciones de contratos </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proofErr w:type="spellStart"/>
            <w:r w:rsidRPr="007D2CAB">
              <w:rPr>
                <w:sz w:val="18"/>
                <w:szCs w:val="18"/>
              </w:rPr>
              <w:t>Si</w:t>
            </w:r>
            <w:proofErr w:type="spellEnd"/>
            <w:r>
              <w:rPr>
                <w:sz w:val="18"/>
                <w:szCs w:val="18"/>
              </w:rPr>
              <w:t>. Se indica que no se han producido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 xml:space="preserve">Desistimientos y Renuncias </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proofErr w:type="spellStart"/>
            <w:r w:rsidRPr="007D2CAB">
              <w:rPr>
                <w:sz w:val="18"/>
                <w:szCs w:val="18"/>
              </w:rPr>
              <w:t>Si</w:t>
            </w:r>
            <w:proofErr w:type="spellEnd"/>
            <w:r w:rsidRPr="007D2CAB">
              <w:rPr>
                <w:sz w:val="18"/>
                <w:szCs w:val="18"/>
              </w:rPr>
              <w:t>. Se indica que no se han producido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Datos estadísticos sobre contratos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047265">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Convenios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047265">
            <w:pPr>
              <w:rPr>
                <w:sz w:val="18"/>
                <w:szCs w:val="18"/>
              </w:rPr>
            </w:pPr>
            <w:proofErr w:type="spellStart"/>
            <w:r w:rsidRPr="007D2CAB">
              <w:rPr>
                <w:sz w:val="18"/>
                <w:szCs w:val="18"/>
              </w:rPr>
              <w:t>Si</w:t>
            </w:r>
            <w:proofErr w:type="spellEnd"/>
            <w:r w:rsidRPr="007D2CAB">
              <w:rPr>
                <w:sz w:val="18"/>
                <w:szCs w:val="18"/>
              </w:rPr>
              <w:t xml:space="preserve">. </w:t>
            </w:r>
            <w:r w:rsidR="00047265">
              <w:rPr>
                <w:sz w:val="18"/>
                <w:szCs w:val="18"/>
              </w:rPr>
              <w:t>Se publica</w:t>
            </w:r>
            <w:r w:rsidRPr="007D2CAB">
              <w:rPr>
                <w:sz w:val="18"/>
                <w:szCs w:val="18"/>
              </w:rPr>
              <w:t xml:space="preserve"> un cuadro </w:t>
            </w:r>
            <w:r w:rsidR="00047265">
              <w:rPr>
                <w:sz w:val="18"/>
                <w:szCs w:val="18"/>
              </w:rPr>
              <w:t xml:space="preserve">que contiene el </w:t>
            </w:r>
            <w:r w:rsidRPr="007D2CAB">
              <w:rPr>
                <w:sz w:val="18"/>
                <w:szCs w:val="18"/>
              </w:rPr>
              <w:t xml:space="preserve"> </w:t>
            </w:r>
            <w:r w:rsidR="00047265">
              <w:rPr>
                <w:sz w:val="18"/>
                <w:szCs w:val="18"/>
              </w:rPr>
              <w:t xml:space="preserve">número de expediente. </w:t>
            </w:r>
            <w:proofErr w:type="gramStart"/>
            <w:r w:rsidR="00047265">
              <w:rPr>
                <w:sz w:val="18"/>
                <w:szCs w:val="18"/>
              </w:rPr>
              <w:t>o</w:t>
            </w:r>
            <w:r w:rsidRPr="007D2CAB">
              <w:rPr>
                <w:sz w:val="18"/>
                <w:szCs w:val="18"/>
              </w:rPr>
              <w:t>bjeto</w:t>
            </w:r>
            <w:proofErr w:type="gramEnd"/>
            <w:r w:rsidRPr="007D2CAB">
              <w:rPr>
                <w:sz w:val="18"/>
                <w:szCs w:val="18"/>
              </w:rPr>
              <w:t xml:space="preserve"> </w:t>
            </w:r>
            <w:r w:rsidR="00047265">
              <w:rPr>
                <w:sz w:val="18"/>
                <w:szCs w:val="18"/>
              </w:rPr>
              <w:t xml:space="preserve">del convenio </w:t>
            </w:r>
            <w:r w:rsidRPr="007D2CAB">
              <w:rPr>
                <w:sz w:val="18"/>
                <w:szCs w:val="18"/>
              </w:rPr>
              <w:t>y entidad.  No se incluye toda la información requerida por la LTAIBG.</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Encomiendas de gestión y encargos a medios propios</w:t>
            </w:r>
            <w:r w:rsidR="00F71999">
              <w:rPr>
                <w:sz w:val="18"/>
                <w:szCs w:val="18"/>
              </w:rPr>
              <w:t>: completar la información</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F71999">
            <w:pPr>
              <w:rPr>
                <w:sz w:val="18"/>
                <w:szCs w:val="18"/>
              </w:rPr>
            </w:pPr>
            <w:r w:rsidRPr="007D2CAB">
              <w:rPr>
                <w:sz w:val="18"/>
                <w:szCs w:val="18"/>
              </w:rPr>
              <w:t>No</w:t>
            </w:r>
            <w:r w:rsidR="00F71999">
              <w:rPr>
                <w:sz w:val="18"/>
                <w:szCs w:val="18"/>
              </w:rPr>
              <w:t>,</w:t>
            </w:r>
            <w:r w:rsidRPr="007D2CAB">
              <w:rPr>
                <w:sz w:val="18"/>
                <w:szCs w:val="18"/>
              </w:rPr>
              <w:t xml:space="preserve"> </w:t>
            </w:r>
            <w:r w:rsidR="00F71999">
              <w:rPr>
                <w:sz w:val="18"/>
                <w:szCs w:val="18"/>
              </w:rPr>
              <w:t>sólo se publica información sobre los encargos a medios propios a través de la Plataforma de Contratación del Sector Público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Presupuesto</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r w:rsidRPr="007D2CAB">
              <w:rPr>
                <w:sz w:val="18"/>
                <w:szCs w:val="18"/>
              </w:rPr>
              <w:t>Si</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Ejecución Presupuestaria</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 xml:space="preserve">Informes de auditoría  </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F71999">
            <w:pPr>
              <w:rPr>
                <w:sz w:val="18"/>
                <w:szCs w:val="18"/>
              </w:rPr>
            </w:pPr>
            <w:r w:rsidRPr="007D2CAB">
              <w:rPr>
                <w:sz w:val="18"/>
                <w:szCs w:val="18"/>
              </w:rPr>
              <w:t xml:space="preserve">No. </w:t>
            </w:r>
            <w:r w:rsidR="00F71999">
              <w:rPr>
                <w:sz w:val="18"/>
                <w:szCs w:val="18"/>
              </w:rPr>
              <w:t xml:space="preserve">Aunque se publica el </w:t>
            </w:r>
            <w:r w:rsidRPr="007D2CAB">
              <w:rPr>
                <w:sz w:val="18"/>
                <w:szCs w:val="18"/>
              </w:rPr>
              <w:t xml:space="preserve"> informe </w:t>
            </w:r>
            <w:r w:rsidR="00F71999">
              <w:rPr>
                <w:sz w:val="18"/>
                <w:szCs w:val="18"/>
              </w:rPr>
              <w:t>de la Intervención Delegada para el año 2020, no se informa sobre los informes de fiscalización del Tribunal de Cuentas</w:t>
            </w:r>
            <w:r w:rsidRPr="007D2CAB">
              <w:rPr>
                <w:sz w:val="18"/>
                <w:szCs w:val="18"/>
              </w:rPr>
              <w:t xml:space="preserve">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Retribuciones de los máximos responsables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r w:rsidR="00653903">
              <w:rPr>
                <w:sz w:val="18"/>
                <w:szCs w:val="18"/>
              </w:rPr>
              <w:t>El enlace p</w:t>
            </w:r>
            <w:r w:rsidRPr="007D2CAB">
              <w:rPr>
                <w:sz w:val="18"/>
                <w:szCs w:val="18"/>
              </w:rPr>
              <w:t xml:space="preserve">osiciona en la </w:t>
            </w:r>
            <w:r w:rsidR="00F71999" w:rsidRPr="007D2CAB">
              <w:rPr>
                <w:sz w:val="18"/>
                <w:szCs w:val="18"/>
              </w:rPr>
              <w:t>pág</w:t>
            </w:r>
            <w:r w:rsidR="00F71999">
              <w:rPr>
                <w:sz w:val="18"/>
                <w:szCs w:val="18"/>
              </w:rPr>
              <w:t>ina</w:t>
            </w:r>
            <w:r w:rsidRPr="007D2CAB">
              <w:rPr>
                <w:sz w:val="18"/>
                <w:szCs w:val="18"/>
              </w:rPr>
              <w:t xml:space="preserve"> Inicial del Portal Transparencia AGE</w:t>
            </w:r>
            <w:r w:rsidR="00653903">
              <w:rPr>
                <w:sz w:val="18"/>
                <w:szCs w:val="18"/>
              </w:rPr>
              <w:t xml:space="preserve"> en el que es preciso efectuar una búsqueda para localizar la información del IMIO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Indemnizaciones percibidas por Altos Cargos con ocasión del abandono del cargo</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Resoluciones de autorización o reconocimiento de compatibilidad de empleados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653903" w:rsidP="007D2CAB">
            <w:pPr>
              <w:rPr>
                <w:sz w:val="18"/>
                <w:szCs w:val="18"/>
              </w:rPr>
            </w:pPr>
            <w:r>
              <w:rPr>
                <w:sz w:val="18"/>
                <w:szCs w:val="18"/>
              </w:rPr>
              <w:t>No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Autorización para actividad privada al cese de altos cargos en la AGE, CCAA o EELL</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Información estadística necesaria para valorar el grado de cumplimiento y calidad de los servicios públicos de su competencia</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F71999" w:rsidP="00361CE1">
            <w:pPr>
              <w:rPr>
                <w:sz w:val="18"/>
                <w:szCs w:val="18"/>
              </w:rPr>
            </w:pPr>
            <w:proofErr w:type="spellStart"/>
            <w:r>
              <w:rPr>
                <w:sz w:val="18"/>
                <w:szCs w:val="18"/>
              </w:rPr>
              <w:t>Si</w:t>
            </w:r>
            <w:proofErr w:type="spellEnd"/>
            <w:r w:rsidR="007D2CAB" w:rsidRPr="007D2CAB">
              <w:rPr>
                <w:sz w:val="18"/>
                <w:szCs w:val="18"/>
              </w:rPr>
              <w:t xml:space="preserve">. </w:t>
            </w:r>
            <w:r w:rsidR="00653903">
              <w:rPr>
                <w:sz w:val="18"/>
                <w:szCs w:val="18"/>
              </w:rPr>
              <w:t>Se publica</w:t>
            </w:r>
            <w:r w:rsidR="007D2CAB" w:rsidRPr="007D2CAB">
              <w:rPr>
                <w:sz w:val="18"/>
                <w:szCs w:val="18"/>
              </w:rPr>
              <w:t xml:space="preserve"> información general en la Memoria del año 2</w:t>
            </w:r>
            <w:r>
              <w:rPr>
                <w:sz w:val="18"/>
                <w:szCs w:val="18"/>
              </w:rPr>
              <w:t>020</w:t>
            </w:r>
            <w:r w:rsidR="007D2CAB" w:rsidRPr="007D2CAB">
              <w:rPr>
                <w:sz w:val="18"/>
                <w:szCs w:val="18"/>
              </w:rPr>
              <w:t xml:space="preserve"> en el enlace Instituto-Que hacemos-</w:t>
            </w:r>
            <w:r>
              <w:rPr>
                <w:sz w:val="18"/>
                <w:szCs w:val="18"/>
              </w:rPr>
              <w:t>Memoria. Aunque se p</w:t>
            </w:r>
            <w:r w:rsidR="007D2CAB" w:rsidRPr="007D2CAB">
              <w:rPr>
                <w:sz w:val="18"/>
                <w:szCs w:val="18"/>
              </w:rPr>
              <w:t xml:space="preserve">ublica la carta de </w:t>
            </w:r>
            <w:r>
              <w:rPr>
                <w:sz w:val="18"/>
                <w:szCs w:val="18"/>
              </w:rPr>
              <w:t>servicios</w:t>
            </w:r>
            <w:r w:rsidR="007D2CAB" w:rsidRPr="007D2CAB">
              <w:rPr>
                <w:sz w:val="18"/>
                <w:szCs w:val="18"/>
              </w:rPr>
              <w:t xml:space="preserve"> de servicios del Centro de Documentación  2016-2019 no </w:t>
            </w:r>
            <w:r>
              <w:rPr>
                <w:sz w:val="18"/>
                <w:szCs w:val="18"/>
              </w:rPr>
              <w:t>se informa sobre las evaluaciones de su</w:t>
            </w:r>
            <w:r w:rsidR="007D2CAB" w:rsidRPr="007D2CAB">
              <w:rPr>
                <w:sz w:val="18"/>
                <w:szCs w:val="18"/>
              </w:rPr>
              <w:t xml:space="preserve"> cumplimiento.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Relación de los bienes inmuebles que sean de su propiedad o sobre los que ostenten algún derecho real.</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p>
        </w:tc>
      </w:tr>
      <w:tr w:rsidR="00A249BB" w:rsidRPr="007D2CAB" w:rsidTr="007465AA">
        <w:trPr>
          <w:trHeight w:val="265"/>
        </w:trPr>
        <w:tc>
          <w:tcPr>
            <w:tcW w:w="1668" w:type="dxa"/>
            <w:vMerge w:val="restart"/>
            <w:vAlign w:val="center"/>
          </w:tcPr>
          <w:p w:rsidR="00A249BB" w:rsidRPr="007D2CAB" w:rsidRDefault="00A249BB" w:rsidP="00F24CD5">
            <w:pPr>
              <w:rPr>
                <w:sz w:val="18"/>
                <w:szCs w:val="18"/>
              </w:rPr>
            </w:pPr>
            <w:r w:rsidRPr="007D2CAB">
              <w:rPr>
                <w:sz w:val="18"/>
                <w:szCs w:val="18"/>
              </w:rPr>
              <w:t xml:space="preserve">Calidad de la Información </w:t>
            </w:r>
          </w:p>
        </w:tc>
        <w:tc>
          <w:tcPr>
            <w:tcW w:w="5528" w:type="dxa"/>
          </w:tcPr>
          <w:p w:rsidR="00A249BB" w:rsidRPr="007D2CAB" w:rsidRDefault="00A249BB" w:rsidP="00F24CD5">
            <w:pPr>
              <w:rPr>
                <w:sz w:val="18"/>
                <w:szCs w:val="18"/>
              </w:rPr>
            </w:pPr>
            <w:r w:rsidRPr="007D2CAB">
              <w:rPr>
                <w:sz w:val="18"/>
                <w:szCs w:val="18"/>
              </w:rPr>
              <w:t>Estructuración</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3C6429">
            <w:pPr>
              <w:rPr>
                <w:sz w:val="18"/>
                <w:szCs w:val="18"/>
              </w:rPr>
            </w:pPr>
            <w:r w:rsidRPr="007D2CAB">
              <w:rPr>
                <w:sz w:val="18"/>
                <w:szCs w:val="18"/>
              </w:rPr>
              <w:t xml:space="preserve">Accesibilidad </w:t>
            </w:r>
            <w:r w:rsidR="003C6429">
              <w:rPr>
                <w:sz w:val="18"/>
                <w:szCs w:val="18"/>
              </w:rPr>
              <w:t>: publicación de toda la información obligatoria en la web del IMIO</w:t>
            </w:r>
          </w:p>
        </w:tc>
        <w:tc>
          <w:tcPr>
            <w:tcW w:w="709" w:type="dxa"/>
            <w:vAlign w:val="center"/>
          </w:tcPr>
          <w:p w:rsidR="00A249BB" w:rsidRPr="007D2CAB" w:rsidRDefault="004340FB" w:rsidP="003C6429">
            <w:pPr>
              <w:jc w:val="center"/>
              <w:rPr>
                <w:sz w:val="18"/>
                <w:szCs w:val="18"/>
              </w:rPr>
            </w:pPr>
            <w:r w:rsidRPr="007D2CAB">
              <w:rPr>
                <w:sz w:val="18"/>
                <w:szCs w:val="18"/>
              </w:rPr>
              <w:t>X</w:t>
            </w:r>
          </w:p>
        </w:tc>
        <w:tc>
          <w:tcPr>
            <w:tcW w:w="2777" w:type="dxa"/>
          </w:tcPr>
          <w:p w:rsidR="00A249BB" w:rsidRPr="007D2CAB" w:rsidRDefault="004340FB" w:rsidP="00F24CD5">
            <w:pPr>
              <w:rPr>
                <w:sz w:val="18"/>
                <w:szCs w:val="18"/>
              </w:rPr>
            </w:pPr>
            <w:r w:rsidRPr="007D2CAB">
              <w:rPr>
                <w:sz w:val="18"/>
                <w:szCs w:val="18"/>
              </w:rPr>
              <w:t>No</w:t>
            </w:r>
            <w:r w:rsidR="003C6429">
              <w:rPr>
                <w:sz w:val="18"/>
                <w:szCs w:val="18"/>
              </w:rPr>
              <w:t>, sigue enlazándose a fuentes externas</w:t>
            </w: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Claridad</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 xml:space="preserve">Reutilización </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 xml:space="preserve">Datación y Actualización </w:t>
            </w:r>
          </w:p>
        </w:tc>
        <w:tc>
          <w:tcPr>
            <w:tcW w:w="709" w:type="dxa"/>
            <w:vAlign w:val="center"/>
          </w:tcPr>
          <w:p w:rsidR="00A249BB" w:rsidRPr="007D2CAB" w:rsidRDefault="004340FB" w:rsidP="003C6429">
            <w:pPr>
              <w:jc w:val="center"/>
              <w:rPr>
                <w:sz w:val="18"/>
                <w:szCs w:val="18"/>
              </w:rPr>
            </w:pPr>
            <w:r w:rsidRPr="007D2CAB">
              <w:rPr>
                <w:sz w:val="18"/>
                <w:szCs w:val="18"/>
              </w:rPr>
              <w:t>X</w:t>
            </w:r>
          </w:p>
        </w:tc>
        <w:tc>
          <w:tcPr>
            <w:tcW w:w="2777" w:type="dxa"/>
          </w:tcPr>
          <w:p w:rsidR="00A249BB" w:rsidRPr="007D2CAB" w:rsidRDefault="004340FB" w:rsidP="00F24CD5">
            <w:pPr>
              <w:rPr>
                <w:sz w:val="18"/>
                <w:szCs w:val="18"/>
              </w:rPr>
            </w:pPr>
            <w:r w:rsidRPr="007D2CAB">
              <w:rPr>
                <w:sz w:val="18"/>
                <w:szCs w:val="18"/>
              </w:rPr>
              <w:t xml:space="preserve">No actualización en la mayoría de los casos. </w:t>
            </w:r>
          </w:p>
        </w:tc>
      </w:tr>
      <w:tr w:rsidR="00A249BB" w:rsidRPr="007D2CAB" w:rsidTr="007465AA">
        <w:tc>
          <w:tcPr>
            <w:tcW w:w="7196" w:type="dxa"/>
            <w:gridSpan w:val="2"/>
          </w:tcPr>
          <w:p w:rsidR="00A249BB" w:rsidRPr="007D2CAB" w:rsidRDefault="00A249BB" w:rsidP="00F24CD5">
            <w:pPr>
              <w:jc w:val="right"/>
              <w:rPr>
                <w:b/>
                <w:sz w:val="18"/>
                <w:szCs w:val="18"/>
              </w:rPr>
            </w:pPr>
            <w:r w:rsidRPr="007D2CAB">
              <w:rPr>
                <w:b/>
                <w:sz w:val="18"/>
                <w:szCs w:val="18"/>
              </w:rPr>
              <w:t>Total Recomendaciones</w:t>
            </w:r>
          </w:p>
        </w:tc>
        <w:tc>
          <w:tcPr>
            <w:tcW w:w="709" w:type="dxa"/>
            <w:vAlign w:val="center"/>
          </w:tcPr>
          <w:p w:rsidR="00A249BB" w:rsidRPr="007D2CAB" w:rsidRDefault="004340FB" w:rsidP="003C6429">
            <w:pPr>
              <w:jc w:val="center"/>
              <w:rPr>
                <w:b/>
                <w:sz w:val="18"/>
                <w:szCs w:val="18"/>
              </w:rPr>
            </w:pPr>
            <w:r w:rsidRPr="007D2CAB">
              <w:rPr>
                <w:b/>
                <w:sz w:val="18"/>
                <w:szCs w:val="18"/>
              </w:rPr>
              <w:t>2</w:t>
            </w:r>
            <w:r w:rsidR="003C6429">
              <w:rPr>
                <w:b/>
                <w:sz w:val="18"/>
                <w:szCs w:val="18"/>
              </w:rPr>
              <w:t>4</w:t>
            </w:r>
          </w:p>
        </w:tc>
        <w:tc>
          <w:tcPr>
            <w:tcW w:w="2777" w:type="dxa"/>
          </w:tcPr>
          <w:p w:rsidR="00A249BB" w:rsidRPr="007D2CAB" w:rsidRDefault="00A249BB" w:rsidP="00F24CD5">
            <w:pPr>
              <w:rPr>
                <w:b/>
                <w:sz w:val="18"/>
                <w:szCs w:val="18"/>
              </w:rPr>
            </w:pPr>
          </w:p>
        </w:tc>
      </w:tr>
    </w:tbl>
    <w:p w:rsidR="003A1694" w:rsidRDefault="003A1694" w:rsidP="00AC4A6F"/>
    <w:p w:rsidR="00DF56A7" w:rsidRDefault="00DF56A7" w:rsidP="00DF56A7">
      <w:pPr>
        <w:jc w:val="both"/>
      </w:pPr>
    </w:p>
    <w:p w:rsidR="00BA4354" w:rsidRDefault="004340FB" w:rsidP="00DF56A7">
      <w:pPr>
        <w:jc w:val="both"/>
      </w:pPr>
      <w:r>
        <w:t>El Instituto de las Mujeres, O.A,</w:t>
      </w:r>
      <w:r w:rsidR="00C52EE5">
        <w:t xml:space="preserve"> ha aplicado </w:t>
      </w:r>
      <w:r w:rsidR="003C6429">
        <w:t>diez</w:t>
      </w:r>
      <w:r w:rsidR="00875645">
        <w:t xml:space="preserve"> </w:t>
      </w:r>
      <w:r w:rsidR="00C52EE5" w:rsidRPr="0076567C">
        <w:t xml:space="preserve">de las </w:t>
      </w:r>
      <w:r>
        <w:t>veinti</w:t>
      </w:r>
      <w:r w:rsidR="003C6429">
        <w:t>cuatro</w:t>
      </w:r>
      <w:r>
        <w:t xml:space="preserve"> </w:t>
      </w:r>
      <w:r w:rsidR="00C52EE5" w:rsidRPr="0076567C">
        <w:t>recomendaciones</w:t>
      </w:r>
      <w:r w:rsidR="00C52EE5">
        <w:t xml:space="preserve"> derivadas de</w:t>
      </w:r>
      <w:r>
        <w:t xml:space="preserve"> la evaluación realizada en 2021</w:t>
      </w:r>
      <w:r w:rsidR="00C52EE5">
        <w:t>.</w:t>
      </w: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265" w:rsidRPr="00F31BC3" w:rsidRDefault="00047265"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4D2776" w:rsidRPr="00F31BC3" w:rsidRDefault="004D277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1733C6"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p w:rsidR="00F71999" w:rsidRDefault="00F71999" w:rsidP="00F05E2C">
      <w:pPr>
        <w:pStyle w:val="Cuerpodelboletn"/>
        <w:rPr>
          <w:lang w:bidi="es-ES"/>
        </w:rPr>
      </w:pPr>
    </w:p>
    <w:tbl>
      <w:tblPr>
        <w:tblStyle w:val="Sombreadomedio2-nfasis31"/>
        <w:tblW w:w="10656" w:type="dxa"/>
        <w:tblInd w:w="108" w:type="dxa"/>
        <w:tblLook w:val="04A0" w:firstRow="1" w:lastRow="0" w:firstColumn="1" w:lastColumn="0" w:noHBand="0" w:noVBand="1"/>
      </w:tblPr>
      <w:tblGrid>
        <w:gridCol w:w="4536"/>
        <w:gridCol w:w="765"/>
        <w:gridCol w:w="765"/>
        <w:gridCol w:w="765"/>
        <w:gridCol w:w="765"/>
        <w:gridCol w:w="765"/>
        <w:gridCol w:w="765"/>
        <w:gridCol w:w="765"/>
        <w:gridCol w:w="765"/>
      </w:tblGrid>
      <w:tr w:rsidR="00F71999" w:rsidRPr="00F71999" w:rsidTr="00F7199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536" w:type="dxa"/>
            <w:tcBorders>
              <w:top w:val="single" w:sz="18" w:space="0" w:color="FFFFFF" w:themeColor="background1"/>
              <w:bottom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Total</w:t>
            </w:r>
          </w:p>
        </w:tc>
      </w:tr>
      <w:tr w:rsidR="003C6429" w:rsidRPr="00F71999" w:rsidTr="003C64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C6429" w:rsidRPr="00F71999" w:rsidRDefault="003C6429" w:rsidP="00F71999">
            <w:pPr>
              <w:spacing w:before="120" w:after="120" w:line="312" w:lineRule="auto"/>
              <w:rPr>
                <w:rFonts w:eastAsia="Calibri" w:cs="Calibri"/>
                <w:sz w:val="16"/>
                <w:szCs w:val="16"/>
              </w:rPr>
            </w:pPr>
            <w:r w:rsidRPr="00F71999">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87,5</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90,0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90,0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90,0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90,0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80,0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82,5</w:t>
            </w:r>
          </w:p>
        </w:tc>
      </w:tr>
      <w:tr w:rsidR="003C6429" w:rsidRPr="00F71999" w:rsidTr="003C6429">
        <w:trPr>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C6429" w:rsidRPr="00F71999" w:rsidRDefault="003C6429" w:rsidP="00F71999">
            <w:pPr>
              <w:spacing w:before="120" w:after="120" w:line="312" w:lineRule="auto"/>
              <w:jc w:val="both"/>
              <w:rPr>
                <w:rFonts w:eastAsia="Calibri" w:cs="Calibri"/>
                <w:sz w:val="16"/>
                <w:szCs w:val="16"/>
              </w:rPr>
            </w:pPr>
            <w:r w:rsidRPr="00F71999">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r>
      <w:tr w:rsidR="003C6429" w:rsidRPr="00F71999" w:rsidTr="003C64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C6429" w:rsidRPr="00F71999" w:rsidRDefault="003C6429" w:rsidP="00F71999">
            <w:pPr>
              <w:spacing w:before="120" w:after="120" w:line="312" w:lineRule="auto"/>
              <w:rPr>
                <w:rFonts w:eastAsia="Calibri" w:cs="Calibri"/>
                <w:sz w:val="16"/>
                <w:szCs w:val="16"/>
              </w:rPr>
            </w:pPr>
            <w:r w:rsidRPr="00F71999">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39,5</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48,5</w:t>
            </w:r>
          </w:p>
        </w:tc>
      </w:tr>
      <w:tr w:rsidR="003C6429" w:rsidRPr="00F71999" w:rsidTr="003C6429">
        <w:trPr>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C6429" w:rsidRPr="00F71999" w:rsidRDefault="003C6429" w:rsidP="00F71999">
            <w:pPr>
              <w:spacing w:before="120" w:after="120" w:line="312" w:lineRule="auto"/>
              <w:rPr>
                <w:rFonts w:eastAsia="Calibri" w:cs="Calibri"/>
                <w:sz w:val="16"/>
                <w:szCs w:val="16"/>
              </w:rPr>
            </w:pPr>
            <w:r w:rsidRPr="00F71999">
              <w:rPr>
                <w:rFonts w:eastAsia="Calibri" w:cs="Calibri"/>
                <w:sz w:val="16"/>
                <w:szCs w:val="16"/>
              </w:rPr>
              <w:t>Información patrimonial</w:t>
            </w:r>
          </w:p>
        </w:tc>
        <w:tc>
          <w:tcPr>
            <w:tcW w:w="0" w:type="auto"/>
            <w:tcBorders>
              <w:left w:val="single" w:sz="18" w:space="0" w:color="FFFFFF" w:themeColor="background1"/>
            </w:tcBorders>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r>
      <w:tr w:rsidR="003C6429" w:rsidRPr="00F71999" w:rsidTr="003C64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C6429" w:rsidRPr="00F71999" w:rsidRDefault="003C6429" w:rsidP="00F71999">
            <w:pPr>
              <w:spacing w:before="120" w:after="120" w:line="312" w:lineRule="auto"/>
              <w:jc w:val="center"/>
              <w:rPr>
                <w:rFonts w:eastAsia="Calibri" w:cs="Calibri"/>
                <w:i/>
                <w:sz w:val="16"/>
                <w:szCs w:val="16"/>
              </w:rPr>
            </w:pPr>
            <w:r w:rsidRPr="00F71999">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53,8</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60,7</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60,7</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60,7</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60,7</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57,1</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46,4</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57,2</w:t>
            </w:r>
          </w:p>
        </w:tc>
      </w:tr>
    </w:tbl>
    <w:p w:rsidR="00FA5AFD" w:rsidRDefault="00FA5AFD" w:rsidP="00F05E2C">
      <w:pPr>
        <w:pStyle w:val="Cuerpodelboletn"/>
        <w:rPr>
          <w:lang w:bidi="es-ES"/>
        </w:rPr>
      </w:pPr>
    </w:p>
    <w:p w:rsidR="00BB3652" w:rsidRDefault="004061BC" w:rsidP="00BB3652">
      <w:pPr>
        <w:pStyle w:val="Cuerpodelboletn"/>
        <w:rPr>
          <w:lang w:bidi="es-ES"/>
        </w:rPr>
      </w:pPr>
      <w:r>
        <w:rPr>
          <w:lang w:bidi="es-ES"/>
        </w:rPr>
        <w:t xml:space="preserve">El Índice de Cumplimiento de la Información Obligatoria (ICIO) se sitúa en el </w:t>
      </w:r>
      <w:r w:rsidR="00EB68A3">
        <w:rPr>
          <w:lang w:bidi="es-ES"/>
        </w:rPr>
        <w:t>5</w:t>
      </w:r>
      <w:r w:rsidR="003C6429">
        <w:rPr>
          <w:lang w:bidi="es-ES"/>
        </w:rPr>
        <w:t>7</w:t>
      </w:r>
      <w:r w:rsidR="00EB68A3">
        <w:rPr>
          <w:lang w:bidi="es-ES"/>
        </w:rPr>
        <w:t>,2</w:t>
      </w:r>
      <w:r>
        <w:rPr>
          <w:lang w:bidi="es-ES"/>
        </w:rPr>
        <w:t>%.</w:t>
      </w:r>
      <w:r w:rsidR="00BB3652">
        <w:rPr>
          <w:lang w:bidi="es-ES"/>
        </w:rPr>
        <w:t xml:space="preserve"> Respecto de 202</w:t>
      </w:r>
      <w:r w:rsidR="003C6429">
        <w:rPr>
          <w:lang w:bidi="es-ES"/>
        </w:rPr>
        <w:t>1</w:t>
      </w:r>
      <w:r w:rsidR="00BB3652">
        <w:rPr>
          <w:lang w:bidi="es-ES"/>
        </w:rPr>
        <w:t xml:space="preserve"> se produce un incremento de </w:t>
      </w:r>
      <w:r w:rsidR="003C6429">
        <w:rPr>
          <w:lang w:bidi="es-ES"/>
        </w:rPr>
        <w:t>27</w:t>
      </w:r>
      <w:r w:rsidR="00BB3652">
        <w:rPr>
          <w:lang w:bidi="es-ES"/>
        </w:rPr>
        <w:t xml:space="preserve"> puntos porcentuales atribuible</w:t>
      </w:r>
      <w:r w:rsidR="0076567C">
        <w:rPr>
          <w:lang w:bidi="es-ES"/>
        </w:rPr>
        <w:t xml:space="preserve">s a la aplicación de </w:t>
      </w:r>
      <w:r w:rsidR="004D2776">
        <w:rPr>
          <w:lang w:bidi="es-ES"/>
        </w:rPr>
        <w:t>diez</w:t>
      </w:r>
      <w:r w:rsidR="0076567C">
        <w:rPr>
          <w:lang w:bidi="es-ES"/>
        </w:rPr>
        <w:t xml:space="preserve"> de las recomendaciones efectuadas en 202</w:t>
      </w:r>
      <w:r w:rsidR="004D2776">
        <w:rPr>
          <w:lang w:bidi="es-ES"/>
        </w:rPr>
        <w:t>1</w:t>
      </w:r>
      <w:r w:rsidR="00BB3652">
        <w:rPr>
          <w:lang w:bidi="es-ES"/>
        </w:rPr>
        <w:t>.</w:t>
      </w:r>
    </w:p>
    <w:p w:rsidR="00EB68A3" w:rsidRDefault="00EB68A3" w:rsidP="00F05E2C">
      <w:pPr>
        <w:pStyle w:val="Cuerpodelboletn"/>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4D2776" w:rsidP="00A670E9">
      <w:pPr>
        <w:pStyle w:val="Cuerpodelboletn"/>
      </w:pPr>
      <w:r>
        <w:t xml:space="preserve">Aunque este </w:t>
      </w:r>
      <w:r w:rsidR="00BB3652">
        <w:t xml:space="preserve"> CTBG </w:t>
      </w:r>
      <w:r>
        <w:rPr>
          <w:b/>
        </w:rPr>
        <w:t>valora</w:t>
      </w:r>
      <w:r w:rsidR="00BB3652" w:rsidRPr="00BB3652">
        <w:rPr>
          <w:b/>
        </w:rPr>
        <w:t xml:space="preserve"> </w:t>
      </w:r>
      <w:r>
        <w:rPr>
          <w:b/>
        </w:rPr>
        <w:t>positivamente</w:t>
      </w:r>
      <w:r w:rsidR="00BB3652">
        <w:t xml:space="preserve"> la evolución del cumplimiento de las obligaciones de publicidad activa por parte de</w:t>
      </w:r>
      <w:r>
        <w:t>l</w:t>
      </w:r>
      <w:r w:rsidR="00BB3652">
        <w:t xml:space="preserve"> </w:t>
      </w:r>
      <w:r>
        <w:t xml:space="preserve">IMIO, todavía existe un amplio margen de mejora en el cumplimiento de </w:t>
      </w:r>
      <w:r w:rsidR="00653903">
        <w:t>dichas</w:t>
      </w:r>
      <w:r>
        <w:t xml:space="preserve"> obligaciones</w:t>
      </w:r>
      <w:r w:rsidR="00BB3652">
        <w:t xml:space="preserve">. </w:t>
      </w:r>
      <w:r>
        <w:t xml:space="preserve">Se ha aplicado el 42% de las recomendaciones derivadas de la evaluación 2021, pero </w:t>
      </w:r>
      <w:r w:rsidR="00BB3652">
        <w:t xml:space="preserve">persisten </w:t>
      </w:r>
      <w:r>
        <w:t xml:space="preserve">algunos de </w:t>
      </w:r>
      <w:r w:rsidR="00BB3652">
        <w:t>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265" w:rsidRPr="00F31BC3" w:rsidRDefault="00047265"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4D2776" w:rsidRPr="00F31BC3" w:rsidRDefault="004D2776"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C52EE5" w:rsidRDefault="004D2776" w:rsidP="00C52EE5">
      <w:pPr>
        <w:pStyle w:val="Sinespaciado"/>
        <w:numPr>
          <w:ilvl w:val="0"/>
          <w:numId w:val="18"/>
        </w:numPr>
        <w:spacing w:line="276" w:lineRule="auto"/>
        <w:jc w:val="both"/>
        <w:rPr>
          <w:rFonts w:ascii="Century Gothic" w:hAnsi="Century Gothic"/>
        </w:rPr>
      </w:pPr>
      <w:r w:rsidRPr="004D2776">
        <w:rPr>
          <w:rFonts w:ascii="Century Gothic" w:hAnsi="Century Gothic"/>
        </w:rPr>
        <w:t xml:space="preserve">Sigue sin habilitarse un espacio específico para la publicación de las informaciones sujetas a publicidad activa. En este sentido es importante señalar que no cabe la remisión al Portal de Transparencia de la AGE para publicar la información del IMIO. En primer lugar porque el Portal AGE sólo debería publicar en este espacio las informaciones que corresponden a loa Ministerios y Servicios Centrales, a las Delegaciones y Subdelegaciones </w:t>
      </w:r>
      <w:r w:rsidRPr="004D2776">
        <w:rPr>
          <w:rFonts w:ascii="Century Gothic" w:hAnsi="Century Gothic"/>
        </w:rPr>
        <w:lastRenderedPageBreak/>
        <w:t xml:space="preserve">del Gobierno y a la Administración General del Estado en el Exterior. Por lo tanto los organismos dependientes deben publicar las informaciones sujetas a publicidad activa en sus webs institucionales. Por otra parte, el Portal de Transparencia AGE, no publica todas las informaciones obligatorias correspondientes a los organismos dependientes. </w:t>
      </w:r>
    </w:p>
    <w:p w:rsidR="004D2776" w:rsidRPr="004D2776" w:rsidRDefault="004D2776" w:rsidP="004D2776">
      <w:pPr>
        <w:pStyle w:val="Sinespaciado"/>
        <w:spacing w:line="276" w:lineRule="auto"/>
        <w:ind w:left="720"/>
        <w:jc w:val="both"/>
        <w:rPr>
          <w:rFonts w:ascii="Century Gothic" w:hAnsi="Century Gothic"/>
        </w:rPr>
      </w:pPr>
    </w:p>
    <w:p w:rsidR="004D2776" w:rsidRDefault="004D2776" w:rsidP="004D2776">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D2776" w:rsidRDefault="004D2776" w:rsidP="004D2776">
      <w:pPr>
        <w:pStyle w:val="Prrafodelista"/>
      </w:pPr>
    </w:p>
    <w:p w:rsidR="004D2776" w:rsidRDefault="004D2776" w:rsidP="004D2776">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una descripción de la estructura organizativa del organismo.  </w:t>
      </w:r>
    </w:p>
    <w:p w:rsidR="004D2776" w:rsidRDefault="004D2776" w:rsidP="004D2776">
      <w:pPr>
        <w:pStyle w:val="Sinespaciado"/>
        <w:spacing w:line="276" w:lineRule="auto"/>
        <w:ind w:left="1440"/>
        <w:jc w:val="both"/>
        <w:rPr>
          <w:rFonts w:ascii="Century Gothic" w:hAnsi="Century Gothic"/>
        </w:rPr>
      </w:pPr>
    </w:p>
    <w:p w:rsidR="004D2776" w:rsidRDefault="004D2776" w:rsidP="004D2776">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de relevancia jurídica: las </w:t>
      </w:r>
      <w:r w:rsidRPr="00484E63">
        <w:rPr>
          <w:rFonts w:ascii="Century Gothic" w:hAnsi="Century Gothic"/>
        </w:rPr>
        <w:t>Directrices, Instrucciones, Circulares y respuestas a consultas</w:t>
      </w:r>
      <w:r>
        <w:rPr>
          <w:rFonts w:ascii="Century Gothic" w:hAnsi="Century Gothic"/>
        </w:rPr>
        <w:t xml:space="preserve"> de particulares que supongan una interpretación del derecho o surtan efectos jurídicos.</w:t>
      </w:r>
    </w:p>
    <w:p w:rsidR="004D2776" w:rsidRDefault="004D2776" w:rsidP="004D2776">
      <w:pPr>
        <w:pStyle w:val="Sinespaciado"/>
        <w:spacing w:line="276" w:lineRule="auto"/>
        <w:jc w:val="both"/>
        <w:rPr>
          <w:rFonts w:ascii="Century Gothic" w:hAnsi="Century Gothic"/>
        </w:rPr>
      </w:pPr>
    </w:p>
    <w:p w:rsidR="004D2776" w:rsidRDefault="004D2776" w:rsidP="004D2776">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 no se publica:</w:t>
      </w:r>
    </w:p>
    <w:p w:rsidR="004D2776" w:rsidRDefault="004D2776" w:rsidP="004D2776">
      <w:pPr>
        <w:pStyle w:val="Prrafodelista"/>
      </w:pP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 información sobre contratos publicada en la web no incluye el presupuesto de licitación ni los instrumentos de publicidad ni el número de licitadores</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Los datos estadísticos sobre contratación</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En la publicación sobre los convenios no se informa sobre  su duración, los sujetos obligados y las obligaciones económicas</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Las encomiendas de gestión y las subcontrataciones derivadas tanto de éstas como de los encargos a medios propios</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 ejecución presupuestaria</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 xml:space="preserve">Los informes de auditoría y fiscalización elaborados por </w:t>
      </w:r>
      <w:r w:rsidR="00653903">
        <w:rPr>
          <w:rFonts w:ascii="Century Gothic" w:hAnsi="Century Gothic"/>
        </w:rPr>
        <w:t>el Tribunal de Cuentas</w:t>
      </w:r>
      <w:r>
        <w:rPr>
          <w:rFonts w:ascii="Century Gothic" w:hAnsi="Century Gothic"/>
        </w:rPr>
        <w:t>.</w:t>
      </w:r>
    </w:p>
    <w:p w:rsidR="004D2776" w:rsidRDefault="00823E53" w:rsidP="004D2776">
      <w:pPr>
        <w:pStyle w:val="Sinespaciado"/>
        <w:numPr>
          <w:ilvl w:val="1"/>
          <w:numId w:val="20"/>
        </w:numPr>
        <w:spacing w:line="276" w:lineRule="auto"/>
        <w:jc w:val="both"/>
        <w:rPr>
          <w:rFonts w:ascii="Century Gothic" w:hAnsi="Century Gothic"/>
        </w:rPr>
      </w:pPr>
      <w:r>
        <w:rPr>
          <w:rFonts w:ascii="Century Gothic" w:hAnsi="Century Gothic"/>
        </w:rPr>
        <w:t>Para la publicación de l</w:t>
      </w:r>
      <w:r w:rsidR="004D2776">
        <w:rPr>
          <w:rFonts w:ascii="Century Gothic" w:hAnsi="Century Gothic"/>
        </w:rPr>
        <w:t>as retribuciones percibidas por altos cargos y máximos responsables</w:t>
      </w:r>
      <w:r>
        <w:rPr>
          <w:rFonts w:ascii="Century Gothic" w:hAnsi="Century Gothic"/>
        </w:rPr>
        <w:t xml:space="preserve"> se redirige a la página home del Portal de Transparencia de la AGE en </w:t>
      </w:r>
      <w:r w:rsidR="00653903">
        <w:rPr>
          <w:rFonts w:ascii="Century Gothic" w:hAnsi="Century Gothic"/>
        </w:rPr>
        <w:t>el</w:t>
      </w:r>
      <w:r>
        <w:rPr>
          <w:rFonts w:ascii="Century Gothic" w:hAnsi="Century Gothic"/>
        </w:rPr>
        <w:t xml:space="preserve"> que es preciso efectuar varias búsquedas para localizar la información del IMIO.</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Las indemnizaciones percibidas por altos cargos con ocasión del cese</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Las autorizaciones de compatibilidad concedidas a empleados</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Las autorizaciones para el ejercicio de actividades privadas al cese de altos cargos.</w:t>
      </w:r>
    </w:p>
    <w:p w:rsidR="004D2776" w:rsidRDefault="004D2776" w:rsidP="004D2776">
      <w:pPr>
        <w:pStyle w:val="Prrafodelista"/>
      </w:pPr>
    </w:p>
    <w:p w:rsidR="004D2776" w:rsidRDefault="004D2776" w:rsidP="004D2776">
      <w:pPr>
        <w:pStyle w:val="Sinespaciado"/>
        <w:numPr>
          <w:ilvl w:val="0"/>
          <w:numId w:val="20"/>
        </w:numPr>
        <w:spacing w:line="276" w:lineRule="auto"/>
        <w:jc w:val="both"/>
        <w:rPr>
          <w:rFonts w:ascii="Century Gothic" w:hAnsi="Century Gothic"/>
        </w:rPr>
      </w:pPr>
      <w:r w:rsidRPr="00511296">
        <w:rPr>
          <w:rFonts w:ascii="Century Gothic" w:hAnsi="Century Gothic"/>
        </w:rPr>
        <w:t xml:space="preserve">En el bloque de información </w:t>
      </w:r>
      <w:r>
        <w:rPr>
          <w:rFonts w:ascii="Century Gothic" w:hAnsi="Century Gothic"/>
        </w:rPr>
        <w:t>patrimonial</w:t>
      </w:r>
      <w:r w:rsidRPr="00511296">
        <w:rPr>
          <w:rFonts w:ascii="Century Gothic" w:hAnsi="Century Gothic"/>
        </w:rPr>
        <w:t xml:space="preserve"> no se publica</w:t>
      </w:r>
      <w:r>
        <w:rPr>
          <w:rFonts w:ascii="Century Gothic" w:hAnsi="Century Gothic"/>
        </w:rPr>
        <w:t xml:space="preserve"> la relación de bienes inmuebles que sean propiedad </w:t>
      </w:r>
      <w:r w:rsidR="00823E53">
        <w:rPr>
          <w:rFonts w:ascii="Century Gothic" w:hAnsi="Century Gothic"/>
        </w:rPr>
        <w:t>del IMIO</w:t>
      </w:r>
      <w:r>
        <w:rPr>
          <w:rFonts w:ascii="Century Gothic" w:hAnsi="Century Gothic"/>
        </w:rPr>
        <w:t xml:space="preserve"> o sobre los que ostente algún derecho real.</w:t>
      </w:r>
    </w:p>
    <w:p w:rsidR="004D2776" w:rsidRDefault="004D2776" w:rsidP="004D2776">
      <w:pPr>
        <w:pStyle w:val="Sinespaciado"/>
        <w:spacing w:line="276" w:lineRule="auto"/>
        <w:ind w:left="1440"/>
        <w:jc w:val="both"/>
        <w:rPr>
          <w:rFonts w:ascii="Century Gothic" w:hAnsi="Century Gothic"/>
        </w:rPr>
      </w:pPr>
    </w:p>
    <w:p w:rsidR="00653903" w:rsidRPr="00653903" w:rsidRDefault="004D2776" w:rsidP="00823E53">
      <w:pPr>
        <w:pStyle w:val="Sinespaciado"/>
        <w:numPr>
          <w:ilvl w:val="0"/>
          <w:numId w:val="18"/>
        </w:numPr>
        <w:spacing w:line="276" w:lineRule="auto"/>
        <w:jc w:val="both"/>
      </w:pPr>
      <w:r w:rsidRPr="00653903">
        <w:rPr>
          <w:rFonts w:ascii="Century Gothic" w:hAnsi="Century Gothic"/>
        </w:rPr>
        <w:t>Respecto del cumplimiento de los criterios de calidad en la publicación de la información, gran parte de la información no está datada y sigue sin publicarse la fecha en que se revisó o actualizó por última vez la información obligatoria publicada en la web de la entidad.</w:t>
      </w:r>
      <w:r w:rsidR="00823E53" w:rsidRPr="00653903">
        <w:rPr>
          <w:rFonts w:ascii="Century Gothic" w:hAnsi="Century Gothic"/>
        </w:rPr>
        <w:t xml:space="preserve"> </w:t>
      </w:r>
    </w:p>
    <w:p w:rsidR="004061BC" w:rsidRDefault="004D2776" w:rsidP="00653903">
      <w:pPr>
        <w:pStyle w:val="Sinespaciado"/>
        <w:spacing w:line="276" w:lineRule="auto"/>
        <w:ind w:left="6480" w:firstLine="720"/>
        <w:jc w:val="both"/>
      </w:pPr>
      <w:r w:rsidRPr="00653903">
        <w:rPr>
          <w:rFonts w:ascii="Century Gothic" w:hAnsi="Century Gothic"/>
        </w:rPr>
        <w:t xml:space="preserve">Madrid, </w:t>
      </w:r>
      <w:r w:rsidR="00653903">
        <w:rPr>
          <w:rFonts w:ascii="Century Gothic" w:hAnsi="Century Gothic"/>
        </w:rPr>
        <w:t>junio</w:t>
      </w:r>
      <w:r w:rsidRPr="00653903">
        <w:rPr>
          <w:rFonts w:ascii="Century Gothic" w:hAnsi="Century Gothic"/>
        </w:rPr>
        <w:t xml:space="preserve"> de 2022</w:t>
      </w:r>
      <w:r w:rsidR="004061BC">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265" w:rsidRPr="00F31BC3" w:rsidRDefault="00047265"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4D2776" w:rsidRPr="00F31BC3" w:rsidRDefault="004D277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265" w:rsidRPr="00F31BC3" w:rsidRDefault="00047265"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4D2776" w:rsidRPr="00F31BC3" w:rsidRDefault="004D2776"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65" w:rsidRDefault="00047265" w:rsidP="00F31BC3">
      <w:r>
        <w:separator/>
      </w:r>
    </w:p>
  </w:endnote>
  <w:endnote w:type="continuationSeparator" w:id="0">
    <w:p w:rsidR="00047265" w:rsidRDefault="00047265"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0472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0472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0472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65" w:rsidRDefault="00047265" w:rsidP="00F31BC3">
      <w:r>
        <w:separator/>
      </w:r>
    </w:p>
  </w:footnote>
  <w:footnote w:type="continuationSeparator" w:id="0">
    <w:p w:rsidR="00047265" w:rsidRDefault="00047265"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0472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04726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0472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47265"/>
    <w:rsid w:val="00053A0E"/>
    <w:rsid w:val="0005642F"/>
    <w:rsid w:val="00072B7E"/>
    <w:rsid w:val="000775A5"/>
    <w:rsid w:val="00085C93"/>
    <w:rsid w:val="000A72E5"/>
    <w:rsid w:val="000A77F5"/>
    <w:rsid w:val="000D3907"/>
    <w:rsid w:val="000D5417"/>
    <w:rsid w:val="000E0A9E"/>
    <w:rsid w:val="000E369B"/>
    <w:rsid w:val="000F0DA5"/>
    <w:rsid w:val="00104DE9"/>
    <w:rsid w:val="00104E94"/>
    <w:rsid w:val="001149B1"/>
    <w:rsid w:val="00132732"/>
    <w:rsid w:val="00146C3C"/>
    <w:rsid w:val="00164876"/>
    <w:rsid w:val="001733C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86621"/>
    <w:rsid w:val="002C19B9"/>
    <w:rsid w:val="002C1DD9"/>
    <w:rsid w:val="002C41B4"/>
    <w:rsid w:val="002D0702"/>
    <w:rsid w:val="002D27E4"/>
    <w:rsid w:val="002E409F"/>
    <w:rsid w:val="002E644A"/>
    <w:rsid w:val="002F06DC"/>
    <w:rsid w:val="0031769F"/>
    <w:rsid w:val="00337C82"/>
    <w:rsid w:val="00347477"/>
    <w:rsid w:val="00347877"/>
    <w:rsid w:val="00352994"/>
    <w:rsid w:val="00355DC0"/>
    <w:rsid w:val="00361CE1"/>
    <w:rsid w:val="00393F48"/>
    <w:rsid w:val="003A1694"/>
    <w:rsid w:val="003A390C"/>
    <w:rsid w:val="003B399C"/>
    <w:rsid w:val="003B57E6"/>
    <w:rsid w:val="003B6B96"/>
    <w:rsid w:val="003C6429"/>
    <w:rsid w:val="003D2C4A"/>
    <w:rsid w:val="003E564B"/>
    <w:rsid w:val="003E5D2F"/>
    <w:rsid w:val="003F4DDD"/>
    <w:rsid w:val="003F508D"/>
    <w:rsid w:val="003F6EDC"/>
    <w:rsid w:val="004061BC"/>
    <w:rsid w:val="00411C2D"/>
    <w:rsid w:val="00415DBD"/>
    <w:rsid w:val="00422B18"/>
    <w:rsid w:val="004340FB"/>
    <w:rsid w:val="004720A5"/>
    <w:rsid w:val="0047735C"/>
    <w:rsid w:val="004859CC"/>
    <w:rsid w:val="004A1663"/>
    <w:rsid w:val="004C6440"/>
    <w:rsid w:val="004D2776"/>
    <w:rsid w:val="004D4B3E"/>
    <w:rsid w:val="004D50CC"/>
    <w:rsid w:val="004D7037"/>
    <w:rsid w:val="004E7B33"/>
    <w:rsid w:val="00502B69"/>
    <w:rsid w:val="00506864"/>
    <w:rsid w:val="00521C69"/>
    <w:rsid w:val="005301DF"/>
    <w:rsid w:val="00536832"/>
    <w:rsid w:val="00540929"/>
    <w:rsid w:val="00563295"/>
    <w:rsid w:val="00564E23"/>
    <w:rsid w:val="00582A8C"/>
    <w:rsid w:val="005A092F"/>
    <w:rsid w:val="005B1544"/>
    <w:rsid w:val="005C4778"/>
    <w:rsid w:val="005E2505"/>
    <w:rsid w:val="005E6704"/>
    <w:rsid w:val="005F580F"/>
    <w:rsid w:val="00603DFC"/>
    <w:rsid w:val="00607613"/>
    <w:rsid w:val="006253FA"/>
    <w:rsid w:val="006266A5"/>
    <w:rsid w:val="00633EAA"/>
    <w:rsid w:val="00651D48"/>
    <w:rsid w:val="00653903"/>
    <w:rsid w:val="0069673B"/>
    <w:rsid w:val="006A6BED"/>
    <w:rsid w:val="006B2C2E"/>
    <w:rsid w:val="006B75D8"/>
    <w:rsid w:val="006C0CDD"/>
    <w:rsid w:val="006D49E7"/>
    <w:rsid w:val="006D4C90"/>
    <w:rsid w:val="006E75DE"/>
    <w:rsid w:val="00702A3B"/>
    <w:rsid w:val="00703FBA"/>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2CAB"/>
    <w:rsid w:val="007D5CBF"/>
    <w:rsid w:val="007D69D9"/>
    <w:rsid w:val="007E7E0B"/>
    <w:rsid w:val="007F1D56"/>
    <w:rsid w:val="007F5F9D"/>
    <w:rsid w:val="00800B69"/>
    <w:rsid w:val="00803D20"/>
    <w:rsid w:val="00805A8D"/>
    <w:rsid w:val="00807495"/>
    <w:rsid w:val="00821526"/>
    <w:rsid w:val="00823E53"/>
    <w:rsid w:val="0082470D"/>
    <w:rsid w:val="00825ACB"/>
    <w:rsid w:val="00826275"/>
    <w:rsid w:val="00836976"/>
    <w:rsid w:val="008514EC"/>
    <w:rsid w:val="00853CB9"/>
    <w:rsid w:val="00865E5A"/>
    <w:rsid w:val="00875645"/>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1B05"/>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91566"/>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4CD5"/>
    <w:rsid w:val="00F25044"/>
    <w:rsid w:val="00F27818"/>
    <w:rsid w:val="00F31BC3"/>
    <w:rsid w:val="00F36022"/>
    <w:rsid w:val="00F614CD"/>
    <w:rsid w:val="00F71999"/>
    <w:rsid w:val="00F7274D"/>
    <w:rsid w:val="00F95333"/>
    <w:rsid w:val="00FA0C58"/>
    <w:rsid w:val="00FA11BE"/>
    <w:rsid w:val="00FA1911"/>
    <w:rsid w:val="00FA5997"/>
    <w:rsid w:val="00FA5AFD"/>
    <w:rsid w:val="00FB5F9E"/>
    <w:rsid w:val="00FC4E74"/>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F7199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F7199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290824"/>
    <w:rsid w:val="00443EA4"/>
    <w:rsid w:val="00583D19"/>
    <w:rsid w:val="00595EC8"/>
    <w:rsid w:val="00632CB9"/>
    <w:rsid w:val="00674B7C"/>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ED48B883-29BF-442B-8DFC-08453163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6</Pages>
  <Words>1430</Words>
  <Characters>7868</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3</cp:revision>
  <cp:lastPrinted>2008-09-26T23:14:00Z</cp:lastPrinted>
  <dcterms:created xsi:type="dcterms:W3CDTF">2022-07-08T09:07:00Z</dcterms:created>
  <dcterms:modified xsi:type="dcterms:W3CDTF">2022-09-08T11:06:00Z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