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335E04" w:rsidRPr="00006957" w:rsidRDefault="00335E0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335E04" w:rsidRPr="00006957" w:rsidRDefault="00335E0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335E04" w:rsidRDefault="00335E04"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335E04" w:rsidRDefault="00335E04"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B41C33" w:rsidP="00AC2468">
            <w:pPr>
              <w:rPr>
                <w:sz w:val="24"/>
                <w:szCs w:val="24"/>
              </w:rPr>
            </w:pPr>
            <w:bookmarkStart w:id="0" w:name="_GoBack"/>
            <w:bookmarkEnd w:id="0"/>
            <w:r>
              <w:rPr>
                <w:sz w:val="24"/>
                <w:szCs w:val="24"/>
              </w:rPr>
              <w:t>Autoridad Portuaria de Baleares</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9B321F" w:rsidP="00B41C33">
            <w:pPr>
              <w:rPr>
                <w:sz w:val="24"/>
                <w:szCs w:val="24"/>
              </w:rPr>
            </w:pPr>
            <w:r>
              <w:rPr>
                <w:sz w:val="24"/>
                <w:szCs w:val="24"/>
              </w:rPr>
              <w:t>1</w:t>
            </w:r>
            <w:r w:rsidR="00B41C33">
              <w:rPr>
                <w:sz w:val="24"/>
                <w:szCs w:val="24"/>
              </w:rPr>
              <w:t>9</w:t>
            </w:r>
            <w:r>
              <w:rPr>
                <w:sz w:val="24"/>
                <w:szCs w:val="24"/>
              </w:rPr>
              <w:t>/07/2022</w:t>
            </w:r>
          </w:p>
        </w:tc>
      </w:tr>
    </w:tbl>
    <w:p w:rsidR="00BA266E" w:rsidRDefault="00BA266E"/>
    <w:p w:rsidR="00561402" w:rsidRPr="0012783F" w:rsidRDefault="0052501E">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CF15A6" w:rsidRDefault="007A09A8" w:rsidP="00CF15A6">
      <w:pPr>
        <w:pStyle w:val="Cuerpodelboletn"/>
        <w:spacing w:before="120" w:after="120" w:line="312" w:lineRule="auto"/>
        <w:ind w:left="360"/>
        <w:rPr>
          <w:bCs/>
          <w:color w:val="auto"/>
          <w:szCs w:val="22"/>
        </w:rPr>
      </w:pPr>
      <w:r>
        <w:rPr>
          <w:bCs/>
          <w:color w:val="auto"/>
          <w:szCs w:val="22"/>
        </w:rPr>
        <w:t>La Autoridad Portuaria de Baleares</w:t>
      </w:r>
      <w:r w:rsidR="0064735D">
        <w:rPr>
          <w:bCs/>
          <w:color w:val="auto"/>
          <w:szCs w:val="22"/>
        </w:rPr>
        <w:t xml:space="preserve"> no ha asignado la gestión de las solicitudes de acceso a información pública a ninguna unidad específica</w:t>
      </w:r>
      <w:r w:rsidR="00CF15A6">
        <w:rPr>
          <w:bCs/>
          <w:color w:val="auto"/>
          <w:szCs w:val="22"/>
        </w:rPr>
        <w:t>.</w:t>
      </w:r>
      <w:r w:rsidR="0064735D">
        <w:rPr>
          <w:bCs/>
          <w:color w:val="auto"/>
          <w:szCs w:val="22"/>
        </w:rPr>
        <w:t xml:space="preserve"> Si cuenta con </w:t>
      </w:r>
      <w:r>
        <w:rPr>
          <w:bCs/>
          <w:color w:val="auto"/>
          <w:szCs w:val="22"/>
        </w:rPr>
        <w:t>tres</w:t>
      </w:r>
      <w:r w:rsidR="0064735D">
        <w:rPr>
          <w:bCs/>
          <w:color w:val="auto"/>
          <w:szCs w:val="22"/>
        </w:rPr>
        <w:t xml:space="preserve"> persona</w:t>
      </w:r>
      <w:r>
        <w:rPr>
          <w:bCs/>
          <w:color w:val="auto"/>
          <w:szCs w:val="22"/>
        </w:rPr>
        <w:t>s</w:t>
      </w:r>
      <w:r w:rsidR="0064735D">
        <w:rPr>
          <w:bCs/>
          <w:color w:val="auto"/>
          <w:szCs w:val="22"/>
        </w:rPr>
        <w:t xml:space="preserve"> que se dedica</w:t>
      </w:r>
      <w:r>
        <w:rPr>
          <w:bCs/>
          <w:color w:val="auto"/>
          <w:szCs w:val="22"/>
        </w:rPr>
        <w:t>n</w:t>
      </w:r>
      <w:r w:rsidR="0064735D">
        <w:rPr>
          <w:bCs/>
          <w:color w:val="auto"/>
          <w:szCs w:val="22"/>
        </w:rPr>
        <w:t xml:space="preserve"> a la gestión de estas solicitudes compatibilizando esta actividad con otras funciones y tareas. </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52501E"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w:t>
          </w:r>
          <w:r w:rsidR="00932F1C">
            <w:rPr>
              <w:b/>
              <w:color w:val="00642D"/>
              <w:sz w:val="30"/>
              <w:szCs w:val="30"/>
            </w:rPr>
            <w:t>1</w:t>
          </w:r>
          <w:r w:rsidR="00B812AB">
            <w:rPr>
              <w:b/>
              <w:color w:val="00642D"/>
              <w:sz w:val="30"/>
              <w:szCs w:val="30"/>
            </w:rPr>
            <w:t xml:space="preserve"> por las solicitudes de acceso a información pública</w:t>
          </w:r>
          <w:r w:rsidR="00531D64">
            <w:rPr>
              <w:b/>
              <w:color w:val="00642D"/>
              <w:sz w:val="30"/>
              <w:szCs w:val="30"/>
            </w:rPr>
            <w:t xml:space="preserve"> </w:t>
          </w:r>
        </w:sdtContent>
      </w:sdt>
    </w:p>
    <w:p w:rsidR="00932F1C" w:rsidRDefault="00932F1C" w:rsidP="00CF15A6">
      <w:pPr>
        <w:pStyle w:val="Cuerpodelboletn"/>
        <w:spacing w:before="120" w:after="120" w:line="312" w:lineRule="auto"/>
        <w:ind w:left="360"/>
        <w:rPr>
          <w:bCs/>
          <w:color w:val="auto"/>
          <w:szCs w:val="22"/>
        </w:rPr>
      </w:pPr>
      <w:r w:rsidRPr="00A41DD5">
        <w:rPr>
          <w:rStyle w:val="Ttulo2Car"/>
          <w:color w:val="00642D"/>
          <w:lang w:bidi="es-ES"/>
        </w:rPr>
        <w:t>II.1</w:t>
      </w:r>
      <w:r>
        <w:rPr>
          <w:rStyle w:val="Ttulo2Car"/>
          <w:color w:val="00642D"/>
          <w:lang w:bidi="es-ES"/>
        </w:rPr>
        <w:t xml:space="preserve"> </w:t>
      </w:r>
      <w:r w:rsidRPr="00B812AB">
        <w:rPr>
          <w:rStyle w:val="Ttulo2Car"/>
          <w:color w:val="00642D"/>
          <w:lang w:bidi="es-ES"/>
        </w:rPr>
        <w:t>Solicitudes gestionadas en 202</w:t>
      </w:r>
      <w:r>
        <w:rPr>
          <w:rStyle w:val="Ttulo2Car"/>
          <w:color w:val="00642D"/>
          <w:lang w:bidi="es-ES"/>
        </w:rPr>
        <w:t>1</w:t>
      </w:r>
    </w:p>
    <w:p w:rsidR="00CF15A6" w:rsidRDefault="0064735D" w:rsidP="00CF15A6">
      <w:pPr>
        <w:pStyle w:val="Cuerpodelboletn"/>
        <w:spacing w:before="120" w:after="120" w:line="312" w:lineRule="auto"/>
        <w:ind w:left="360"/>
        <w:rPr>
          <w:bCs/>
          <w:color w:val="auto"/>
          <w:szCs w:val="22"/>
        </w:rPr>
      </w:pPr>
      <w:r>
        <w:rPr>
          <w:bCs/>
          <w:color w:val="auto"/>
          <w:szCs w:val="22"/>
        </w:rPr>
        <w:t xml:space="preserve">Según informa </w:t>
      </w:r>
      <w:r w:rsidR="00932F1C">
        <w:rPr>
          <w:bCs/>
          <w:color w:val="auto"/>
          <w:szCs w:val="22"/>
        </w:rPr>
        <w:t>la AP de Baleares</w:t>
      </w:r>
      <w:r>
        <w:rPr>
          <w:bCs/>
          <w:color w:val="auto"/>
          <w:szCs w:val="22"/>
        </w:rPr>
        <w:t xml:space="preserve"> en 2021 se recibieron </w:t>
      </w:r>
      <w:r w:rsidR="00932F1C">
        <w:rPr>
          <w:bCs/>
          <w:color w:val="auto"/>
          <w:szCs w:val="22"/>
        </w:rPr>
        <w:t xml:space="preserve">12 </w:t>
      </w:r>
      <w:r>
        <w:rPr>
          <w:bCs/>
          <w:color w:val="auto"/>
          <w:szCs w:val="22"/>
        </w:rPr>
        <w:t>solicitudes de acceso a información pública de la entidad</w:t>
      </w:r>
      <w:r w:rsidR="00CF15A6">
        <w:rPr>
          <w:bCs/>
          <w:color w:val="auto"/>
          <w:szCs w:val="22"/>
        </w:rPr>
        <w:t>.</w:t>
      </w:r>
      <w:r w:rsidR="00932F1C">
        <w:rPr>
          <w:bCs/>
          <w:color w:val="auto"/>
          <w:szCs w:val="22"/>
        </w:rPr>
        <w:t xml:space="preserve"> No habían quedado </w:t>
      </w:r>
      <w:r w:rsidR="00335E04">
        <w:rPr>
          <w:bCs/>
          <w:color w:val="auto"/>
          <w:szCs w:val="22"/>
        </w:rPr>
        <w:t xml:space="preserve">solicitudes </w:t>
      </w:r>
      <w:r w:rsidR="00932F1C">
        <w:rPr>
          <w:bCs/>
          <w:color w:val="auto"/>
          <w:szCs w:val="22"/>
        </w:rPr>
        <w:t xml:space="preserve">pendientes  de tramitación </w:t>
      </w:r>
      <w:r w:rsidR="00335E04">
        <w:rPr>
          <w:bCs/>
          <w:color w:val="auto"/>
          <w:szCs w:val="22"/>
        </w:rPr>
        <w:t>a finales de</w:t>
      </w:r>
      <w:r w:rsidR="00932F1C">
        <w:rPr>
          <w:bCs/>
          <w:color w:val="auto"/>
          <w:szCs w:val="22"/>
        </w:rPr>
        <w:t xml:space="preserve"> 2020. Las 12 solicitudes fueron tramitadas a lo largo de 2021. De ellas, 10 fueron admitidas y 2 inadmitidas por considerarse repetitivas o abusivas. </w:t>
      </w:r>
    </w:p>
    <w:p w:rsidR="00932F1C" w:rsidRDefault="00932F1C" w:rsidP="00932F1C">
      <w:pPr>
        <w:pStyle w:val="Cuerpodelboletn"/>
        <w:spacing w:before="120" w:after="120" w:line="312" w:lineRule="auto"/>
        <w:ind w:left="360"/>
        <w:rPr>
          <w:rStyle w:val="Ttulo2Car"/>
          <w:color w:val="00642D"/>
          <w:lang w:bidi="es-ES"/>
        </w:rPr>
      </w:pPr>
      <w:r w:rsidRPr="00A41DD5">
        <w:rPr>
          <w:rStyle w:val="Ttulo2Car"/>
          <w:color w:val="00642D"/>
          <w:lang w:bidi="es-ES"/>
        </w:rPr>
        <w:t>II.</w:t>
      </w:r>
      <w:r>
        <w:rPr>
          <w:rStyle w:val="Ttulo2Car"/>
          <w:color w:val="00642D"/>
          <w:lang w:bidi="es-ES"/>
        </w:rPr>
        <w:t xml:space="preserve">2 Indicadores de tramitación </w:t>
      </w:r>
      <w:r w:rsidRPr="00B812AB">
        <w:rPr>
          <w:rStyle w:val="Ttulo2Car"/>
          <w:color w:val="00642D"/>
          <w:lang w:bidi="es-ES"/>
        </w:rPr>
        <w:t>en 202</w:t>
      </w:r>
      <w:r>
        <w:rPr>
          <w:rStyle w:val="Ttulo2Car"/>
          <w:color w:val="00642D"/>
          <w:lang w:bidi="es-ES"/>
        </w:rPr>
        <w:t>1</w:t>
      </w:r>
    </w:p>
    <w:p w:rsidR="00932F1C" w:rsidRDefault="00932F1C" w:rsidP="00932F1C">
      <w:pPr>
        <w:ind w:left="426"/>
        <w:jc w:val="both"/>
        <w:rPr>
          <w:rStyle w:val="Ttulo2Car"/>
          <w:b w:val="0"/>
          <w:color w:val="auto"/>
          <w:sz w:val="22"/>
          <w:szCs w:val="22"/>
          <w:lang w:bidi="es-ES"/>
        </w:rPr>
      </w:pPr>
      <w:r w:rsidRPr="00151FEA">
        <w:rPr>
          <w:rStyle w:val="Ttulo2Car"/>
          <w:b w:val="0"/>
          <w:color w:val="auto"/>
          <w:sz w:val="22"/>
          <w:szCs w:val="22"/>
          <w:lang w:bidi="es-ES"/>
        </w:rPr>
        <w:t xml:space="preserve">En 2020, en promedio, </w:t>
      </w:r>
      <w:r>
        <w:rPr>
          <w:rStyle w:val="Ttulo2Car"/>
          <w:b w:val="0"/>
          <w:color w:val="auto"/>
          <w:sz w:val="22"/>
          <w:szCs w:val="22"/>
          <w:lang w:bidi="es-ES"/>
        </w:rPr>
        <w:t>cada</w:t>
      </w:r>
      <w:r w:rsidRPr="00151FEA">
        <w:rPr>
          <w:rStyle w:val="Ttulo2Car"/>
          <w:b w:val="0"/>
          <w:color w:val="auto"/>
          <w:sz w:val="22"/>
          <w:szCs w:val="22"/>
          <w:lang w:bidi="es-ES"/>
        </w:rPr>
        <w:t xml:space="preserve"> persona asignada a la </w:t>
      </w:r>
      <w:r>
        <w:rPr>
          <w:rStyle w:val="Ttulo2Car"/>
          <w:b w:val="0"/>
          <w:color w:val="auto"/>
          <w:sz w:val="22"/>
          <w:szCs w:val="22"/>
          <w:lang w:bidi="es-ES"/>
        </w:rPr>
        <w:t>gestión de las solicitudes de acceso</w:t>
      </w:r>
      <w:r w:rsidRPr="00151FEA">
        <w:rPr>
          <w:rStyle w:val="Ttulo2Car"/>
          <w:b w:val="0"/>
          <w:color w:val="auto"/>
          <w:sz w:val="22"/>
          <w:szCs w:val="22"/>
          <w:lang w:bidi="es-ES"/>
        </w:rPr>
        <w:t xml:space="preserve"> asumió la tramitación de </w:t>
      </w:r>
      <w:r>
        <w:rPr>
          <w:rStyle w:val="Ttulo2Car"/>
          <w:b w:val="0"/>
          <w:color w:val="auto"/>
          <w:sz w:val="22"/>
          <w:szCs w:val="22"/>
          <w:lang w:bidi="es-ES"/>
        </w:rPr>
        <w:t>4</w:t>
      </w:r>
      <w:r w:rsidRPr="00151FEA">
        <w:rPr>
          <w:rStyle w:val="Ttulo2Car"/>
          <w:b w:val="0"/>
          <w:color w:val="auto"/>
          <w:sz w:val="22"/>
          <w:szCs w:val="22"/>
          <w:lang w:bidi="es-ES"/>
        </w:rPr>
        <w:t xml:space="preserve"> solicitudes. </w:t>
      </w:r>
    </w:p>
    <w:p w:rsidR="00932F1C" w:rsidRDefault="00932F1C" w:rsidP="00932F1C">
      <w:pPr>
        <w:ind w:left="426"/>
        <w:jc w:val="both"/>
        <w:rPr>
          <w:rStyle w:val="Ttulo2Car"/>
          <w:b w:val="0"/>
          <w:color w:val="auto"/>
          <w:sz w:val="22"/>
          <w:szCs w:val="22"/>
          <w:lang w:bidi="es-ES"/>
        </w:rPr>
      </w:pPr>
      <w:r>
        <w:rPr>
          <w:rStyle w:val="Ttulo2Car"/>
          <w:b w:val="0"/>
          <w:color w:val="auto"/>
          <w:sz w:val="22"/>
          <w:szCs w:val="22"/>
          <w:lang w:bidi="es-ES"/>
        </w:rPr>
        <w:t>La tasa de tramitación se sitúa en el 100% siempre partiendo de los datos aportados por la AP. La tasa de admisión se sitúa en el 83,3% y la de inadmisión en el 16,7%.</w:t>
      </w:r>
    </w:p>
    <w:p w:rsidR="00932F1C" w:rsidRPr="00151FEA" w:rsidRDefault="00932F1C" w:rsidP="00932F1C">
      <w:pPr>
        <w:ind w:left="426"/>
        <w:jc w:val="both"/>
        <w:rPr>
          <w:rStyle w:val="Ttulo2Car"/>
          <w:b w:val="0"/>
          <w:color w:val="auto"/>
          <w:sz w:val="22"/>
          <w:szCs w:val="22"/>
          <w:lang w:bidi="es-ES"/>
        </w:rPr>
      </w:pPr>
    </w:p>
    <w:p w:rsidR="00A17959" w:rsidRPr="00A17959" w:rsidRDefault="00A17959" w:rsidP="00A17959">
      <w:pPr>
        <w:autoSpaceDE w:val="0"/>
        <w:autoSpaceDN w:val="0"/>
        <w:adjustRightInd w:val="0"/>
        <w:spacing w:after="0" w:line="400" w:lineRule="atLeast"/>
        <w:rPr>
          <w:rFonts w:ascii="Times New Roman" w:hAnsi="Times New Roman" w:cs="Times New Roman"/>
          <w:sz w:val="24"/>
          <w:szCs w:val="24"/>
        </w:rPr>
      </w:pPr>
    </w:p>
    <w:p w:rsidR="00932F1C" w:rsidRPr="00647481" w:rsidRDefault="00932F1C" w:rsidP="00932F1C">
      <w:pPr>
        <w:pStyle w:val="Epgrafe"/>
        <w:keepNext/>
        <w:ind w:left="426"/>
        <w:rPr>
          <w:rStyle w:val="Ttulo2Car"/>
          <w:b/>
          <w:color w:val="00642D"/>
          <w:sz w:val="22"/>
          <w:szCs w:val="22"/>
          <w:lang w:bidi="es-ES"/>
        </w:rPr>
      </w:pPr>
      <w:r w:rsidRPr="00647481">
        <w:rPr>
          <w:rStyle w:val="Ttulo2Car"/>
          <w:b/>
          <w:color w:val="00642D"/>
          <w:sz w:val="22"/>
          <w:szCs w:val="22"/>
          <w:lang w:bidi="es-ES"/>
        </w:rPr>
        <w:t xml:space="preserve">Tabla </w:t>
      </w:r>
      <w:r w:rsidRPr="00647481">
        <w:rPr>
          <w:rStyle w:val="Ttulo2Car"/>
          <w:b/>
          <w:color w:val="00642D"/>
          <w:sz w:val="22"/>
          <w:szCs w:val="22"/>
          <w:lang w:bidi="es-ES"/>
        </w:rPr>
        <w:fldChar w:fldCharType="begin"/>
      </w:r>
      <w:r w:rsidRPr="00647481">
        <w:rPr>
          <w:rStyle w:val="Ttulo2Car"/>
          <w:b/>
          <w:color w:val="00642D"/>
          <w:sz w:val="22"/>
          <w:szCs w:val="22"/>
          <w:lang w:bidi="es-ES"/>
        </w:rPr>
        <w:instrText xml:space="preserve"> SEQ Tabla \* ARABIC </w:instrText>
      </w:r>
      <w:r w:rsidRPr="00647481">
        <w:rPr>
          <w:rStyle w:val="Ttulo2Car"/>
          <w:b/>
          <w:color w:val="00642D"/>
          <w:sz w:val="22"/>
          <w:szCs w:val="22"/>
          <w:lang w:bidi="es-ES"/>
        </w:rPr>
        <w:fldChar w:fldCharType="separate"/>
      </w:r>
      <w:r>
        <w:rPr>
          <w:rStyle w:val="Ttulo2Car"/>
          <w:b/>
          <w:noProof/>
          <w:color w:val="00642D"/>
          <w:sz w:val="22"/>
          <w:szCs w:val="22"/>
          <w:lang w:bidi="es-ES"/>
        </w:rPr>
        <w:t>1</w:t>
      </w:r>
      <w:r w:rsidRPr="00647481">
        <w:rPr>
          <w:rStyle w:val="Ttulo2Car"/>
          <w:b/>
          <w:color w:val="00642D"/>
          <w:sz w:val="22"/>
          <w:szCs w:val="22"/>
          <w:lang w:bidi="es-ES"/>
        </w:rPr>
        <w:fldChar w:fldCharType="end"/>
      </w:r>
      <w:r w:rsidRPr="00647481">
        <w:rPr>
          <w:rStyle w:val="Ttulo2Car"/>
          <w:b/>
          <w:color w:val="00642D"/>
          <w:sz w:val="22"/>
          <w:szCs w:val="22"/>
          <w:lang w:bidi="es-ES"/>
        </w:rPr>
        <w:t>:</w:t>
      </w:r>
      <w:r>
        <w:rPr>
          <w:rStyle w:val="Ttulo2Car"/>
          <w:b/>
          <w:color w:val="00642D"/>
          <w:sz w:val="22"/>
          <w:szCs w:val="22"/>
          <w:lang w:bidi="es-ES"/>
        </w:rPr>
        <w:t xml:space="preserve"> Indicadores de tramitación 2021</w:t>
      </w:r>
    </w:p>
    <w:tbl>
      <w:tblPr>
        <w:tblStyle w:val="Tablaconcuadrcula"/>
        <w:tblW w:w="0" w:type="auto"/>
        <w:tblInd w:w="534" w:type="dxa"/>
        <w:tblLook w:val="04A0" w:firstRow="1" w:lastRow="0" w:firstColumn="1" w:lastColumn="0" w:noHBand="0" w:noVBand="1"/>
      </w:tblPr>
      <w:tblGrid>
        <w:gridCol w:w="1299"/>
        <w:gridCol w:w="6322"/>
        <w:gridCol w:w="1559"/>
      </w:tblGrid>
      <w:tr w:rsidR="00932F1C" w:rsidRPr="00706E04" w:rsidTr="00932F1C">
        <w:trPr>
          <w:trHeight w:val="280"/>
        </w:trPr>
        <w:tc>
          <w:tcPr>
            <w:tcW w:w="1299" w:type="dxa"/>
            <w:vMerge w:val="restart"/>
            <w:tcBorders>
              <w:top w:val="nil"/>
              <w:right w:val="nil"/>
            </w:tcBorders>
            <w:shd w:val="clear" w:color="auto" w:fill="4D7F52"/>
            <w:textDirection w:val="btLr"/>
          </w:tcPr>
          <w:p w:rsidR="00932F1C" w:rsidRPr="005B3C15" w:rsidRDefault="00932F1C" w:rsidP="00932F1C">
            <w:pPr>
              <w:ind w:left="113" w:right="113"/>
              <w:jc w:val="center"/>
              <w:rPr>
                <w:b/>
                <w:color w:val="FFFFFF" w:themeColor="background1"/>
              </w:rPr>
            </w:pPr>
            <w:r w:rsidRPr="005B3C15">
              <w:rPr>
                <w:b/>
                <w:color w:val="FFFFFF" w:themeColor="background1"/>
              </w:rPr>
              <w:t>Indicadores de tramitación</w:t>
            </w:r>
          </w:p>
        </w:tc>
        <w:tc>
          <w:tcPr>
            <w:tcW w:w="6322" w:type="dxa"/>
            <w:tcBorders>
              <w:left w:val="nil"/>
            </w:tcBorders>
          </w:tcPr>
          <w:p w:rsidR="00932F1C" w:rsidRPr="006A2E9A" w:rsidRDefault="00932F1C" w:rsidP="00932F1C">
            <w:pPr>
              <w:rPr>
                <w:sz w:val="20"/>
                <w:szCs w:val="20"/>
              </w:rPr>
            </w:pPr>
            <w:r w:rsidRPr="006A2E9A">
              <w:rPr>
                <w:sz w:val="20"/>
                <w:szCs w:val="20"/>
              </w:rPr>
              <w:t>Solicitudes/persona UIT</w:t>
            </w:r>
          </w:p>
        </w:tc>
        <w:tc>
          <w:tcPr>
            <w:tcW w:w="1559" w:type="dxa"/>
          </w:tcPr>
          <w:p w:rsidR="00932F1C" w:rsidRPr="00932F1C" w:rsidRDefault="00932F1C" w:rsidP="00932F1C">
            <w:pPr>
              <w:jc w:val="center"/>
              <w:rPr>
                <w:sz w:val="20"/>
                <w:szCs w:val="20"/>
              </w:rPr>
            </w:pPr>
            <w:r>
              <w:rPr>
                <w:sz w:val="20"/>
                <w:szCs w:val="20"/>
              </w:rPr>
              <w:t>4,0</w:t>
            </w:r>
          </w:p>
        </w:tc>
      </w:tr>
      <w:tr w:rsidR="00932F1C" w:rsidRPr="00706E04" w:rsidTr="00932F1C">
        <w:tc>
          <w:tcPr>
            <w:tcW w:w="1299" w:type="dxa"/>
            <w:vMerge/>
            <w:tcBorders>
              <w:top w:val="nil"/>
              <w:right w:val="nil"/>
            </w:tcBorders>
            <w:shd w:val="clear" w:color="auto" w:fill="4D7F52"/>
            <w:textDirection w:val="btLr"/>
          </w:tcPr>
          <w:p w:rsidR="00932F1C" w:rsidRPr="005B3C15" w:rsidRDefault="00932F1C" w:rsidP="00932F1C">
            <w:pPr>
              <w:ind w:left="113" w:right="113"/>
              <w:jc w:val="center"/>
              <w:rPr>
                <w:b/>
                <w:color w:val="FFFFFF" w:themeColor="background1"/>
              </w:rPr>
            </w:pPr>
          </w:p>
        </w:tc>
        <w:tc>
          <w:tcPr>
            <w:tcW w:w="6322" w:type="dxa"/>
            <w:tcBorders>
              <w:left w:val="nil"/>
            </w:tcBorders>
          </w:tcPr>
          <w:p w:rsidR="00932F1C" w:rsidRPr="006A2E9A" w:rsidRDefault="00932F1C" w:rsidP="00932F1C">
            <w:pPr>
              <w:rPr>
                <w:sz w:val="20"/>
                <w:szCs w:val="20"/>
              </w:rPr>
            </w:pPr>
            <w:r w:rsidRPr="006A2E9A">
              <w:rPr>
                <w:sz w:val="20"/>
                <w:szCs w:val="20"/>
              </w:rPr>
              <w:t>Solicitudes tramitadas/persona UIT</w:t>
            </w:r>
          </w:p>
        </w:tc>
        <w:tc>
          <w:tcPr>
            <w:tcW w:w="1559" w:type="dxa"/>
          </w:tcPr>
          <w:p w:rsidR="00932F1C" w:rsidRPr="00932F1C" w:rsidRDefault="00932F1C" w:rsidP="00932F1C">
            <w:pPr>
              <w:jc w:val="center"/>
              <w:rPr>
                <w:sz w:val="20"/>
                <w:szCs w:val="20"/>
              </w:rPr>
            </w:pPr>
            <w:r>
              <w:rPr>
                <w:sz w:val="20"/>
                <w:szCs w:val="20"/>
              </w:rPr>
              <w:t>4,0</w:t>
            </w:r>
          </w:p>
        </w:tc>
      </w:tr>
      <w:tr w:rsidR="00932F1C" w:rsidRPr="00706E04" w:rsidTr="00932F1C">
        <w:tc>
          <w:tcPr>
            <w:tcW w:w="1299" w:type="dxa"/>
            <w:vMerge/>
            <w:tcBorders>
              <w:right w:val="nil"/>
            </w:tcBorders>
            <w:shd w:val="clear" w:color="auto" w:fill="4D7F52"/>
            <w:textDirection w:val="btLr"/>
          </w:tcPr>
          <w:p w:rsidR="00932F1C" w:rsidRPr="005B3C15" w:rsidRDefault="00932F1C" w:rsidP="00932F1C">
            <w:pPr>
              <w:ind w:left="113" w:right="113"/>
              <w:jc w:val="center"/>
              <w:rPr>
                <w:b/>
                <w:color w:val="FFFFFF" w:themeColor="background1"/>
              </w:rPr>
            </w:pPr>
          </w:p>
        </w:tc>
        <w:tc>
          <w:tcPr>
            <w:tcW w:w="6322" w:type="dxa"/>
            <w:tcBorders>
              <w:left w:val="nil"/>
            </w:tcBorders>
          </w:tcPr>
          <w:p w:rsidR="00932F1C" w:rsidRPr="006A2E9A" w:rsidRDefault="00932F1C" w:rsidP="00932F1C">
            <w:pPr>
              <w:rPr>
                <w:sz w:val="20"/>
                <w:szCs w:val="20"/>
              </w:rPr>
            </w:pPr>
            <w:r w:rsidRPr="006A2E9A">
              <w:rPr>
                <w:sz w:val="20"/>
                <w:szCs w:val="20"/>
              </w:rPr>
              <w:t>Tasa de Tramitación (tramitadas/(pendientes a 31/12/2019 + recibidas 2020))</w:t>
            </w:r>
          </w:p>
        </w:tc>
        <w:tc>
          <w:tcPr>
            <w:tcW w:w="1559" w:type="dxa"/>
          </w:tcPr>
          <w:p w:rsidR="00932F1C" w:rsidRPr="00932F1C" w:rsidRDefault="00932F1C" w:rsidP="00932F1C">
            <w:pPr>
              <w:jc w:val="center"/>
              <w:rPr>
                <w:sz w:val="20"/>
                <w:szCs w:val="20"/>
              </w:rPr>
            </w:pPr>
            <w:r>
              <w:rPr>
                <w:sz w:val="20"/>
                <w:szCs w:val="20"/>
              </w:rPr>
              <w:t>100,0</w:t>
            </w:r>
          </w:p>
        </w:tc>
      </w:tr>
      <w:tr w:rsidR="00932F1C" w:rsidRPr="00706E04" w:rsidTr="00932F1C">
        <w:tc>
          <w:tcPr>
            <w:tcW w:w="1299" w:type="dxa"/>
            <w:vMerge/>
            <w:tcBorders>
              <w:right w:val="nil"/>
            </w:tcBorders>
            <w:shd w:val="clear" w:color="auto" w:fill="4D7F52"/>
            <w:textDirection w:val="btLr"/>
          </w:tcPr>
          <w:p w:rsidR="00932F1C" w:rsidRPr="005B3C15" w:rsidRDefault="00932F1C" w:rsidP="00932F1C">
            <w:pPr>
              <w:ind w:left="113" w:right="113"/>
              <w:jc w:val="center"/>
              <w:rPr>
                <w:b/>
                <w:color w:val="FFFFFF" w:themeColor="background1"/>
              </w:rPr>
            </w:pPr>
          </w:p>
        </w:tc>
        <w:tc>
          <w:tcPr>
            <w:tcW w:w="6322" w:type="dxa"/>
            <w:tcBorders>
              <w:left w:val="nil"/>
            </w:tcBorders>
          </w:tcPr>
          <w:p w:rsidR="00932F1C" w:rsidRPr="006A2E9A" w:rsidRDefault="00932F1C" w:rsidP="00932F1C">
            <w:pPr>
              <w:rPr>
                <w:sz w:val="20"/>
                <w:szCs w:val="20"/>
              </w:rPr>
            </w:pPr>
            <w:r w:rsidRPr="006A2E9A">
              <w:rPr>
                <w:sz w:val="20"/>
                <w:szCs w:val="20"/>
              </w:rPr>
              <w:t>Tasa de pendencia (pendientes a 31/12/2020 / tramitadas)</w:t>
            </w:r>
          </w:p>
        </w:tc>
        <w:tc>
          <w:tcPr>
            <w:tcW w:w="1559" w:type="dxa"/>
          </w:tcPr>
          <w:p w:rsidR="00932F1C" w:rsidRPr="00932F1C" w:rsidRDefault="00932F1C" w:rsidP="00932F1C">
            <w:pPr>
              <w:jc w:val="center"/>
              <w:rPr>
                <w:sz w:val="20"/>
                <w:szCs w:val="20"/>
              </w:rPr>
            </w:pPr>
            <w:r w:rsidRPr="00932F1C">
              <w:rPr>
                <w:sz w:val="20"/>
                <w:szCs w:val="20"/>
              </w:rPr>
              <w:t>,00</w:t>
            </w:r>
          </w:p>
        </w:tc>
      </w:tr>
      <w:tr w:rsidR="00932F1C" w:rsidRPr="00706E04" w:rsidTr="00932F1C">
        <w:tc>
          <w:tcPr>
            <w:tcW w:w="1299" w:type="dxa"/>
            <w:vMerge/>
            <w:tcBorders>
              <w:right w:val="nil"/>
            </w:tcBorders>
            <w:shd w:val="clear" w:color="auto" w:fill="4D7F52"/>
            <w:textDirection w:val="btLr"/>
          </w:tcPr>
          <w:p w:rsidR="00932F1C" w:rsidRPr="005B3C15" w:rsidRDefault="00932F1C" w:rsidP="00932F1C">
            <w:pPr>
              <w:ind w:left="113" w:right="113"/>
              <w:jc w:val="center"/>
              <w:rPr>
                <w:b/>
                <w:color w:val="FFFFFF" w:themeColor="background1"/>
              </w:rPr>
            </w:pPr>
          </w:p>
        </w:tc>
        <w:tc>
          <w:tcPr>
            <w:tcW w:w="6322" w:type="dxa"/>
            <w:tcBorders>
              <w:left w:val="nil"/>
            </w:tcBorders>
          </w:tcPr>
          <w:p w:rsidR="00932F1C" w:rsidRPr="006A2E9A" w:rsidRDefault="00932F1C" w:rsidP="00932F1C">
            <w:pPr>
              <w:rPr>
                <w:sz w:val="20"/>
                <w:szCs w:val="20"/>
              </w:rPr>
            </w:pPr>
            <w:r w:rsidRPr="006A2E9A">
              <w:rPr>
                <w:sz w:val="20"/>
                <w:szCs w:val="20"/>
              </w:rPr>
              <w:t>Tasa de resolución en la tramitación (tramitadas/entradas en 2020)</w:t>
            </w:r>
          </w:p>
        </w:tc>
        <w:tc>
          <w:tcPr>
            <w:tcW w:w="1559" w:type="dxa"/>
          </w:tcPr>
          <w:p w:rsidR="00932F1C" w:rsidRPr="00932F1C" w:rsidRDefault="00932F1C" w:rsidP="00932F1C">
            <w:pPr>
              <w:jc w:val="center"/>
              <w:rPr>
                <w:sz w:val="20"/>
                <w:szCs w:val="20"/>
              </w:rPr>
            </w:pPr>
            <w:r w:rsidRPr="00932F1C">
              <w:rPr>
                <w:sz w:val="20"/>
                <w:szCs w:val="20"/>
              </w:rPr>
              <w:t>100,0</w:t>
            </w:r>
          </w:p>
        </w:tc>
      </w:tr>
      <w:tr w:rsidR="00932F1C" w:rsidRPr="00706E04" w:rsidTr="00932F1C">
        <w:tc>
          <w:tcPr>
            <w:tcW w:w="1299" w:type="dxa"/>
            <w:vMerge/>
            <w:tcBorders>
              <w:right w:val="nil"/>
            </w:tcBorders>
            <w:shd w:val="clear" w:color="auto" w:fill="4D7F52"/>
            <w:textDirection w:val="btLr"/>
          </w:tcPr>
          <w:p w:rsidR="00932F1C" w:rsidRPr="005B3C15" w:rsidRDefault="00932F1C" w:rsidP="00932F1C">
            <w:pPr>
              <w:ind w:left="113" w:right="113"/>
              <w:jc w:val="center"/>
              <w:rPr>
                <w:b/>
                <w:color w:val="FFFFFF" w:themeColor="background1"/>
              </w:rPr>
            </w:pPr>
          </w:p>
        </w:tc>
        <w:tc>
          <w:tcPr>
            <w:tcW w:w="6322" w:type="dxa"/>
            <w:tcBorders>
              <w:left w:val="nil"/>
            </w:tcBorders>
          </w:tcPr>
          <w:p w:rsidR="00932F1C" w:rsidRPr="006A2E9A" w:rsidRDefault="00932F1C" w:rsidP="00932F1C">
            <w:pPr>
              <w:rPr>
                <w:sz w:val="20"/>
                <w:szCs w:val="20"/>
              </w:rPr>
            </w:pPr>
            <w:r w:rsidRPr="006A2E9A">
              <w:rPr>
                <w:sz w:val="20"/>
                <w:szCs w:val="20"/>
              </w:rPr>
              <w:t>Tasa de congestión ((pendientes a 31/12/2019 + entradas 2020) / tramitadas</w:t>
            </w:r>
          </w:p>
        </w:tc>
        <w:tc>
          <w:tcPr>
            <w:tcW w:w="1559" w:type="dxa"/>
          </w:tcPr>
          <w:p w:rsidR="00932F1C" w:rsidRPr="00932F1C" w:rsidRDefault="00932F1C" w:rsidP="00932F1C">
            <w:pPr>
              <w:jc w:val="center"/>
              <w:rPr>
                <w:sz w:val="20"/>
                <w:szCs w:val="20"/>
              </w:rPr>
            </w:pPr>
            <w:r w:rsidRPr="00932F1C">
              <w:rPr>
                <w:sz w:val="20"/>
                <w:szCs w:val="20"/>
              </w:rPr>
              <w:t>100,0</w:t>
            </w:r>
          </w:p>
        </w:tc>
      </w:tr>
      <w:tr w:rsidR="00932F1C" w:rsidRPr="00706E04" w:rsidTr="00932F1C">
        <w:tc>
          <w:tcPr>
            <w:tcW w:w="1299" w:type="dxa"/>
            <w:vMerge/>
            <w:tcBorders>
              <w:right w:val="nil"/>
            </w:tcBorders>
            <w:shd w:val="clear" w:color="auto" w:fill="4D7F52"/>
            <w:textDirection w:val="btLr"/>
          </w:tcPr>
          <w:p w:rsidR="00932F1C" w:rsidRPr="005B3C15" w:rsidRDefault="00932F1C" w:rsidP="00932F1C">
            <w:pPr>
              <w:ind w:left="113" w:right="113"/>
              <w:jc w:val="center"/>
              <w:rPr>
                <w:b/>
                <w:color w:val="FFFFFF" w:themeColor="background1"/>
              </w:rPr>
            </w:pPr>
          </w:p>
        </w:tc>
        <w:tc>
          <w:tcPr>
            <w:tcW w:w="6322" w:type="dxa"/>
            <w:tcBorders>
              <w:left w:val="nil"/>
            </w:tcBorders>
          </w:tcPr>
          <w:p w:rsidR="00932F1C" w:rsidRPr="006A2E9A" w:rsidRDefault="00932F1C" w:rsidP="00932F1C">
            <w:pPr>
              <w:rPr>
                <w:sz w:val="20"/>
                <w:szCs w:val="20"/>
              </w:rPr>
            </w:pPr>
            <w:r w:rsidRPr="006A2E9A">
              <w:rPr>
                <w:sz w:val="20"/>
                <w:szCs w:val="20"/>
              </w:rPr>
              <w:t xml:space="preserve">Tiempo medio estimado para la tramitación de las solicitudes pendientes ((pendientes a 31/12/2020 / tramitadas)*365 </w:t>
            </w:r>
          </w:p>
        </w:tc>
        <w:tc>
          <w:tcPr>
            <w:tcW w:w="1559" w:type="dxa"/>
          </w:tcPr>
          <w:p w:rsidR="00932F1C" w:rsidRPr="00932F1C" w:rsidRDefault="00932F1C" w:rsidP="00932F1C">
            <w:pPr>
              <w:jc w:val="center"/>
              <w:rPr>
                <w:sz w:val="20"/>
                <w:szCs w:val="20"/>
              </w:rPr>
            </w:pPr>
            <w:r>
              <w:rPr>
                <w:sz w:val="20"/>
                <w:szCs w:val="20"/>
              </w:rPr>
              <w:t>0,0</w:t>
            </w:r>
          </w:p>
        </w:tc>
      </w:tr>
      <w:tr w:rsidR="00932F1C" w:rsidRPr="00706E04" w:rsidTr="00932F1C">
        <w:tc>
          <w:tcPr>
            <w:tcW w:w="1299" w:type="dxa"/>
            <w:vMerge/>
            <w:tcBorders>
              <w:right w:val="nil"/>
            </w:tcBorders>
            <w:shd w:val="clear" w:color="auto" w:fill="4D7F52"/>
            <w:textDirection w:val="btLr"/>
          </w:tcPr>
          <w:p w:rsidR="00932F1C" w:rsidRPr="005B3C15" w:rsidRDefault="00932F1C" w:rsidP="00932F1C">
            <w:pPr>
              <w:ind w:left="113" w:right="113"/>
              <w:jc w:val="center"/>
              <w:rPr>
                <w:b/>
                <w:color w:val="FFFFFF" w:themeColor="background1"/>
              </w:rPr>
            </w:pPr>
          </w:p>
        </w:tc>
        <w:tc>
          <w:tcPr>
            <w:tcW w:w="6322" w:type="dxa"/>
            <w:tcBorders>
              <w:left w:val="nil"/>
            </w:tcBorders>
          </w:tcPr>
          <w:p w:rsidR="00932F1C" w:rsidRPr="006A2E9A" w:rsidRDefault="00932F1C" w:rsidP="00932F1C">
            <w:pPr>
              <w:rPr>
                <w:sz w:val="20"/>
                <w:szCs w:val="20"/>
              </w:rPr>
            </w:pPr>
            <w:r w:rsidRPr="006A2E9A">
              <w:rPr>
                <w:sz w:val="20"/>
                <w:szCs w:val="20"/>
              </w:rPr>
              <w:t>Tasa de admisión (admitidas/tramitadas)</w:t>
            </w:r>
          </w:p>
        </w:tc>
        <w:tc>
          <w:tcPr>
            <w:tcW w:w="1559" w:type="dxa"/>
          </w:tcPr>
          <w:p w:rsidR="00932F1C" w:rsidRPr="00932F1C" w:rsidRDefault="00932F1C" w:rsidP="00932F1C">
            <w:pPr>
              <w:jc w:val="center"/>
              <w:rPr>
                <w:sz w:val="20"/>
                <w:szCs w:val="20"/>
              </w:rPr>
            </w:pPr>
            <w:r w:rsidRPr="00932F1C">
              <w:rPr>
                <w:sz w:val="20"/>
                <w:szCs w:val="20"/>
              </w:rPr>
              <w:t>83,3</w:t>
            </w:r>
          </w:p>
        </w:tc>
      </w:tr>
      <w:tr w:rsidR="00932F1C" w:rsidRPr="00706E04" w:rsidTr="00932F1C">
        <w:tc>
          <w:tcPr>
            <w:tcW w:w="1299" w:type="dxa"/>
            <w:vMerge/>
            <w:tcBorders>
              <w:right w:val="nil"/>
            </w:tcBorders>
            <w:shd w:val="clear" w:color="auto" w:fill="4D7F52"/>
            <w:textDirection w:val="btLr"/>
          </w:tcPr>
          <w:p w:rsidR="00932F1C" w:rsidRPr="005B3C15" w:rsidRDefault="00932F1C" w:rsidP="00932F1C">
            <w:pPr>
              <w:ind w:left="113" w:right="113"/>
              <w:jc w:val="center"/>
              <w:rPr>
                <w:b/>
                <w:color w:val="FFFFFF" w:themeColor="background1"/>
              </w:rPr>
            </w:pPr>
          </w:p>
        </w:tc>
        <w:tc>
          <w:tcPr>
            <w:tcW w:w="6322" w:type="dxa"/>
            <w:tcBorders>
              <w:left w:val="nil"/>
            </w:tcBorders>
          </w:tcPr>
          <w:p w:rsidR="00932F1C" w:rsidRPr="006A2E9A" w:rsidRDefault="00932F1C" w:rsidP="00932F1C">
            <w:pPr>
              <w:rPr>
                <w:sz w:val="20"/>
                <w:szCs w:val="20"/>
              </w:rPr>
            </w:pPr>
            <w:r w:rsidRPr="006A2E9A">
              <w:rPr>
                <w:sz w:val="20"/>
                <w:szCs w:val="20"/>
              </w:rPr>
              <w:t>Tasa de inadmisión (inadmitidas/ tramitadas)</w:t>
            </w:r>
          </w:p>
        </w:tc>
        <w:tc>
          <w:tcPr>
            <w:tcW w:w="1559" w:type="dxa"/>
          </w:tcPr>
          <w:p w:rsidR="00932F1C" w:rsidRPr="00932F1C" w:rsidRDefault="00932F1C" w:rsidP="00932F1C">
            <w:pPr>
              <w:jc w:val="center"/>
              <w:rPr>
                <w:sz w:val="20"/>
                <w:szCs w:val="20"/>
              </w:rPr>
            </w:pPr>
            <w:r w:rsidRPr="00932F1C">
              <w:rPr>
                <w:sz w:val="20"/>
                <w:szCs w:val="20"/>
              </w:rPr>
              <w:t>16,</w:t>
            </w:r>
            <w:r>
              <w:rPr>
                <w:sz w:val="20"/>
                <w:szCs w:val="20"/>
              </w:rPr>
              <w:t>7</w:t>
            </w:r>
          </w:p>
        </w:tc>
      </w:tr>
      <w:tr w:rsidR="00932F1C" w:rsidRPr="00706E04" w:rsidTr="00932F1C">
        <w:tc>
          <w:tcPr>
            <w:tcW w:w="1299" w:type="dxa"/>
            <w:vMerge/>
            <w:tcBorders>
              <w:right w:val="nil"/>
            </w:tcBorders>
            <w:shd w:val="clear" w:color="auto" w:fill="4D7F52"/>
            <w:textDirection w:val="btLr"/>
          </w:tcPr>
          <w:p w:rsidR="00932F1C" w:rsidRPr="005B3C15" w:rsidRDefault="00932F1C" w:rsidP="00932F1C">
            <w:pPr>
              <w:ind w:left="113" w:right="113"/>
              <w:jc w:val="center"/>
              <w:rPr>
                <w:b/>
                <w:color w:val="FFFFFF" w:themeColor="background1"/>
              </w:rPr>
            </w:pPr>
          </w:p>
        </w:tc>
        <w:tc>
          <w:tcPr>
            <w:tcW w:w="6322" w:type="dxa"/>
            <w:tcBorders>
              <w:left w:val="nil"/>
            </w:tcBorders>
          </w:tcPr>
          <w:p w:rsidR="00932F1C" w:rsidRPr="006A2E9A" w:rsidRDefault="00932F1C" w:rsidP="00932F1C">
            <w:pPr>
              <w:rPr>
                <w:sz w:val="20"/>
                <w:szCs w:val="20"/>
              </w:rPr>
            </w:pPr>
            <w:r w:rsidRPr="006A2E9A">
              <w:rPr>
                <w:sz w:val="20"/>
                <w:szCs w:val="20"/>
              </w:rPr>
              <w:t>Tasa de archivo (archivadas/tramitadas)</w:t>
            </w:r>
          </w:p>
        </w:tc>
        <w:tc>
          <w:tcPr>
            <w:tcW w:w="1559" w:type="dxa"/>
          </w:tcPr>
          <w:p w:rsidR="00932F1C" w:rsidRPr="00932F1C" w:rsidRDefault="00932F1C" w:rsidP="00932F1C">
            <w:pPr>
              <w:jc w:val="center"/>
              <w:rPr>
                <w:sz w:val="20"/>
                <w:szCs w:val="20"/>
              </w:rPr>
            </w:pPr>
            <w:r>
              <w:rPr>
                <w:sz w:val="20"/>
                <w:szCs w:val="20"/>
              </w:rPr>
              <w:t>0</w:t>
            </w:r>
            <w:r w:rsidRPr="00932F1C">
              <w:rPr>
                <w:sz w:val="20"/>
                <w:szCs w:val="20"/>
              </w:rPr>
              <w:t>,0</w:t>
            </w:r>
          </w:p>
        </w:tc>
      </w:tr>
    </w:tbl>
    <w:p w:rsidR="005A2A22" w:rsidRDefault="005A2A22" w:rsidP="00CF15A6">
      <w:pPr>
        <w:pStyle w:val="Cuerpodelboletn"/>
        <w:spacing w:before="120" w:after="120" w:line="312" w:lineRule="auto"/>
        <w:ind w:left="360"/>
        <w:rPr>
          <w:bCs/>
          <w:color w:val="auto"/>
          <w:szCs w:val="22"/>
        </w:rPr>
      </w:pPr>
    </w:p>
    <w:p w:rsidR="00932F1C" w:rsidRDefault="00932F1C" w:rsidP="00932F1C">
      <w:pPr>
        <w:pStyle w:val="Cuerpodelboletn"/>
        <w:spacing w:before="120" w:after="120" w:line="312" w:lineRule="auto"/>
        <w:ind w:left="360"/>
        <w:rPr>
          <w:rStyle w:val="Ttulo2Car"/>
          <w:color w:val="00642D"/>
          <w:lang w:bidi="es-ES"/>
        </w:rPr>
      </w:pPr>
      <w:r w:rsidRPr="00A41DD5">
        <w:rPr>
          <w:rStyle w:val="Ttulo2Car"/>
          <w:color w:val="00642D"/>
          <w:lang w:bidi="es-ES"/>
        </w:rPr>
        <w:t>II.</w:t>
      </w:r>
      <w:r>
        <w:rPr>
          <w:rStyle w:val="Ttulo2Car"/>
          <w:color w:val="00642D"/>
          <w:lang w:bidi="es-ES"/>
        </w:rPr>
        <w:t xml:space="preserve">3 </w:t>
      </w:r>
      <w:r w:rsidRPr="00055B15">
        <w:rPr>
          <w:rStyle w:val="Ttulo2Car"/>
          <w:color w:val="00642D"/>
          <w:lang w:bidi="es-ES"/>
        </w:rPr>
        <w:t xml:space="preserve">Resoluciones </w:t>
      </w:r>
      <w:r>
        <w:rPr>
          <w:rStyle w:val="Ttulo2Car"/>
          <w:color w:val="00642D"/>
          <w:lang w:bidi="es-ES"/>
        </w:rPr>
        <w:t>dictadas</w:t>
      </w:r>
      <w:r w:rsidRPr="00055B15">
        <w:rPr>
          <w:rStyle w:val="Ttulo2Car"/>
          <w:color w:val="00642D"/>
          <w:lang w:bidi="es-ES"/>
        </w:rPr>
        <w:t xml:space="preserve"> en 202</w:t>
      </w:r>
      <w:r>
        <w:rPr>
          <w:rStyle w:val="Ttulo2Car"/>
          <w:color w:val="00642D"/>
          <w:lang w:bidi="es-ES"/>
        </w:rPr>
        <w:t>1</w:t>
      </w:r>
    </w:p>
    <w:p w:rsidR="00932F1C" w:rsidRDefault="00932F1C" w:rsidP="00932F1C">
      <w:pPr>
        <w:ind w:left="426"/>
        <w:jc w:val="both"/>
        <w:rPr>
          <w:rStyle w:val="Ttulo2Car"/>
          <w:b w:val="0"/>
          <w:color w:val="auto"/>
          <w:sz w:val="22"/>
          <w:szCs w:val="22"/>
          <w:lang w:bidi="es-ES"/>
        </w:rPr>
      </w:pPr>
    </w:p>
    <w:p w:rsidR="00932F1C" w:rsidRPr="00B64369" w:rsidRDefault="00932F1C" w:rsidP="00932F1C">
      <w:pPr>
        <w:ind w:left="426"/>
        <w:jc w:val="both"/>
        <w:rPr>
          <w:rStyle w:val="Ttulo2Car"/>
          <w:color w:val="00642D"/>
          <w:lang w:bidi="es-ES"/>
        </w:rPr>
      </w:pPr>
      <w:r w:rsidRPr="00B64369">
        <w:rPr>
          <w:rStyle w:val="Ttulo2Car"/>
          <w:b w:val="0"/>
          <w:color w:val="auto"/>
          <w:sz w:val="22"/>
          <w:szCs w:val="22"/>
          <w:lang w:bidi="es-ES"/>
        </w:rPr>
        <w:t xml:space="preserve">Respecto de las resoluciones </w:t>
      </w:r>
      <w:r>
        <w:rPr>
          <w:rStyle w:val="Ttulo2Car"/>
          <w:b w:val="0"/>
          <w:color w:val="auto"/>
          <w:sz w:val="22"/>
          <w:szCs w:val="22"/>
          <w:lang w:bidi="es-ES"/>
        </w:rPr>
        <w:t>dictadas en 2021</w:t>
      </w:r>
      <w:r w:rsidRPr="00B64369">
        <w:rPr>
          <w:rStyle w:val="Ttulo2Car"/>
          <w:b w:val="0"/>
          <w:color w:val="auto"/>
          <w:sz w:val="22"/>
          <w:szCs w:val="22"/>
          <w:lang w:bidi="es-ES"/>
        </w:rPr>
        <w:t xml:space="preserve">, </w:t>
      </w:r>
      <w:r w:rsidR="00335E04">
        <w:rPr>
          <w:rStyle w:val="Ttulo2Car"/>
          <w:b w:val="0"/>
          <w:color w:val="auto"/>
          <w:sz w:val="22"/>
          <w:szCs w:val="22"/>
          <w:lang w:bidi="es-ES"/>
        </w:rPr>
        <w:t>diez</w:t>
      </w:r>
      <w:r w:rsidR="00076723">
        <w:rPr>
          <w:rStyle w:val="Ttulo2Car"/>
          <w:b w:val="0"/>
          <w:color w:val="auto"/>
          <w:sz w:val="22"/>
          <w:szCs w:val="22"/>
          <w:lang w:bidi="es-ES"/>
        </w:rPr>
        <w:t xml:space="preserve">, todas ellas fueron estimatorias y </w:t>
      </w:r>
      <w:r w:rsidRPr="00B64369">
        <w:rPr>
          <w:rStyle w:val="Ttulo2Car"/>
          <w:b w:val="0"/>
          <w:color w:val="auto"/>
          <w:sz w:val="22"/>
          <w:szCs w:val="22"/>
          <w:lang w:bidi="es-ES"/>
        </w:rPr>
        <w:t xml:space="preserve"> concedie</w:t>
      </w:r>
      <w:r>
        <w:rPr>
          <w:rStyle w:val="Ttulo2Car"/>
          <w:b w:val="0"/>
          <w:color w:val="auto"/>
          <w:sz w:val="22"/>
          <w:szCs w:val="22"/>
          <w:lang w:bidi="es-ES"/>
        </w:rPr>
        <w:t xml:space="preserve">ron acceso </w:t>
      </w:r>
      <w:r w:rsidR="00076723">
        <w:rPr>
          <w:rStyle w:val="Ttulo2Car"/>
          <w:b w:val="0"/>
          <w:color w:val="auto"/>
          <w:sz w:val="22"/>
          <w:szCs w:val="22"/>
          <w:lang w:bidi="es-ES"/>
        </w:rPr>
        <w:t xml:space="preserve">total </w:t>
      </w:r>
      <w:r>
        <w:rPr>
          <w:rStyle w:val="Ttulo2Car"/>
          <w:b w:val="0"/>
          <w:color w:val="auto"/>
          <w:sz w:val="22"/>
          <w:szCs w:val="22"/>
          <w:lang w:bidi="es-ES"/>
        </w:rPr>
        <w:t>a la información</w:t>
      </w:r>
      <w:r w:rsidR="00076723">
        <w:rPr>
          <w:rStyle w:val="Ttulo2Car"/>
          <w:b w:val="0"/>
          <w:color w:val="auto"/>
          <w:sz w:val="22"/>
          <w:szCs w:val="22"/>
          <w:lang w:bidi="es-ES"/>
        </w:rPr>
        <w:t>.</w:t>
      </w:r>
      <w:r>
        <w:rPr>
          <w:rStyle w:val="Ttulo2Car"/>
          <w:b w:val="0"/>
          <w:color w:val="auto"/>
          <w:sz w:val="22"/>
          <w:szCs w:val="22"/>
          <w:lang w:bidi="es-ES"/>
        </w:rPr>
        <w:t xml:space="preserve"> </w:t>
      </w:r>
    </w:p>
    <w:p w:rsidR="00932F1C" w:rsidRPr="009079EA" w:rsidRDefault="00932F1C" w:rsidP="00932F1C">
      <w:pPr>
        <w:pStyle w:val="Cuerpodelboletn"/>
        <w:spacing w:before="120" w:after="120" w:line="276" w:lineRule="auto"/>
        <w:ind w:left="426"/>
        <w:rPr>
          <w:rStyle w:val="Ttulo2Car"/>
          <w:b w:val="0"/>
          <w:color w:val="auto"/>
          <w:sz w:val="22"/>
          <w:szCs w:val="22"/>
          <w:lang w:bidi="es-ES"/>
        </w:rPr>
      </w:pPr>
      <w:r w:rsidRPr="00C25AF5">
        <w:rPr>
          <w:rStyle w:val="Ttulo2Car"/>
          <w:b w:val="0"/>
          <w:color w:val="auto"/>
          <w:sz w:val="22"/>
          <w:szCs w:val="22"/>
          <w:lang w:bidi="es-ES"/>
        </w:rPr>
        <w:t xml:space="preserve">No se ha localizado en la web </w:t>
      </w:r>
      <w:r>
        <w:rPr>
          <w:rStyle w:val="Ttulo2Car"/>
          <w:b w:val="0"/>
          <w:color w:val="auto"/>
          <w:sz w:val="22"/>
          <w:szCs w:val="22"/>
          <w:lang w:bidi="es-ES"/>
        </w:rPr>
        <w:t xml:space="preserve">de la </w:t>
      </w:r>
      <w:r w:rsidR="00076723">
        <w:rPr>
          <w:rStyle w:val="Ttulo2Car"/>
          <w:b w:val="0"/>
          <w:color w:val="auto"/>
          <w:sz w:val="22"/>
          <w:szCs w:val="22"/>
          <w:lang w:bidi="es-ES"/>
        </w:rPr>
        <w:t>AP de Baleares</w:t>
      </w:r>
      <w:r w:rsidRPr="00C25AF5">
        <w:rPr>
          <w:rStyle w:val="Ttulo2Car"/>
          <w:b w:val="0"/>
          <w:color w:val="auto"/>
          <w:sz w:val="22"/>
          <w:szCs w:val="22"/>
          <w:lang w:bidi="es-ES"/>
        </w:rPr>
        <w:t xml:space="preserve">, información sobre las solicitudes denegadas por aplicación de los límites del artículo 14 de la LTAIBG, tal y como establece el artículo 14.3 de la norma, que obliga a la publicación de estas resoluciones previa disociación de los datos de carácter personal. </w:t>
      </w:r>
    </w:p>
    <w:p w:rsidR="00932F1C" w:rsidRDefault="00932F1C" w:rsidP="00932F1C"/>
    <w:p w:rsidR="00932F1C" w:rsidRDefault="00932F1C" w:rsidP="00932F1C">
      <w:pPr>
        <w:pStyle w:val="Cuerpodelboletn"/>
        <w:spacing w:before="120" w:after="120" w:line="312" w:lineRule="auto"/>
        <w:ind w:left="360"/>
        <w:rPr>
          <w:rStyle w:val="Ttulo2Car"/>
          <w:color w:val="00642D"/>
          <w:lang w:bidi="es-ES"/>
        </w:rPr>
      </w:pPr>
      <w:r w:rsidRPr="00A41DD5">
        <w:rPr>
          <w:rStyle w:val="Ttulo2Car"/>
          <w:color w:val="00642D"/>
          <w:lang w:bidi="es-ES"/>
        </w:rPr>
        <w:t>II.</w:t>
      </w:r>
      <w:r>
        <w:rPr>
          <w:rStyle w:val="Ttulo2Car"/>
          <w:color w:val="00642D"/>
          <w:lang w:bidi="es-ES"/>
        </w:rPr>
        <w:t>4 Indicadores de resolución en 202</w:t>
      </w:r>
      <w:r w:rsidR="00076723">
        <w:rPr>
          <w:rStyle w:val="Ttulo2Car"/>
          <w:color w:val="00642D"/>
          <w:lang w:bidi="es-ES"/>
        </w:rPr>
        <w:t>1</w:t>
      </w:r>
      <w:r>
        <w:rPr>
          <w:rStyle w:val="Ttulo2Car"/>
          <w:color w:val="00642D"/>
          <w:lang w:bidi="es-ES"/>
        </w:rPr>
        <w:t xml:space="preserve"> </w:t>
      </w:r>
    </w:p>
    <w:p w:rsidR="00932F1C" w:rsidRDefault="00932F1C" w:rsidP="00932F1C">
      <w:pPr>
        <w:ind w:left="426"/>
        <w:jc w:val="both"/>
      </w:pPr>
    </w:p>
    <w:p w:rsidR="00932F1C" w:rsidRDefault="00932F1C" w:rsidP="00932F1C">
      <w:pPr>
        <w:ind w:left="426"/>
        <w:jc w:val="both"/>
      </w:pPr>
      <w:r w:rsidRPr="00D2277D">
        <w:t xml:space="preserve">La </w:t>
      </w:r>
      <w:r w:rsidR="00076723">
        <w:t xml:space="preserve">AP de Baleares </w:t>
      </w:r>
      <w:r w:rsidRPr="00D2277D">
        <w:t xml:space="preserve">emite resoluciones expresas para </w:t>
      </w:r>
      <w:r w:rsidR="00076723">
        <w:t>la totalidad</w:t>
      </w:r>
      <w:r>
        <w:t xml:space="preserve"> de </w:t>
      </w:r>
      <w:r w:rsidRPr="00D2277D">
        <w:t>las solicitudes admitidas. Ninguna solicitud ha sido desestimada por silencio administrativo.</w:t>
      </w:r>
    </w:p>
    <w:p w:rsidR="00932F1C" w:rsidRPr="009079EA" w:rsidRDefault="00932F1C" w:rsidP="00932F1C">
      <w:pPr>
        <w:pStyle w:val="Epgrafe"/>
        <w:keepNext/>
        <w:ind w:left="426"/>
        <w:rPr>
          <w:rStyle w:val="Ttulo2Car"/>
          <w:b/>
          <w:color w:val="00642D"/>
          <w:sz w:val="22"/>
          <w:szCs w:val="22"/>
          <w:lang w:bidi="es-ES"/>
        </w:rPr>
      </w:pPr>
      <w:r w:rsidRPr="009079EA">
        <w:rPr>
          <w:rStyle w:val="Ttulo2Car"/>
          <w:b/>
          <w:color w:val="00642D"/>
          <w:sz w:val="22"/>
          <w:szCs w:val="22"/>
          <w:lang w:bidi="es-ES"/>
        </w:rPr>
        <w:t xml:space="preserve">Tabla </w:t>
      </w:r>
      <w:r w:rsidRPr="009079EA">
        <w:rPr>
          <w:rStyle w:val="Ttulo2Car"/>
          <w:b/>
          <w:color w:val="00642D"/>
          <w:sz w:val="22"/>
          <w:szCs w:val="22"/>
          <w:lang w:bidi="es-ES"/>
        </w:rPr>
        <w:fldChar w:fldCharType="begin"/>
      </w:r>
      <w:r w:rsidRPr="009079EA">
        <w:rPr>
          <w:rStyle w:val="Ttulo2Car"/>
          <w:b/>
          <w:color w:val="00642D"/>
          <w:sz w:val="22"/>
          <w:szCs w:val="22"/>
          <w:lang w:bidi="es-ES"/>
        </w:rPr>
        <w:instrText xml:space="preserve"> SEQ Tabla \* ARABIC </w:instrText>
      </w:r>
      <w:r w:rsidRPr="009079EA">
        <w:rPr>
          <w:rStyle w:val="Ttulo2Car"/>
          <w:b/>
          <w:color w:val="00642D"/>
          <w:sz w:val="22"/>
          <w:szCs w:val="22"/>
          <w:lang w:bidi="es-ES"/>
        </w:rPr>
        <w:fldChar w:fldCharType="separate"/>
      </w:r>
      <w:r>
        <w:rPr>
          <w:rStyle w:val="Ttulo2Car"/>
          <w:b/>
          <w:color w:val="00642D"/>
          <w:sz w:val="22"/>
          <w:szCs w:val="22"/>
          <w:lang w:bidi="es-ES"/>
        </w:rPr>
        <w:t>2</w:t>
      </w:r>
      <w:r w:rsidRPr="009079EA">
        <w:rPr>
          <w:rStyle w:val="Ttulo2Car"/>
          <w:b/>
          <w:color w:val="00642D"/>
          <w:sz w:val="22"/>
          <w:szCs w:val="22"/>
          <w:lang w:bidi="es-ES"/>
        </w:rPr>
        <w:fldChar w:fldCharType="end"/>
      </w:r>
      <w:r w:rsidRPr="009079EA">
        <w:rPr>
          <w:rStyle w:val="Ttulo2Car"/>
          <w:b/>
          <w:color w:val="00642D"/>
          <w:sz w:val="22"/>
          <w:szCs w:val="22"/>
          <w:lang w:bidi="es-ES"/>
        </w:rPr>
        <w:t>: Indicadores de Resolución</w:t>
      </w:r>
      <w:r>
        <w:rPr>
          <w:rStyle w:val="Ttulo2Car"/>
          <w:b/>
          <w:color w:val="00642D"/>
          <w:sz w:val="22"/>
          <w:szCs w:val="22"/>
          <w:lang w:bidi="es-ES"/>
        </w:rPr>
        <w:t xml:space="preserve"> </w:t>
      </w:r>
      <w:r w:rsidRPr="009079EA">
        <w:rPr>
          <w:rStyle w:val="Ttulo2Car"/>
          <w:b/>
          <w:color w:val="00642D"/>
          <w:sz w:val="22"/>
          <w:szCs w:val="22"/>
          <w:lang w:bidi="es-ES"/>
        </w:rPr>
        <w:t>202</w:t>
      </w:r>
      <w:r w:rsidR="00076723">
        <w:rPr>
          <w:rStyle w:val="Ttulo2Car"/>
          <w:b/>
          <w:color w:val="00642D"/>
          <w:sz w:val="22"/>
          <w:szCs w:val="22"/>
          <w:lang w:bidi="es-ES"/>
        </w:rPr>
        <w:t>1</w:t>
      </w:r>
    </w:p>
    <w:tbl>
      <w:tblPr>
        <w:tblStyle w:val="Tablaconcuadrcula"/>
        <w:tblW w:w="0" w:type="auto"/>
        <w:tblInd w:w="534" w:type="dxa"/>
        <w:tblLook w:val="04A0" w:firstRow="1" w:lastRow="0" w:firstColumn="1" w:lastColumn="0" w:noHBand="0" w:noVBand="1"/>
      </w:tblPr>
      <w:tblGrid>
        <w:gridCol w:w="1299"/>
        <w:gridCol w:w="6322"/>
        <w:gridCol w:w="1559"/>
      </w:tblGrid>
      <w:tr w:rsidR="00932F1C" w:rsidRPr="00706E04" w:rsidTr="00932F1C">
        <w:tc>
          <w:tcPr>
            <w:tcW w:w="1299" w:type="dxa"/>
            <w:vMerge w:val="restart"/>
            <w:tcBorders>
              <w:top w:val="nil"/>
              <w:right w:val="nil"/>
            </w:tcBorders>
            <w:shd w:val="clear" w:color="auto" w:fill="4D7F52"/>
            <w:textDirection w:val="btLr"/>
          </w:tcPr>
          <w:p w:rsidR="00932F1C" w:rsidRPr="005B3C15" w:rsidRDefault="00932F1C" w:rsidP="00932F1C">
            <w:pPr>
              <w:ind w:left="113" w:right="113"/>
              <w:jc w:val="center"/>
              <w:rPr>
                <w:b/>
                <w:color w:val="FFFFFF" w:themeColor="background1"/>
              </w:rPr>
            </w:pPr>
            <w:r w:rsidRPr="005B3C15">
              <w:rPr>
                <w:b/>
                <w:color w:val="FFFFFF" w:themeColor="background1"/>
              </w:rPr>
              <w:t>Indicadores de resolución</w:t>
            </w:r>
          </w:p>
        </w:tc>
        <w:tc>
          <w:tcPr>
            <w:tcW w:w="6322" w:type="dxa"/>
            <w:tcBorders>
              <w:left w:val="nil"/>
            </w:tcBorders>
          </w:tcPr>
          <w:p w:rsidR="00932F1C" w:rsidRPr="006A2E9A" w:rsidRDefault="00932F1C" w:rsidP="00932F1C">
            <w:pPr>
              <w:rPr>
                <w:sz w:val="20"/>
                <w:szCs w:val="20"/>
              </w:rPr>
            </w:pPr>
            <w:r w:rsidRPr="006A2E9A">
              <w:rPr>
                <w:sz w:val="20"/>
                <w:szCs w:val="20"/>
              </w:rPr>
              <w:t>Tasa de resolución (resoluciones expresas /solicitudes admitidas)</w:t>
            </w:r>
          </w:p>
        </w:tc>
        <w:tc>
          <w:tcPr>
            <w:tcW w:w="1559" w:type="dxa"/>
            <w:vAlign w:val="center"/>
          </w:tcPr>
          <w:p w:rsidR="00932F1C" w:rsidRPr="00D2277D" w:rsidRDefault="00076723" w:rsidP="00932F1C">
            <w:pPr>
              <w:jc w:val="center"/>
              <w:rPr>
                <w:sz w:val="20"/>
                <w:szCs w:val="20"/>
              </w:rPr>
            </w:pPr>
            <w:r>
              <w:rPr>
                <w:sz w:val="20"/>
                <w:szCs w:val="20"/>
              </w:rPr>
              <w:t>100,0</w:t>
            </w:r>
          </w:p>
        </w:tc>
      </w:tr>
      <w:tr w:rsidR="00932F1C" w:rsidRPr="00706E04" w:rsidTr="00932F1C">
        <w:tc>
          <w:tcPr>
            <w:tcW w:w="1299" w:type="dxa"/>
            <w:vMerge/>
            <w:tcBorders>
              <w:right w:val="nil"/>
            </w:tcBorders>
            <w:shd w:val="clear" w:color="auto" w:fill="4D7F52"/>
            <w:textDirection w:val="btLr"/>
          </w:tcPr>
          <w:p w:rsidR="00932F1C" w:rsidRPr="005B3C15" w:rsidRDefault="00932F1C" w:rsidP="00932F1C">
            <w:pPr>
              <w:ind w:left="113" w:right="113"/>
              <w:jc w:val="center"/>
              <w:rPr>
                <w:b/>
                <w:color w:val="FFFFFF" w:themeColor="background1"/>
              </w:rPr>
            </w:pPr>
          </w:p>
        </w:tc>
        <w:tc>
          <w:tcPr>
            <w:tcW w:w="6322" w:type="dxa"/>
            <w:tcBorders>
              <w:left w:val="nil"/>
            </w:tcBorders>
          </w:tcPr>
          <w:p w:rsidR="00932F1C" w:rsidRPr="006A2E9A" w:rsidRDefault="00932F1C" w:rsidP="00932F1C">
            <w:pPr>
              <w:rPr>
                <w:sz w:val="20"/>
                <w:szCs w:val="20"/>
              </w:rPr>
            </w:pPr>
            <w:r w:rsidRPr="006A2E9A">
              <w:rPr>
                <w:sz w:val="20"/>
                <w:szCs w:val="20"/>
              </w:rPr>
              <w:t>Porcentaje de resoluciones que conceden el acceso</w:t>
            </w:r>
          </w:p>
        </w:tc>
        <w:tc>
          <w:tcPr>
            <w:tcW w:w="1559" w:type="dxa"/>
            <w:vAlign w:val="center"/>
          </w:tcPr>
          <w:p w:rsidR="00932F1C" w:rsidRPr="00D2277D" w:rsidRDefault="00076723" w:rsidP="00932F1C">
            <w:pPr>
              <w:jc w:val="center"/>
              <w:rPr>
                <w:sz w:val="20"/>
                <w:szCs w:val="20"/>
              </w:rPr>
            </w:pPr>
            <w:r>
              <w:rPr>
                <w:sz w:val="20"/>
                <w:szCs w:val="20"/>
              </w:rPr>
              <w:t>100,</w:t>
            </w:r>
            <w:r w:rsidR="00932F1C" w:rsidRPr="00D2277D">
              <w:rPr>
                <w:sz w:val="20"/>
                <w:szCs w:val="20"/>
              </w:rPr>
              <w:t>0</w:t>
            </w:r>
          </w:p>
        </w:tc>
      </w:tr>
      <w:tr w:rsidR="00932F1C" w:rsidRPr="00706E04" w:rsidTr="00932F1C">
        <w:tc>
          <w:tcPr>
            <w:tcW w:w="1299" w:type="dxa"/>
            <w:vMerge/>
            <w:tcBorders>
              <w:right w:val="nil"/>
            </w:tcBorders>
            <w:shd w:val="clear" w:color="auto" w:fill="4D7F52"/>
            <w:textDirection w:val="btLr"/>
          </w:tcPr>
          <w:p w:rsidR="00932F1C" w:rsidRPr="005B3C15" w:rsidRDefault="00932F1C" w:rsidP="00932F1C">
            <w:pPr>
              <w:ind w:left="113" w:right="113"/>
              <w:jc w:val="center"/>
              <w:rPr>
                <w:b/>
                <w:color w:val="FFFFFF" w:themeColor="background1"/>
              </w:rPr>
            </w:pPr>
          </w:p>
        </w:tc>
        <w:tc>
          <w:tcPr>
            <w:tcW w:w="6322" w:type="dxa"/>
            <w:tcBorders>
              <w:left w:val="nil"/>
            </w:tcBorders>
          </w:tcPr>
          <w:p w:rsidR="00932F1C" w:rsidRPr="006A2E9A" w:rsidRDefault="00932F1C" w:rsidP="00932F1C">
            <w:pPr>
              <w:rPr>
                <w:sz w:val="20"/>
                <w:szCs w:val="20"/>
              </w:rPr>
            </w:pPr>
            <w:r w:rsidRPr="006A2E9A">
              <w:rPr>
                <w:sz w:val="20"/>
                <w:szCs w:val="20"/>
              </w:rPr>
              <w:t>Porcentaje de resoluciones que conceden acceso parcial</w:t>
            </w:r>
          </w:p>
        </w:tc>
        <w:tc>
          <w:tcPr>
            <w:tcW w:w="1559" w:type="dxa"/>
            <w:vAlign w:val="center"/>
          </w:tcPr>
          <w:p w:rsidR="00932F1C" w:rsidRPr="00D2277D" w:rsidRDefault="00076723" w:rsidP="00932F1C">
            <w:pPr>
              <w:jc w:val="center"/>
              <w:rPr>
                <w:sz w:val="20"/>
                <w:szCs w:val="20"/>
              </w:rPr>
            </w:pPr>
            <w:r>
              <w:rPr>
                <w:sz w:val="20"/>
                <w:szCs w:val="20"/>
              </w:rPr>
              <w:t>0,0</w:t>
            </w:r>
          </w:p>
        </w:tc>
      </w:tr>
      <w:tr w:rsidR="00932F1C" w:rsidRPr="00706E04" w:rsidTr="00932F1C">
        <w:tc>
          <w:tcPr>
            <w:tcW w:w="1299" w:type="dxa"/>
            <w:vMerge/>
            <w:tcBorders>
              <w:right w:val="nil"/>
            </w:tcBorders>
            <w:shd w:val="clear" w:color="auto" w:fill="4D7F52"/>
            <w:textDirection w:val="btLr"/>
          </w:tcPr>
          <w:p w:rsidR="00932F1C" w:rsidRPr="005B3C15" w:rsidRDefault="00932F1C" w:rsidP="00932F1C">
            <w:pPr>
              <w:ind w:left="113" w:right="113"/>
              <w:jc w:val="center"/>
              <w:rPr>
                <w:b/>
                <w:color w:val="FFFFFF" w:themeColor="background1"/>
              </w:rPr>
            </w:pPr>
          </w:p>
        </w:tc>
        <w:tc>
          <w:tcPr>
            <w:tcW w:w="6322" w:type="dxa"/>
            <w:tcBorders>
              <w:left w:val="nil"/>
            </w:tcBorders>
          </w:tcPr>
          <w:p w:rsidR="00932F1C" w:rsidRPr="006A2E9A" w:rsidRDefault="00932F1C" w:rsidP="00932F1C">
            <w:pPr>
              <w:rPr>
                <w:sz w:val="20"/>
                <w:szCs w:val="20"/>
              </w:rPr>
            </w:pPr>
            <w:r w:rsidRPr="006A2E9A">
              <w:rPr>
                <w:sz w:val="20"/>
                <w:szCs w:val="20"/>
              </w:rPr>
              <w:t>Porcentaje de resoluciones que conceden acceso total</w:t>
            </w:r>
          </w:p>
        </w:tc>
        <w:tc>
          <w:tcPr>
            <w:tcW w:w="1559" w:type="dxa"/>
            <w:vAlign w:val="center"/>
          </w:tcPr>
          <w:p w:rsidR="00932F1C" w:rsidRPr="00D2277D" w:rsidRDefault="00076723" w:rsidP="00932F1C">
            <w:pPr>
              <w:jc w:val="center"/>
              <w:rPr>
                <w:sz w:val="20"/>
                <w:szCs w:val="20"/>
              </w:rPr>
            </w:pPr>
            <w:r>
              <w:rPr>
                <w:sz w:val="20"/>
                <w:szCs w:val="20"/>
              </w:rPr>
              <w:t>100,0</w:t>
            </w:r>
          </w:p>
        </w:tc>
      </w:tr>
      <w:tr w:rsidR="00932F1C" w:rsidRPr="00706E04" w:rsidTr="00932F1C">
        <w:tc>
          <w:tcPr>
            <w:tcW w:w="1299" w:type="dxa"/>
            <w:vMerge/>
            <w:tcBorders>
              <w:right w:val="nil"/>
            </w:tcBorders>
            <w:shd w:val="clear" w:color="auto" w:fill="4D7F52"/>
            <w:textDirection w:val="btLr"/>
          </w:tcPr>
          <w:p w:rsidR="00932F1C" w:rsidRPr="005B3C15" w:rsidRDefault="00932F1C" w:rsidP="00932F1C">
            <w:pPr>
              <w:ind w:left="113" w:right="113"/>
              <w:jc w:val="center"/>
              <w:rPr>
                <w:b/>
                <w:color w:val="FFFFFF" w:themeColor="background1"/>
              </w:rPr>
            </w:pPr>
          </w:p>
        </w:tc>
        <w:tc>
          <w:tcPr>
            <w:tcW w:w="6322" w:type="dxa"/>
            <w:tcBorders>
              <w:left w:val="nil"/>
            </w:tcBorders>
          </w:tcPr>
          <w:p w:rsidR="00932F1C" w:rsidRPr="006A2E9A" w:rsidRDefault="00932F1C" w:rsidP="00932F1C">
            <w:pPr>
              <w:rPr>
                <w:sz w:val="20"/>
                <w:szCs w:val="20"/>
              </w:rPr>
            </w:pPr>
            <w:r w:rsidRPr="006A2E9A">
              <w:rPr>
                <w:sz w:val="20"/>
                <w:szCs w:val="20"/>
              </w:rPr>
              <w:t>Porcentaje de resoluciones que deniegan el acceso</w:t>
            </w:r>
          </w:p>
        </w:tc>
        <w:tc>
          <w:tcPr>
            <w:tcW w:w="1559" w:type="dxa"/>
            <w:vAlign w:val="center"/>
          </w:tcPr>
          <w:p w:rsidR="00932F1C" w:rsidRPr="00D2277D" w:rsidRDefault="00076723" w:rsidP="00932F1C">
            <w:pPr>
              <w:jc w:val="center"/>
              <w:rPr>
                <w:sz w:val="20"/>
                <w:szCs w:val="20"/>
              </w:rPr>
            </w:pPr>
            <w:r>
              <w:rPr>
                <w:sz w:val="20"/>
                <w:szCs w:val="20"/>
              </w:rPr>
              <w:t>0,0</w:t>
            </w:r>
          </w:p>
        </w:tc>
      </w:tr>
      <w:tr w:rsidR="00932F1C" w:rsidRPr="00706E04" w:rsidTr="00932F1C">
        <w:tc>
          <w:tcPr>
            <w:tcW w:w="1299" w:type="dxa"/>
            <w:vMerge/>
            <w:tcBorders>
              <w:right w:val="nil"/>
            </w:tcBorders>
            <w:shd w:val="clear" w:color="auto" w:fill="4D7F52"/>
            <w:textDirection w:val="btLr"/>
          </w:tcPr>
          <w:p w:rsidR="00932F1C" w:rsidRPr="005B3C15" w:rsidRDefault="00932F1C" w:rsidP="00932F1C">
            <w:pPr>
              <w:ind w:left="113" w:right="113"/>
              <w:jc w:val="center"/>
              <w:rPr>
                <w:b/>
                <w:color w:val="FFFFFF" w:themeColor="background1"/>
              </w:rPr>
            </w:pPr>
          </w:p>
        </w:tc>
        <w:tc>
          <w:tcPr>
            <w:tcW w:w="6322" w:type="dxa"/>
            <w:tcBorders>
              <w:left w:val="nil"/>
            </w:tcBorders>
          </w:tcPr>
          <w:p w:rsidR="00932F1C" w:rsidRPr="006A2E9A" w:rsidRDefault="00932F1C" w:rsidP="00932F1C">
            <w:pPr>
              <w:rPr>
                <w:sz w:val="20"/>
                <w:szCs w:val="20"/>
              </w:rPr>
            </w:pPr>
            <w:r w:rsidRPr="006A2E9A">
              <w:rPr>
                <w:sz w:val="20"/>
                <w:szCs w:val="20"/>
              </w:rPr>
              <w:t>Porcentaje de resoluciones que finalizan por silencio administrativo</w:t>
            </w:r>
          </w:p>
        </w:tc>
        <w:tc>
          <w:tcPr>
            <w:tcW w:w="1559" w:type="dxa"/>
            <w:vAlign w:val="center"/>
          </w:tcPr>
          <w:p w:rsidR="00932F1C" w:rsidRPr="00D2277D" w:rsidRDefault="00932F1C" w:rsidP="00932F1C">
            <w:pPr>
              <w:jc w:val="center"/>
              <w:rPr>
                <w:sz w:val="20"/>
                <w:szCs w:val="20"/>
              </w:rPr>
            </w:pPr>
            <w:r w:rsidRPr="00D2277D">
              <w:rPr>
                <w:sz w:val="20"/>
                <w:szCs w:val="20"/>
              </w:rPr>
              <w:t>,00</w:t>
            </w:r>
          </w:p>
        </w:tc>
      </w:tr>
    </w:tbl>
    <w:p w:rsidR="00932F1C" w:rsidRDefault="00932F1C" w:rsidP="00932F1C"/>
    <w:p w:rsidR="00932F1C" w:rsidRDefault="00932F1C" w:rsidP="00CF15A6">
      <w:pPr>
        <w:pStyle w:val="Cuerpodelboletn"/>
        <w:spacing w:before="120" w:after="120" w:line="312" w:lineRule="auto"/>
        <w:ind w:left="360"/>
        <w:rPr>
          <w:bCs/>
          <w:color w:val="auto"/>
          <w:szCs w:val="22"/>
        </w:rPr>
      </w:pPr>
    </w:p>
    <w:p w:rsidR="00B812AB" w:rsidRPr="00E34195" w:rsidRDefault="0052501E" w:rsidP="00CF15A6">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64735D" w:rsidRDefault="00076723" w:rsidP="00B378E2">
      <w:pPr>
        <w:ind w:left="426"/>
        <w:jc w:val="both"/>
        <w:rPr>
          <w:rStyle w:val="Ttulo2Car"/>
          <w:b w:val="0"/>
          <w:color w:val="auto"/>
          <w:sz w:val="22"/>
          <w:szCs w:val="22"/>
          <w:lang w:bidi="es-ES"/>
        </w:rPr>
      </w:pPr>
      <w:r>
        <w:rPr>
          <w:rStyle w:val="Ttulo2Car"/>
          <w:b w:val="0"/>
          <w:color w:val="auto"/>
          <w:sz w:val="22"/>
          <w:szCs w:val="22"/>
          <w:lang w:bidi="es-ES"/>
        </w:rPr>
        <w:t xml:space="preserve">La AP de Baleares </w:t>
      </w:r>
      <w:r w:rsidR="00B378E2">
        <w:rPr>
          <w:rStyle w:val="Ttulo2Car"/>
          <w:b w:val="0"/>
          <w:color w:val="auto"/>
          <w:sz w:val="22"/>
          <w:szCs w:val="22"/>
          <w:lang w:bidi="es-ES"/>
        </w:rPr>
        <w:t xml:space="preserve"> </w:t>
      </w:r>
      <w:r w:rsidR="00F95C49">
        <w:rPr>
          <w:rStyle w:val="Ttulo2Car"/>
          <w:b w:val="0"/>
          <w:color w:val="auto"/>
          <w:sz w:val="22"/>
          <w:szCs w:val="22"/>
          <w:lang w:bidi="es-ES"/>
        </w:rPr>
        <w:t xml:space="preserve">dispone de un enlace específico </w:t>
      </w:r>
      <w:r w:rsidR="000B2A81">
        <w:rPr>
          <w:rStyle w:val="Ttulo2Car"/>
          <w:b w:val="0"/>
          <w:color w:val="auto"/>
          <w:sz w:val="22"/>
          <w:szCs w:val="22"/>
          <w:lang w:bidi="es-ES"/>
        </w:rPr>
        <w:t>en su Portal de Transparencia</w:t>
      </w:r>
      <w:r w:rsidR="00F95C49">
        <w:rPr>
          <w:rStyle w:val="Ttulo2Car"/>
          <w:b w:val="0"/>
          <w:color w:val="auto"/>
          <w:sz w:val="22"/>
          <w:szCs w:val="22"/>
          <w:lang w:bidi="es-ES"/>
        </w:rPr>
        <w:t xml:space="preserve"> para la</w:t>
      </w:r>
      <w:r>
        <w:rPr>
          <w:rStyle w:val="Ttulo2Car"/>
          <w:b w:val="0"/>
          <w:color w:val="auto"/>
          <w:sz w:val="22"/>
          <w:szCs w:val="22"/>
          <w:lang w:bidi="es-ES"/>
        </w:rPr>
        <w:t xml:space="preserve"> presentación de las</w:t>
      </w:r>
      <w:r w:rsidR="00F95C49">
        <w:rPr>
          <w:rStyle w:val="Ttulo2Car"/>
          <w:b w:val="0"/>
          <w:color w:val="auto"/>
          <w:sz w:val="22"/>
          <w:szCs w:val="22"/>
          <w:lang w:bidi="es-ES"/>
        </w:rPr>
        <w:t xml:space="preserve"> solicitudes de acceso a la información pública. </w:t>
      </w:r>
      <w:r w:rsidR="0064735D">
        <w:rPr>
          <w:rStyle w:val="Ttulo2Car"/>
          <w:b w:val="0"/>
          <w:color w:val="auto"/>
          <w:sz w:val="22"/>
          <w:szCs w:val="22"/>
          <w:lang w:bidi="es-ES"/>
        </w:rPr>
        <w:t xml:space="preserve">En dicho espacio </w:t>
      </w:r>
      <w:r>
        <w:rPr>
          <w:rStyle w:val="Ttulo2Car"/>
          <w:b w:val="0"/>
          <w:color w:val="auto"/>
          <w:sz w:val="22"/>
          <w:szCs w:val="22"/>
          <w:lang w:bidi="es-ES"/>
        </w:rPr>
        <w:t xml:space="preserve">no se </w:t>
      </w:r>
      <w:r w:rsidR="0064735D">
        <w:rPr>
          <w:rStyle w:val="Ttulo2Car"/>
          <w:b w:val="0"/>
          <w:color w:val="auto"/>
          <w:sz w:val="22"/>
          <w:szCs w:val="22"/>
          <w:lang w:bidi="es-ES"/>
        </w:rPr>
        <w:t xml:space="preserve">informa sobre el derecho de los ciudadanos a solicitar información pública. </w:t>
      </w:r>
    </w:p>
    <w:p w:rsidR="00F95C49" w:rsidRDefault="00076723" w:rsidP="00F34803">
      <w:pPr>
        <w:ind w:left="426"/>
        <w:jc w:val="both"/>
        <w:rPr>
          <w:rStyle w:val="Ttulo2Car"/>
          <w:b w:val="0"/>
          <w:color w:val="auto"/>
          <w:sz w:val="22"/>
          <w:szCs w:val="22"/>
          <w:lang w:bidi="es-ES"/>
        </w:rPr>
      </w:pPr>
      <w:r>
        <w:rPr>
          <w:rStyle w:val="Ttulo2Car"/>
          <w:b w:val="0"/>
          <w:color w:val="auto"/>
          <w:sz w:val="22"/>
          <w:szCs w:val="22"/>
          <w:lang w:bidi="es-ES"/>
        </w:rPr>
        <w:t>Si se</w:t>
      </w:r>
      <w:r w:rsidR="00B378E2">
        <w:rPr>
          <w:rStyle w:val="Ttulo2Car"/>
          <w:b w:val="0"/>
          <w:color w:val="auto"/>
          <w:sz w:val="22"/>
          <w:szCs w:val="22"/>
          <w:lang w:bidi="es-ES"/>
        </w:rPr>
        <w:t xml:space="preserve"> </w:t>
      </w:r>
      <w:r>
        <w:rPr>
          <w:rStyle w:val="Ttulo2Car"/>
          <w:b w:val="0"/>
          <w:color w:val="auto"/>
          <w:sz w:val="22"/>
          <w:szCs w:val="22"/>
          <w:lang w:bidi="es-ES"/>
        </w:rPr>
        <w:t xml:space="preserve">especifican </w:t>
      </w:r>
      <w:r w:rsidR="00B378E2">
        <w:rPr>
          <w:rStyle w:val="Ttulo2Car"/>
          <w:b w:val="0"/>
          <w:color w:val="auto"/>
          <w:sz w:val="22"/>
          <w:szCs w:val="22"/>
          <w:lang w:bidi="es-ES"/>
        </w:rPr>
        <w:t>los canales a través de los cuales puede solicitarse la información</w:t>
      </w:r>
      <w:r>
        <w:rPr>
          <w:rStyle w:val="Ttulo2Car"/>
          <w:b w:val="0"/>
          <w:color w:val="auto"/>
          <w:sz w:val="22"/>
          <w:szCs w:val="22"/>
          <w:lang w:bidi="es-ES"/>
        </w:rPr>
        <w:t xml:space="preserve">: presencial, web, postal, teléfono y fax. </w:t>
      </w:r>
      <w:r w:rsidR="003E7ED9">
        <w:rPr>
          <w:rStyle w:val="Ttulo2Car"/>
          <w:b w:val="0"/>
          <w:color w:val="auto"/>
          <w:sz w:val="22"/>
          <w:szCs w:val="22"/>
          <w:lang w:bidi="es-ES"/>
        </w:rPr>
        <w:t>No se informa sobre</w:t>
      </w:r>
      <w:r w:rsidR="00AF18BD">
        <w:rPr>
          <w:rStyle w:val="Ttulo2Car"/>
          <w:b w:val="0"/>
          <w:color w:val="auto"/>
          <w:sz w:val="22"/>
          <w:szCs w:val="22"/>
          <w:lang w:bidi="es-ES"/>
        </w:rPr>
        <w:t xml:space="preserve"> los medios de contacto con las</w:t>
      </w:r>
      <w:r w:rsidR="003E7ED9">
        <w:rPr>
          <w:rStyle w:val="Ttulo2Car"/>
          <w:b w:val="0"/>
          <w:color w:val="auto"/>
          <w:sz w:val="22"/>
          <w:szCs w:val="22"/>
          <w:lang w:bidi="es-ES"/>
        </w:rPr>
        <w:t xml:space="preserve"> administraciones públicas establecidos por la Ley 39/2015.</w:t>
      </w:r>
      <w:r w:rsidR="00B378E2">
        <w:rPr>
          <w:rStyle w:val="Ttulo2Car"/>
          <w:b w:val="0"/>
          <w:color w:val="auto"/>
          <w:sz w:val="22"/>
          <w:szCs w:val="22"/>
          <w:lang w:bidi="es-ES"/>
        </w:rPr>
        <w:t xml:space="preserve"> </w:t>
      </w:r>
    </w:p>
    <w:p w:rsidR="003E7ED9" w:rsidRDefault="00F95C49" w:rsidP="00F34803">
      <w:pPr>
        <w:ind w:left="426"/>
        <w:jc w:val="both"/>
        <w:rPr>
          <w:rStyle w:val="Ttulo2Car"/>
          <w:b w:val="0"/>
          <w:color w:val="auto"/>
          <w:sz w:val="22"/>
          <w:szCs w:val="22"/>
          <w:lang w:bidi="es-ES"/>
        </w:rPr>
      </w:pPr>
      <w:r>
        <w:rPr>
          <w:rStyle w:val="Ttulo2Car"/>
          <w:b w:val="0"/>
          <w:color w:val="auto"/>
          <w:sz w:val="22"/>
          <w:szCs w:val="22"/>
          <w:lang w:bidi="es-ES"/>
        </w:rPr>
        <w:t xml:space="preserve">Para la presentación de las solicitudes </w:t>
      </w:r>
      <w:r w:rsidR="00076723">
        <w:rPr>
          <w:rStyle w:val="Ttulo2Car"/>
          <w:b w:val="0"/>
          <w:color w:val="auto"/>
          <w:sz w:val="22"/>
          <w:szCs w:val="22"/>
          <w:lang w:bidi="es-ES"/>
        </w:rPr>
        <w:t xml:space="preserve">no </w:t>
      </w:r>
      <w:r>
        <w:rPr>
          <w:rStyle w:val="Ttulo2Car"/>
          <w:b w:val="0"/>
          <w:color w:val="auto"/>
          <w:sz w:val="22"/>
          <w:szCs w:val="22"/>
          <w:lang w:bidi="es-ES"/>
        </w:rPr>
        <w:t xml:space="preserve">se </w:t>
      </w:r>
      <w:r w:rsidR="00076723">
        <w:rPr>
          <w:rStyle w:val="Ttulo2Car"/>
          <w:b w:val="0"/>
          <w:color w:val="auto"/>
          <w:sz w:val="22"/>
          <w:szCs w:val="22"/>
          <w:lang w:bidi="es-ES"/>
        </w:rPr>
        <w:t>informa sobre los requisitos necesarios</w:t>
      </w:r>
      <w:r>
        <w:rPr>
          <w:rStyle w:val="Ttulo2Car"/>
          <w:b w:val="0"/>
          <w:color w:val="auto"/>
          <w:sz w:val="22"/>
          <w:szCs w:val="22"/>
          <w:lang w:bidi="es-ES"/>
        </w:rPr>
        <w:t xml:space="preserve"> </w:t>
      </w:r>
      <w:r w:rsidR="00076723">
        <w:rPr>
          <w:rStyle w:val="Ttulo2Car"/>
          <w:b w:val="0"/>
          <w:color w:val="auto"/>
          <w:sz w:val="22"/>
          <w:szCs w:val="22"/>
          <w:lang w:bidi="es-ES"/>
        </w:rPr>
        <w:t xml:space="preserve">pero </w:t>
      </w:r>
      <w:r w:rsidR="0054642F">
        <w:rPr>
          <w:rStyle w:val="Ttulo2Car"/>
          <w:b w:val="0"/>
          <w:color w:val="auto"/>
          <w:sz w:val="22"/>
          <w:szCs w:val="22"/>
          <w:lang w:bidi="es-ES"/>
        </w:rPr>
        <w:t>se</w:t>
      </w:r>
      <w:r w:rsidR="00BA266E">
        <w:rPr>
          <w:rStyle w:val="Ttulo2Car"/>
          <w:b w:val="0"/>
          <w:color w:val="auto"/>
          <w:sz w:val="22"/>
          <w:szCs w:val="22"/>
          <w:lang w:bidi="es-ES"/>
        </w:rPr>
        <w:t xml:space="preserve"> proporciona un formulario web</w:t>
      </w:r>
      <w:r w:rsidR="00076723">
        <w:rPr>
          <w:rStyle w:val="Ttulo2Car"/>
          <w:b w:val="0"/>
          <w:color w:val="auto"/>
          <w:sz w:val="22"/>
          <w:szCs w:val="22"/>
          <w:lang w:bidi="es-ES"/>
        </w:rPr>
        <w:t xml:space="preserve">, </w:t>
      </w:r>
      <w:r w:rsidR="003E7ED9">
        <w:rPr>
          <w:rStyle w:val="Ttulo2Car"/>
          <w:b w:val="0"/>
          <w:color w:val="auto"/>
          <w:sz w:val="22"/>
          <w:szCs w:val="22"/>
          <w:lang w:bidi="es-ES"/>
        </w:rPr>
        <w:t>que parece utilizarse tanto</w:t>
      </w:r>
      <w:r w:rsidR="00076723">
        <w:rPr>
          <w:rStyle w:val="Ttulo2Car"/>
          <w:b w:val="0"/>
          <w:color w:val="auto"/>
          <w:sz w:val="22"/>
          <w:szCs w:val="22"/>
          <w:lang w:bidi="es-ES"/>
        </w:rPr>
        <w:t xml:space="preserve"> para la presentación </w:t>
      </w:r>
      <w:r w:rsidR="003E7ED9">
        <w:rPr>
          <w:rStyle w:val="Ttulo2Car"/>
          <w:b w:val="0"/>
          <w:color w:val="auto"/>
          <w:sz w:val="22"/>
          <w:szCs w:val="22"/>
          <w:lang w:bidi="es-ES"/>
        </w:rPr>
        <w:t xml:space="preserve">de </w:t>
      </w:r>
      <w:r w:rsidR="00076723">
        <w:rPr>
          <w:rStyle w:val="Ttulo2Car"/>
          <w:b w:val="0"/>
          <w:color w:val="auto"/>
          <w:sz w:val="22"/>
          <w:szCs w:val="22"/>
          <w:lang w:bidi="es-ES"/>
        </w:rPr>
        <w:t>quejas</w:t>
      </w:r>
      <w:r w:rsidR="00335E04">
        <w:rPr>
          <w:rStyle w:val="Ttulo2Car"/>
          <w:b w:val="0"/>
          <w:color w:val="auto"/>
          <w:sz w:val="22"/>
          <w:szCs w:val="22"/>
          <w:lang w:bidi="es-ES"/>
        </w:rPr>
        <w:t xml:space="preserve"> y</w:t>
      </w:r>
      <w:r w:rsidR="00076723">
        <w:rPr>
          <w:rStyle w:val="Ttulo2Car"/>
          <w:b w:val="0"/>
          <w:color w:val="auto"/>
          <w:sz w:val="22"/>
          <w:szCs w:val="22"/>
          <w:lang w:bidi="es-ES"/>
        </w:rPr>
        <w:t xml:space="preserve"> sugerencias </w:t>
      </w:r>
      <w:r w:rsidR="003E7ED9">
        <w:rPr>
          <w:rStyle w:val="Ttulo2Car"/>
          <w:b w:val="0"/>
          <w:color w:val="auto"/>
          <w:sz w:val="22"/>
          <w:szCs w:val="22"/>
          <w:lang w:bidi="es-ES"/>
        </w:rPr>
        <w:t>como de</w:t>
      </w:r>
      <w:r w:rsidR="00076723">
        <w:rPr>
          <w:rStyle w:val="Ttulo2Car"/>
          <w:b w:val="0"/>
          <w:color w:val="auto"/>
          <w:sz w:val="22"/>
          <w:szCs w:val="22"/>
          <w:lang w:bidi="es-ES"/>
        </w:rPr>
        <w:t xml:space="preserve"> solicitudes de información</w:t>
      </w:r>
      <w:r w:rsidR="00D41FBA">
        <w:rPr>
          <w:rStyle w:val="Ttulo2Car"/>
          <w:b w:val="0"/>
          <w:color w:val="auto"/>
          <w:sz w:val="22"/>
          <w:szCs w:val="22"/>
          <w:lang w:bidi="es-ES"/>
        </w:rPr>
        <w:t xml:space="preserve">. </w:t>
      </w:r>
      <w:r w:rsidR="003E7ED9">
        <w:rPr>
          <w:rStyle w:val="Ttulo2Car"/>
          <w:b w:val="0"/>
          <w:color w:val="auto"/>
          <w:sz w:val="22"/>
          <w:szCs w:val="22"/>
          <w:lang w:bidi="es-ES"/>
        </w:rPr>
        <w:t xml:space="preserve">En la práctica el formulario está diseñado para la presentación de quejas y sugerencias. </w:t>
      </w:r>
    </w:p>
    <w:p w:rsidR="00F34803" w:rsidRDefault="003E7ED9" w:rsidP="00F34803">
      <w:pPr>
        <w:ind w:left="426"/>
        <w:jc w:val="both"/>
        <w:rPr>
          <w:rStyle w:val="Ttulo2Car"/>
          <w:b w:val="0"/>
          <w:color w:val="auto"/>
          <w:sz w:val="22"/>
          <w:szCs w:val="22"/>
          <w:lang w:bidi="es-ES"/>
        </w:rPr>
      </w:pPr>
      <w:r>
        <w:rPr>
          <w:rStyle w:val="Ttulo2Car"/>
          <w:b w:val="0"/>
          <w:color w:val="auto"/>
          <w:sz w:val="22"/>
          <w:szCs w:val="22"/>
          <w:lang w:bidi="es-ES"/>
        </w:rPr>
        <w:t xml:space="preserve">El acceso a dicho formulario puede realizarse </w:t>
      </w:r>
      <w:r w:rsidR="00335E04">
        <w:rPr>
          <w:rStyle w:val="Ttulo2Car"/>
          <w:b w:val="0"/>
          <w:color w:val="auto"/>
          <w:sz w:val="22"/>
          <w:szCs w:val="22"/>
          <w:lang w:bidi="es-ES"/>
        </w:rPr>
        <w:t>con o sin autenticación</w:t>
      </w:r>
      <w:r>
        <w:rPr>
          <w:rStyle w:val="Ttulo2Car"/>
          <w:b w:val="0"/>
          <w:color w:val="auto"/>
          <w:sz w:val="22"/>
          <w:szCs w:val="22"/>
          <w:lang w:bidi="es-ES"/>
        </w:rPr>
        <w:t xml:space="preserve">. </w:t>
      </w:r>
    </w:p>
    <w:p w:rsidR="003E7ED9" w:rsidRDefault="003E7ED9" w:rsidP="00F34803">
      <w:pPr>
        <w:ind w:left="426"/>
        <w:jc w:val="both"/>
        <w:rPr>
          <w:rStyle w:val="Ttulo2Car"/>
          <w:b w:val="0"/>
          <w:color w:val="auto"/>
          <w:sz w:val="22"/>
          <w:szCs w:val="22"/>
          <w:lang w:bidi="es-ES"/>
        </w:rPr>
      </w:pPr>
    </w:p>
    <w:p w:rsidR="00B40246" w:rsidRPr="00E34195" w:rsidRDefault="0052501E" w:rsidP="000C6CFF">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1E1C29" w:rsidRDefault="00F34803" w:rsidP="00A915A2">
      <w:pPr>
        <w:pStyle w:val="Cuerpodelboletn"/>
        <w:spacing w:before="120" w:after="120" w:line="276" w:lineRule="auto"/>
        <w:ind w:left="426"/>
        <w:rPr>
          <w:rStyle w:val="Ttulo2Car"/>
          <w:sz w:val="22"/>
          <w:szCs w:val="22"/>
        </w:rPr>
      </w:pPr>
      <w:r w:rsidRPr="005C4D89">
        <w:rPr>
          <w:color w:val="auto"/>
          <w:lang w:bidi="es-ES"/>
        </w:rPr>
        <w:t xml:space="preserve">Con fecha </w:t>
      </w:r>
      <w:r w:rsidR="003E7ED9">
        <w:rPr>
          <w:color w:val="auto"/>
          <w:lang w:bidi="es-ES"/>
        </w:rPr>
        <w:t>1</w:t>
      </w:r>
      <w:r w:rsidR="0064735D">
        <w:rPr>
          <w:color w:val="auto"/>
          <w:lang w:bidi="es-ES"/>
        </w:rPr>
        <w:t>6</w:t>
      </w:r>
      <w:r w:rsidR="000B2A81">
        <w:rPr>
          <w:color w:val="auto"/>
          <w:lang w:bidi="es-ES"/>
        </w:rPr>
        <w:t>/0</w:t>
      </w:r>
      <w:r w:rsidR="0064735D">
        <w:rPr>
          <w:color w:val="auto"/>
          <w:lang w:bidi="es-ES"/>
        </w:rPr>
        <w:t>6</w:t>
      </w:r>
      <w:r w:rsidR="000B2A81">
        <w:rPr>
          <w:color w:val="auto"/>
          <w:lang w:bidi="es-ES"/>
        </w:rPr>
        <w:t>/</w:t>
      </w:r>
      <w:r>
        <w:rPr>
          <w:color w:val="auto"/>
          <w:lang w:bidi="es-ES"/>
        </w:rPr>
        <w:t>202</w:t>
      </w:r>
      <w:r w:rsidR="0064735D">
        <w:rPr>
          <w:color w:val="auto"/>
          <w:lang w:bidi="es-ES"/>
        </w:rPr>
        <w:t>2</w:t>
      </w:r>
      <w:r>
        <w:rPr>
          <w:color w:val="auto"/>
          <w:lang w:bidi="es-ES"/>
        </w:rPr>
        <w:t xml:space="preserve"> se presentó </w:t>
      </w:r>
      <w:r w:rsidR="00904E47">
        <w:rPr>
          <w:color w:val="auto"/>
          <w:lang w:bidi="es-ES"/>
        </w:rPr>
        <w:t xml:space="preserve">a través </w:t>
      </w:r>
      <w:r w:rsidR="003E7ED9">
        <w:rPr>
          <w:color w:val="auto"/>
          <w:lang w:bidi="es-ES"/>
        </w:rPr>
        <w:t xml:space="preserve"> del Registro Electrónico General – canal de presentación de solicitudes sobre el que no se informa en la web de la AP – una solicitud de acceso a información pública de la AP de Baleares. Se optó por la presentación a través del REG porque, como se ha indicado, el diseño del formulario web existente no se ajusta a la presentación de  solicitudes de acceso.  </w:t>
      </w: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C2468" w:rsidRDefault="0064735D" w:rsidP="00A915A2">
      <w:pPr>
        <w:pStyle w:val="Cuerpodelboletn"/>
        <w:spacing w:before="120" w:after="120" w:line="276" w:lineRule="auto"/>
        <w:ind w:left="426"/>
        <w:rPr>
          <w:color w:val="auto"/>
          <w:lang w:bidi="es-ES"/>
        </w:rPr>
      </w:pPr>
      <w:r>
        <w:rPr>
          <w:color w:val="auto"/>
          <w:lang w:bidi="es-ES"/>
        </w:rPr>
        <w:t>No se comunica el inicio de la tramitación</w:t>
      </w:r>
      <w:r w:rsidR="00F34803">
        <w:rPr>
          <w:color w:val="auto"/>
          <w:lang w:bidi="es-ES"/>
        </w:rPr>
        <w:t>.</w:t>
      </w:r>
      <w:r w:rsidR="00AC2468">
        <w:rPr>
          <w:color w:val="auto"/>
          <w:lang w:bidi="es-ES"/>
        </w:rPr>
        <w:t xml:space="preserve"> ´</w:t>
      </w: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904E47" w:rsidRDefault="0064735D" w:rsidP="00AC715D">
      <w:pPr>
        <w:pStyle w:val="Cuerpodelboletn"/>
        <w:numPr>
          <w:ilvl w:val="0"/>
          <w:numId w:val="6"/>
        </w:numPr>
        <w:spacing w:before="120" w:after="120" w:line="276" w:lineRule="auto"/>
        <w:rPr>
          <w:color w:val="auto"/>
          <w:lang w:bidi="es-ES"/>
        </w:rPr>
      </w:pPr>
      <w:r>
        <w:rPr>
          <w:color w:val="auto"/>
          <w:lang w:bidi="es-ES"/>
        </w:rPr>
        <w:t>Con fecha 0</w:t>
      </w:r>
      <w:r w:rsidR="003E7ED9">
        <w:rPr>
          <w:color w:val="auto"/>
          <w:lang w:bidi="es-ES"/>
        </w:rPr>
        <w:t>8</w:t>
      </w:r>
      <w:r>
        <w:rPr>
          <w:color w:val="auto"/>
          <w:lang w:bidi="es-ES"/>
        </w:rPr>
        <w:t>/0</w:t>
      </w:r>
      <w:r w:rsidR="003E7ED9">
        <w:rPr>
          <w:color w:val="auto"/>
          <w:lang w:bidi="es-ES"/>
        </w:rPr>
        <w:t>7</w:t>
      </w:r>
      <w:r>
        <w:rPr>
          <w:color w:val="auto"/>
          <w:lang w:bidi="es-ES"/>
        </w:rPr>
        <w:t xml:space="preserve">/2022 se remite un correo electrónico en el que se </w:t>
      </w:r>
      <w:r w:rsidR="003E7ED9">
        <w:rPr>
          <w:color w:val="auto"/>
          <w:lang w:bidi="es-ES"/>
        </w:rPr>
        <w:t>notifica la remisión de la resolución relativa a la solicitud efectuada.</w:t>
      </w:r>
    </w:p>
    <w:p w:rsidR="00A27A38" w:rsidRDefault="003E7ED9" w:rsidP="00335E04">
      <w:pPr>
        <w:pStyle w:val="Prrafodelista"/>
        <w:numPr>
          <w:ilvl w:val="0"/>
          <w:numId w:val="6"/>
        </w:numPr>
        <w:jc w:val="both"/>
        <w:rPr>
          <w:szCs w:val="24"/>
          <w:lang w:bidi="es-ES"/>
        </w:rPr>
      </w:pPr>
      <w:r>
        <w:rPr>
          <w:szCs w:val="24"/>
          <w:lang w:bidi="es-ES"/>
        </w:rPr>
        <w:t>La Resolución dictada es clara y comprensible</w:t>
      </w:r>
      <w:r w:rsidR="00AF18BD">
        <w:rPr>
          <w:szCs w:val="24"/>
          <w:lang w:bidi="es-ES"/>
        </w:rPr>
        <w:t xml:space="preserve"> pero no incluye pie de recurso. No se informa</w:t>
      </w:r>
      <w:r w:rsidR="00A27A38" w:rsidRPr="00A27A38">
        <w:rPr>
          <w:szCs w:val="24"/>
          <w:lang w:bidi="es-ES"/>
        </w:rPr>
        <w:t xml:space="preserve"> </w:t>
      </w:r>
      <w:r w:rsidR="00AF18BD">
        <w:rPr>
          <w:szCs w:val="24"/>
          <w:lang w:bidi="es-ES"/>
        </w:rPr>
        <w:t>sobre</w:t>
      </w:r>
      <w:r w:rsidR="00A27A38" w:rsidRPr="00A27A38">
        <w:rPr>
          <w:szCs w:val="24"/>
          <w:lang w:bidi="es-ES"/>
        </w:rPr>
        <w:t xml:space="preserve"> los posibles recursos que el solicitante puede interponer en caso de disconformidad con la información recibida</w:t>
      </w:r>
      <w:r w:rsidR="00AF18BD">
        <w:rPr>
          <w:szCs w:val="24"/>
          <w:lang w:bidi="es-ES"/>
        </w:rPr>
        <w:t xml:space="preserve"> tanto en vía administrativa – Reclamación ante el CTBG – o en vía jurisdiccional.</w:t>
      </w:r>
    </w:p>
    <w:p w:rsidR="00F51B4A" w:rsidRPr="00A27A38" w:rsidRDefault="00F51B4A" w:rsidP="00335E04">
      <w:pPr>
        <w:pStyle w:val="Prrafodelista"/>
        <w:numPr>
          <w:ilvl w:val="0"/>
          <w:numId w:val="6"/>
        </w:numPr>
        <w:jc w:val="both"/>
        <w:rPr>
          <w:szCs w:val="24"/>
          <w:lang w:bidi="es-ES"/>
        </w:rPr>
      </w:pPr>
      <w:r>
        <w:rPr>
          <w:szCs w:val="24"/>
          <w:lang w:bidi="es-ES"/>
        </w:rPr>
        <w:t xml:space="preserve">La información se proporciona en el cuerpo de la resolución – se había solicitado en formato </w:t>
      </w:r>
      <w:proofErr w:type="spellStart"/>
      <w:r>
        <w:rPr>
          <w:szCs w:val="24"/>
          <w:lang w:bidi="es-ES"/>
        </w:rPr>
        <w:t>excel</w:t>
      </w:r>
      <w:proofErr w:type="spellEnd"/>
      <w:r>
        <w:rPr>
          <w:szCs w:val="24"/>
          <w:lang w:bidi="es-ES"/>
        </w:rPr>
        <w:t xml:space="preserve"> – pero esto es coherente con el escaso volumen de procedimientos relacionados con la información solicitada.  </w:t>
      </w:r>
    </w:p>
    <w:p w:rsidR="001E1C29" w:rsidRDefault="001E1C29"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CF15A6">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5A2A22">
            <w:rPr>
              <w:b/>
              <w:color w:val="00642D"/>
              <w:sz w:val="30"/>
              <w:szCs w:val="30"/>
            </w:rPr>
            <w:t>en el periodo 2015-2021</w:t>
          </w:r>
        </w:p>
      </w:sdtContent>
    </w:sdt>
    <w:p w:rsidR="00AF18BD" w:rsidRDefault="00AF18BD" w:rsidP="00256215">
      <w:pPr>
        <w:pStyle w:val="Cuerpodelboletn"/>
      </w:pPr>
    </w:p>
    <w:p w:rsidR="00256215" w:rsidRDefault="00AF18BD" w:rsidP="00335E04">
      <w:pPr>
        <w:pStyle w:val="Cuerpodelboletn"/>
        <w:spacing w:line="276" w:lineRule="auto"/>
      </w:pPr>
      <w:r>
        <w:t>El CTBG ha recibido cuatro reclamaciones contra resoluciones dictadas por la AP de Baleares. De ellas, dos fueron estimadas y las otras dos desestimadas. Las dos resoluciones del CTBG favorables a los interesados</w:t>
      </w:r>
      <w:r w:rsidR="00335E04">
        <w:t>,</w:t>
      </w:r>
      <w:r>
        <w:t xml:space="preserve"> fueron objeto de recurso ante la Jurisdicción Contencioso- Administrativa, lo que sitúa la tasa de litigiosidad  en el 100%. Ambos procedimientos están pendientes de sentencia. </w:t>
      </w:r>
    </w:p>
    <w:p w:rsidR="00AF18BD" w:rsidRDefault="00AF18BD" w:rsidP="00256215">
      <w:pPr>
        <w:pStyle w:val="Cuerpodelboletn"/>
      </w:pPr>
    </w:p>
    <w:p w:rsidR="001F251B" w:rsidRPr="00256215" w:rsidRDefault="0052501E"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CF15A6">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5A2A22" w:rsidRDefault="00AF18BD" w:rsidP="00335E04">
      <w:r>
        <w:t xml:space="preserve">La AP de Baleares </w:t>
      </w:r>
      <w:r w:rsidR="005A2A22">
        <w:t xml:space="preserve"> presenta un conjunto de buenas prácticas en materia de derecho de acceso que podrían ser aplicadas por otras organizaciones públicas:</w:t>
      </w:r>
    </w:p>
    <w:p w:rsidR="007B1EF0" w:rsidRDefault="005A2A22" w:rsidP="00F51B4A">
      <w:pPr>
        <w:pStyle w:val="Prrafodelista"/>
        <w:numPr>
          <w:ilvl w:val="0"/>
          <w:numId w:val="10"/>
        </w:numPr>
        <w:jc w:val="both"/>
      </w:pPr>
      <w:r>
        <w:t>La habilitación de un espacio específico en su Portal de Transparencia para la presentación de solicitudes de acceso a información de la entidad</w:t>
      </w:r>
      <w:r w:rsidR="00B06497">
        <w:t>.</w:t>
      </w:r>
    </w:p>
    <w:p w:rsidR="005A2A22" w:rsidRDefault="00AF18BD" w:rsidP="00F51B4A">
      <w:pPr>
        <w:pStyle w:val="Prrafodelista"/>
        <w:numPr>
          <w:ilvl w:val="0"/>
          <w:numId w:val="10"/>
        </w:numPr>
        <w:jc w:val="both"/>
      </w:pPr>
      <w:r>
        <w:t>La habilitación de múltiples canales para la presentación de las solicitudes de información.</w:t>
      </w:r>
    </w:p>
    <w:p w:rsidR="00AF18BD" w:rsidRDefault="00AF18BD" w:rsidP="00F51B4A">
      <w:pPr>
        <w:pStyle w:val="Prrafodelista"/>
        <w:numPr>
          <w:ilvl w:val="0"/>
          <w:numId w:val="10"/>
        </w:numPr>
        <w:jc w:val="both"/>
      </w:pPr>
      <w:r>
        <w:t>La presentación de solicitudes vía web puede efectuarse con autenticación o sin autenticación</w:t>
      </w:r>
    </w:p>
    <w:p w:rsidR="005A2A22" w:rsidRDefault="005A2A22" w:rsidP="00F51B4A">
      <w:pPr>
        <w:pStyle w:val="Prrafodelista"/>
        <w:numPr>
          <w:ilvl w:val="0"/>
          <w:numId w:val="10"/>
        </w:numPr>
        <w:jc w:val="both"/>
      </w:pPr>
      <w:r>
        <w:t xml:space="preserve">Se proporciona un formulario web para la presentación de las </w:t>
      </w:r>
      <w:r w:rsidR="00A27A38">
        <w:t>solicitudes</w:t>
      </w:r>
      <w:r w:rsidR="00AF18BD">
        <w:t>, pero el diseño de este formulario no se ajusta a la presentación de solicitudes de información.</w:t>
      </w:r>
    </w:p>
    <w:p w:rsidR="000C2945" w:rsidRDefault="000C2945" w:rsidP="000C2945">
      <w:pPr>
        <w:pStyle w:val="Prrafodelista"/>
      </w:pPr>
    </w:p>
    <w:p w:rsidR="00256215" w:rsidRDefault="0052501E"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 xml:space="preserve">V.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F51B4A" w:rsidRDefault="005A2A22" w:rsidP="00CF15A6">
      <w:pPr>
        <w:pStyle w:val="Prrafodelista"/>
        <w:ind w:left="644"/>
        <w:jc w:val="both"/>
        <w:rPr>
          <w:bCs/>
        </w:rPr>
      </w:pPr>
      <w:r>
        <w:rPr>
          <w:bCs/>
        </w:rPr>
        <w:t xml:space="preserve">Según indica </w:t>
      </w:r>
      <w:r w:rsidR="00F51B4A">
        <w:rPr>
          <w:bCs/>
        </w:rPr>
        <w:t>la AP</w:t>
      </w:r>
      <w:r>
        <w:rPr>
          <w:bCs/>
        </w:rPr>
        <w:t xml:space="preserve"> </w:t>
      </w:r>
      <w:r w:rsidR="00F51B4A">
        <w:rPr>
          <w:bCs/>
        </w:rPr>
        <w:t>Baleares, se</w:t>
      </w:r>
      <w:r w:rsidR="00F51B4A" w:rsidRPr="00D2277D">
        <w:rPr>
          <w:bCs/>
        </w:rPr>
        <w:t xml:space="preserve"> tramita el </w:t>
      </w:r>
      <w:r w:rsidR="00F51B4A">
        <w:rPr>
          <w:bCs/>
        </w:rPr>
        <w:t>100</w:t>
      </w:r>
      <w:r w:rsidR="00F51B4A" w:rsidRPr="00D2277D">
        <w:rPr>
          <w:bCs/>
        </w:rPr>
        <w:t xml:space="preserve">% de las solicitudes que </w:t>
      </w:r>
      <w:r w:rsidR="004D600F">
        <w:rPr>
          <w:bCs/>
        </w:rPr>
        <w:t xml:space="preserve">se </w:t>
      </w:r>
      <w:r w:rsidR="00F51B4A" w:rsidRPr="00D2277D">
        <w:rPr>
          <w:bCs/>
        </w:rPr>
        <w:t>recibe</w:t>
      </w:r>
      <w:r w:rsidR="004D600F">
        <w:rPr>
          <w:bCs/>
        </w:rPr>
        <w:t>n</w:t>
      </w:r>
      <w:r w:rsidR="00F51B4A" w:rsidRPr="00D2277D">
        <w:rPr>
          <w:bCs/>
        </w:rPr>
        <w:t xml:space="preserve"> y </w:t>
      </w:r>
      <w:r w:rsidR="00F51B4A">
        <w:rPr>
          <w:bCs/>
        </w:rPr>
        <w:t xml:space="preserve">se </w:t>
      </w:r>
      <w:r w:rsidR="00F51B4A" w:rsidRPr="00D2277D">
        <w:rPr>
          <w:bCs/>
        </w:rPr>
        <w:t xml:space="preserve">admite </w:t>
      </w:r>
      <w:r w:rsidR="00F51B4A">
        <w:rPr>
          <w:bCs/>
        </w:rPr>
        <w:t xml:space="preserve">el 83,3% </w:t>
      </w:r>
      <w:r w:rsidR="00F51B4A" w:rsidRPr="00D2277D">
        <w:rPr>
          <w:bCs/>
        </w:rPr>
        <w:t xml:space="preserve">de ellas. </w:t>
      </w:r>
      <w:r w:rsidR="00F51B4A">
        <w:rPr>
          <w:bCs/>
        </w:rPr>
        <w:t>Dos solicitudes, el 16,7%, fueron inadmitidas por considerarlas repetitivas o abusivas.</w:t>
      </w:r>
    </w:p>
    <w:p w:rsidR="00F51B4A" w:rsidRDefault="00F51B4A" w:rsidP="00CF15A6">
      <w:pPr>
        <w:pStyle w:val="Prrafodelista"/>
        <w:ind w:left="644"/>
        <w:jc w:val="both"/>
        <w:rPr>
          <w:bCs/>
        </w:rPr>
      </w:pPr>
    </w:p>
    <w:p w:rsidR="00CF15A6" w:rsidRDefault="00F51B4A" w:rsidP="00CF15A6">
      <w:pPr>
        <w:pStyle w:val="Prrafodelista"/>
        <w:ind w:left="644"/>
        <w:jc w:val="both"/>
        <w:rPr>
          <w:bCs/>
        </w:rPr>
      </w:pPr>
      <w:r w:rsidRPr="00D2277D">
        <w:rPr>
          <w:bCs/>
        </w:rPr>
        <w:t xml:space="preserve">La información aportada indica que se emite resolución expresa para el </w:t>
      </w:r>
      <w:r>
        <w:rPr>
          <w:bCs/>
        </w:rPr>
        <w:t>100</w:t>
      </w:r>
      <w:r w:rsidRPr="00D2277D">
        <w:rPr>
          <w:bCs/>
        </w:rPr>
        <w:t xml:space="preserve">% de las solicitudes admitidas. </w:t>
      </w:r>
      <w:r>
        <w:rPr>
          <w:bCs/>
        </w:rPr>
        <w:t>Todas las resoluciones conceden el</w:t>
      </w:r>
      <w:r w:rsidR="004D600F">
        <w:rPr>
          <w:bCs/>
        </w:rPr>
        <w:t xml:space="preserve"> acceso total a la información.</w:t>
      </w:r>
      <w:r w:rsidR="005A2A22">
        <w:rPr>
          <w:bCs/>
        </w:rPr>
        <w:t xml:space="preserve"> </w:t>
      </w:r>
      <w:r w:rsidR="00CF15A6">
        <w:rPr>
          <w:bCs/>
        </w:rPr>
        <w:t xml:space="preserve"> </w:t>
      </w:r>
    </w:p>
    <w:p w:rsidR="00D74E79" w:rsidRDefault="00D74E79" w:rsidP="00F34803">
      <w:pPr>
        <w:pStyle w:val="Prrafodelista"/>
        <w:ind w:left="644"/>
        <w:jc w:val="both"/>
        <w:rPr>
          <w:bCs/>
        </w:rPr>
      </w:pPr>
    </w:p>
    <w:p w:rsidR="00F34803" w:rsidRDefault="00D74E79" w:rsidP="00F34803">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F51B4A"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La AP de Baleares</w:t>
      </w:r>
      <w:r w:rsidR="00D74E79">
        <w:rPr>
          <w:bCs/>
        </w:rPr>
        <w:t xml:space="preserve"> 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lastRenderedPageBreak/>
        <w:t>En el caso de que no hubiese solicitudes denegadas por aplicación de estos Límites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CB2288" w:rsidRDefault="00F34803" w:rsidP="00F34803">
      <w:pPr>
        <w:pStyle w:val="Prrafodelista"/>
        <w:ind w:left="644"/>
        <w:jc w:val="both"/>
      </w:pPr>
      <w:r>
        <w:t xml:space="preserve">Como se ha indicado, </w:t>
      </w:r>
      <w:r w:rsidR="004D600F">
        <w:t>l</w:t>
      </w:r>
      <w:r w:rsidR="00F51B4A">
        <w:t>a AP de Baleares</w:t>
      </w:r>
      <w:r w:rsidR="007B1EF0">
        <w:t xml:space="preserve"> </w:t>
      </w:r>
      <w:r w:rsidR="00D74E79">
        <w:t>dispone de un</w:t>
      </w:r>
      <w:r>
        <w:t xml:space="preserve"> espacio </w:t>
      </w:r>
      <w:r w:rsidR="004D600F">
        <w:t xml:space="preserve">específico </w:t>
      </w:r>
      <w:r w:rsidR="00D74E79">
        <w:t xml:space="preserve">en su </w:t>
      </w:r>
      <w:r w:rsidR="006A2EEE">
        <w:t>web</w:t>
      </w:r>
      <w:r w:rsidR="004D600F">
        <w:t xml:space="preserve"> para la presentación de solicitudes de información</w:t>
      </w:r>
      <w:r w:rsidR="00F51B4A">
        <w:t>, lo</w:t>
      </w:r>
      <w:r w:rsidR="00D74E79">
        <w:t xml:space="preserve"> que </w:t>
      </w:r>
      <w:r w:rsidR="007B1EF0">
        <w:t>facilit</w:t>
      </w:r>
      <w:r w:rsidR="005A2A22">
        <w:t>a</w:t>
      </w:r>
      <w:r w:rsidR="007B1EF0">
        <w:t xml:space="preserve"> el ejercicio del derecho de acceso a la inf</w:t>
      </w:r>
      <w:r w:rsidR="005A2A22">
        <w:t>ormación del organismo</w:t>
      </w:r>
      <w:r w:rsidR="00F51B4A">
        <w:t>. Sin embargo, no s</w:t>
      </w:r>
      <w:r w:rsidR="005A2A22">
        <w:t>e informa</w:t>
      </w:r>
      <w:r w:rsidR="005A0354">
        <w:t xml:space="preserve"> </w:t>
      </w:r>
      <w:r>
        <w:t xml:space="preserve">sobre </w:t>
      </w:r>
      <w:r w:rsidR="00F51B4A">
        <w:t>el derecho que asiste a</w:t>
      </w:r>
      <w:r>
        <w:t xml:space="preserve"> los ciudadanos </w:t>
      </w:r>
      <w:r w:rsidR="00F51B4A">
        <w:t>a presentar</w:t>
      </w:r>
      <w:r>
        <w:t xml:space="preserve"> solicitudes de </w:t>
      </w:r>
      <w:r w:rsidR="005A0354">
        <w:t xml:space="preserve">acceso a </w:t>
      </w:r>
      <w:r>
        <w:t xml:space="preserve">información pública </w:t>
      </w:r>
      <w:r w:rsidR="00F51B4A">
        <w:t>de</w:t>
      </w:r>
      <w:r>
        <w:t xml:space="preserve"> la </w:t>
      </w:r>
      <w:r w:rsidR="005A0354">
        <w:t>entidad</w:t>
      </w:r>
      <w:r>
        <w:t xml:space="preserve">. </w:t>
      </w:r>
      <w:r w:rsidR="00F51B4A">
        <w:t xml:space="preserve">Tampoco se informa sobre el procedimiento ni sobre los requisitos necesarios. </w:t>
      </w:r>
    </w:p>
    <w:p w:rsidR="00CB2288" w:rsidRDefault="00CB2288" w:rsidP="00F34803">
      <w:pPr>
        <w:pStyle w:val="Prrafodelista"/>
        <w:ind w:left="644"/>
        <w:jc w:val="both"/>
      </w:pPr>
    </w:p>
    <w:p w:rsidR="007B1EF0" w:rsidRDefault="00F51B4A" w:rsidP="00F34803">
      <w:pPr>
        <w:pStyle w:val="Prrafodelista"/>
        <w:ind w:left="644"/>
        <w:jc w:val="both"/>
      </w:pPr>
      <w:r>
        <w:t xml:space="preserve">El acceso al formulario web que se proporciona para la presentación de quejas y sugerencias y solicitudes de información pública, puede realizarse con o sin autenticación, esto último actúa como un elemento facilitador  </w:t>
      </w:r>
      <w:r w:rsidR="00CB2288">
        <w:t>para el ejercicio del derecho. Pero el diseño del formulario no se ajusta a las solicitudes de información: existen campos obligatorios diseñados para la presentación de quejas y sugerencias  que no pueden cumplimentarse si se solicita información</w:t>
      </w:r>
      <w:r w:rsidR="004D600F">
        <w:t xml:space="preserve"> pública</w:t>
      </w:r>
      <w:r w:rsidR="00CB2288">
        <w:t xml:space="preserve">. </w:t>
      </w:r>
    </w:p>
    <w:p w:rsidR="00CB2288" w:rsidRDefault="00CB2288" w:rsidP="00F34803">
      <w:pPr>
        <w:pStyle w:val="Prrafodelista"/>
        <w:ind w:left="644"/>
        <w:jc w:val="both"/>
      </w:pPr>
    </w:p>
    <w:p w:rsidR="00CB2288" w:rsidRDefault="00CB2288" w:rsidP="00CB2288">
      <w:pPr>
        <w:pStyle w:val="Prrafodelista"/>
        <w:pBdr>
          <w:top w:val="single" w:sz="4" w:space="1" w:color="00B050"/>
          <w:left w:val="single" w:sz="4" w:space="4" w:color="00B050"/>
          <w:bottom w:val="single" w:sz="4" w:space="1" w:color="00B050"/>
          <w:right w:val="single" w:sz="4" w:space="4" w:color="00B050"/>
        </w:pBdr>
        <w:ind w:left="644"/>
        <w:jc w:val="both"/>
      </w:pPr>
      <w:r>
        <w:t>Debería diseñarse un formulario específico para la presentación de solicitudes de acceso a información pública</w:t>
      </w:r>
      <w:r w:rsidR="004D600F">
        <w:t xml:space="preserve"> de la AP</w:t>
      </w:r>
      <w:r>
        <w:t>.</w:t>
      </w:r>
    </w:p>
    <w:p w:rsidR="00CB2288" w:rsidRDefault="00CB2288" w:rsidP="00F34803">
      <w:pPr>
        <w:pStyle w:val="Prrafodelista"/>
        <w:ind w:left="644"/>
        <w:jc w:val="both"/>
      </w:pPr>
    </w:p>
    <w:p w:rsidR="00A915A2" w:rsidRDefault="00CB2288" w:rsidP="00F34803">
      <w:pPr>
        <w:pStyle w:val="Prrafodelista"/>
        <w:ind w:left="644"/>
        <w:jc w:val="both"/>
      </w:pPr>
      <w:r>
        <w:t xml:space="preserve">La AP de Baleares ha </w:t>
      </w:r>
      <w:r w:rsidR="005A2A22">
        <w:t xml:space="preserve">habilitado </w:t>
      </w:r>
      <w:r w:rsidR="004D600F">
        <w:t>cinco</w:t>
      </w:r>
      <w:r w:rsidR="005A2A22">
        <w:t xml:space="preserve"> </w:t>
      </w:r>
      <w:r>
        <w:t>canales</w:t>
      </w:r>
      <w:r w:rsidR="005A2A22">
        <w:t xml:space="preserve"> </w:t>
      </w:r>
      <w:r>
        <w:t>para la</w:t>
      </w:r>
      <w:r w:rsidR="005A2A22">
        <w:t xml:space="preserve"> presentación de las solicitudes de acceso a la información</w:t>
      </w:r>
      <w:r w:rsidR="007B1EF0">
        <w:t xml:space="preserve">, </w:t>
      </w:r>
      <w:r w:rsidR="005A2A22">
        <w:t>pero no se informa sobre</w:t>
      </w:r>
      <w:r w:rsidR="007B1EF0">
        <w:t xml:space="preserve"> los medios de contacto establecidos por la Ley 39/2015 a través de los cuales </w:t>
      </w:r>
      <w:r w:rsidR="004D600F">
        <w:t>los ciudadanos</w:t>
      </w:r>
      <w:r w:rsidR="007B1EF0">
        <w:t xml:space="preserve"> pueden relacionarse con las administraciones públicas. </w:t>
      </w:r>
    </w:p>
    <w:p w:rsidR="00C627FB" w:rsidRDefault="00C627FB" w:rsidP="00F34803">
      <w:pPr>
        <w:pStyle w:val="Prrafodelista"/>
        <w:ind w:left="644"/>
        <w:jc w:val="both"/>
      </w:pPr>
    </w:p>
    <w:p w:rsidR="00C627FB" w:rsidRDefault="00C627FB" w:rsidP="00C627FB">
      <w:pPr>
        <w:pStyle w:val="Prrafodelista"/>
        <w:pBdr>
          <w:top w:val="single" w:sz="4" w:space="1" w:color="00B050"/>
          <w:left w:val="single" w:sz="4" w:space="4" w:color="00B050"/>
          <w:bottom w:val="single" w:sz="4" w:space="1" w:color="00B050"/>
          <w:right w:val="single" w:sz="4" w:space="4" w:color="00B050"/>
        </w:pBdr>
        <w:ind w:left="644"/>
        <w:jc w:val="both"/>
      </w:pPr>
      <w:r>
        <w:t xml:space="preserve">Debería informarse sobre la posibilidad de presentación de solicitudes de acceso a información a través </w:t>
      </w:r>
      <w:r w:rsidR="005A2A22">
        <w:t xml:space="preserve">de </w:t>
      </w:r>
      <w:r w:rsidR="00A27A38">
        <w:t>los medios de contacto con las administraciones públicas establecidos en la Ley 3</w:t>
      </w:r>
      <w:r w:rsidR="00CB2288">
        <w:t>9</w:t>
      </w:r>
      <w:r w:rsidR="00A27A38">
        <w:t>/2015.</w:t>
      </w:r>
    </w:p>
    <w:p w:rsidR="007B1EF0" w:rsidRDefault="007B1EF0"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A27A38" w:rsidRDefault="00A27A38" w:rsidP="00197662">
      <w:pPr>
        <w:tabs>
          <w:tab w:val="left" w:pos="426"/>
        </w:tabs>
        <w:ind w:left="426"/>
        <w:contextualSpacing/>
        <w:jc w:val="both"/>
      </w:pPr>
      <w:r w:rsidRPr="00A27A38">
        <w:t xml:space="preserve">La gestión de la solicitud de acceso presentada no se ha ajustado al procedimiento establecido por la LTAIBG. </w:t>
      </w:r>
      <w:r w:rsidR="00CB2288">
        <w:t>Aunque se dicta resolución expresa, ésta</w:t>
      </w:r>
      <w:r w:rsidRPr="00A27A38">
        <w:t xml:space="preserve"> no incluye pie de recurso, careciendo en consecuencia, de información sobre los medios de impugnación en caso de disconformidad con la respuesta proporcionada, cuestión sobre la que tampoco se informa en el Portal de Transparencia de la entidad.      </w:t>
      </w:r>
    </w:p>
    <w:p w:rsidR="00902979" w:rsidRDefault="00902979" w:rsidP="00197662">
      <w:pPr>
        <w:tabs>
          <w:tab w:val="left" w:pos="426"/>
        </w:tabs>
        <w:ind w:left="426"/>
        <w:contextualSpacing/>
        <w:jc w:val="both"/>
      </w:pPr>
    </w:p>
    <w:p w:rsidR="001D5F76" w:rsidRDefault="001D5F76" w:rsidP="001D5F76">
      <w:pPr>
        <w:pBdr>
          <w:top w:val="single" w:sz="4" w:space="1" w:color="00B050"/>
          <w:left w:val="single" w:sz="4" w:space="4" w:color="00B050"/>
          <w:bottom w:val="single" w:sz="4" w:space="1" w:color="00B050"/>
          <w:right w:val="single" w:sz="4" w:space="4" w:color="00B050"/>
        </w:pBdr>
        <w:tabs>
          <w:tab w:val="left" w:pos="426"/>
        </w:tabs>
        <w:ind w:left="426"/>
        <w:contextualSpacing/>
        <w:jc w:val="both"/>
      </w:pPr>
      <w:r>
        <w:t>Aun cuando la AP de Baleares ha dado respuesta a la solicitud de información con rapidez</w:t>
      </w:r>
      <w:r w:rsidR="004D600F">
        <w:t>,</w:t>
      </w:r>
      <w:r>
        <w:t xml:space="preserve"> la resolución dictada no expresa los recursos que contra la misma proceden, órgano administrativo o judicial ante el que presentarlos y el plazo para interponerlos.</w:t>
      </w:r>
      <w:r w:rsidRPr="001D5F76">
        <w:t xml:space="preserve"> </w:t>
      </w:r>
      <w:r>
        <w:t xml:space="preserve">La AP debe ajustarse al procedimiento establecido por las Leyes 19/2013 y 39/2015: debe incluir en la </w:t>
      </w:r>
      <w:r>
        <w:lastRenderedPageBreak/>
        <w:t>resolución los recursos que contra la misma procedan, órgano administrativo o judicial ante el que presentarlos y el plazo para interponerlos</w:t>
      </w:r>
    </w:p>
    <w:p w:rsidR="001D5F76" w:rsidRDefault="001D5F76" w:rsidP="00197662">
      <w:pPr>
        <w:tabs>
          <w:tab w:val="left" w:pos="426"/>
        </w:tabs>
        <w:ind w:left="426"/>
        <w:contextualSpacing/>
        <w:jc w:val="both"/>
      </w:pPr>
    </w:p>
    <w:p w:rsidR="001D5F76" w:rsidRDefault="001D5F76" w:rsidP="00197662">
      <w:pPr>
        <w:tabs>
          <w:tab w:val="left" w:pos="426"/>
        </w:tabs>
        <w:ind w:left="426"/>
        <w:contextualSpacing/>
        <w:jc w:val="both"/>
      </w:pPr>
      <w:r w:rsidRPr="001D5F76">
        <w:t xml:space="preserve">La información se proporciona en el momento de la notificación aunque no en el formato solicitado lo que es coherente con el hecho de que durante el periodo de tiempo de referencia </w:t>
      </w:r>
      <w:r>
        <w:t>el volumen de</w:t>
      </w:r>
      <w:r w:rsidRPr="001D5F76">
        <w:t xml:space="preserve"> actividad relativa a la información solicitada</w:t>
      </w:r>
      <w:r>
        <w:t xml:space="preserve"> ha sido pequeño.</w:t>
      </w:r>
    </w:p>
    <w:p w:rsidR="004D600F" w:rsidRDefault="004D600F" w:rsidP="00197662">
      <w:pPr>
        <w:tabs>
          <w:tab w:val="left" w:pos="426"/>
        </w:tabs>
        <w:ind w:left="426"/>
        <w:contextualSpacing/>
        <w:jc w:val="both"/>
      </w:pPr>
    </w:p>
    <w:p w:rsidR="004D600F" w:rsidRDefault="004D600F" w:rsidP="00197662">
      <w:pPr>
        <w:tabs>
          <w:tab w:val="left" w:pos="426"/>
        </w:tabs>
        <w:ind w:left="426"/>
        <w:contextualSpacing/>
        <w:jc w:val="both"/>
      </w:pPr>
      <w:r>
        <w:t>Madrid, julio de 2022</w:t>
      </w:r>
    </w:p>
    <w:sectPr w:rsidR="004D600F" w:rsidSect="00DF63E7">
      <w:headerReference w:type="default" r:id="rId12"/>
      <w:foot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E04" w:rsidRDefault="00335E04" w:rsidP="00932008">
      <w:pPr>
        <w:spacing w:after="0" w:line="240" w:lineRule="auto"/>
      </w:pPr>
      <w:r>
        <w:separator/>
      </w:r>
    </w:p>
  </w:endnote>
  <w:endnote w:type="continuationSeparator" w:id="0">
    <w:p w:rsidR="00335E04" w:rsidRDefault="00335E04"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335E04" w:rsidRPr="00C533E7" w:rsidRDefault="00335E04">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52501E">
          <w:rPr>
            <w:noProof/>
            <w:sz w:val="18"/>
            <w:szCs w:val="18"/>
          </w:rPr>
          <w:t>1</w:t>
        </w:r>
        <w:r w:rsidRPr="00C533E7">
          <w:rPr>
            <w:sz w:val="18"/>
            <w:szCs w:val="18"/>
          </w:rPr>
          <w:fldChar w:fldCharType="end"/>
        </w:r>
      </w:p>
    </w:sdtContent>
  </w:sdt>
  <w:p w:rsidR="00335E04" w:rsidRDefault="00335E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E04" w:rsidRDefault="00335E04" w:rsidP="00932008">
      <w:pPr>
        <w:spacing w:after="0" w:line="240" w:lineRule="auto"/>
      </w:pPr>
      <w:r>
        <w:separator/>
      </w:r>
    </w:p>
  </w:footnote>
  <w:footnote w:type="continuationSeparator" w:id="0">
    <w:p w:rsidR="00335E04" w:rsidRDefault="00335E04"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04" w:rsidRDefault="00335E04">
    <w:pPr>
      <w:pStyle w:val="Encabezado"/>
    </w:pPr>
  </w:p>
  <w:p w:rsidR="00335E04" w:rsidRDefault="00335E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11.25pt;height:11.25pt" o:bullet="t">
        <v:imagedata r:id="rId2" o:title="BD14654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AD35649"/>
    <w:multiLevelType w:val="hybridMultilevel"/>
    <w:tmpl w:val="04081C08"/>
    <w:lvl w:ilvl="0" w:tplc="FA7C346E">
      <w:start w:val="1"/>
      <w:numFmt w:val="bullet"/>
      <w:lvlText w:val=""/>
      <w:lvlPicBulletId w:val="1"/>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6805"/>
    <w:rsid w:val="00055B15"/>
    <w:rsid w:val="00076723"/>
    <w:rsid w:val="000965B3"/>
    <w:rsid w:val="000A1C07"/>
    <w:rsid w:val="000B0A0D"/>
    <w:rsid w:val="000B2A81"/>
    <w:rsid w:val="000C2945"/>
    <w:rsid w:val="000C6CFF"/>
    <w:rsid w:val="000D5405"/>
    <w:rsid w:val="00102733"/>
    <w:rsid w:val="001252EE"/>
    <w:rsid w:val="0012783F"/>
    <w:rsid w:val="001561A4"/>
    <w:rsid w:val="00176A94"/>
    <w:rsid w:val="00194000"/>
    <w:rsid w:val="00197662"/>
    <w:rsid w:val="001B3D6A"/>
    <w:rsid w:val="001C238B"/>
    <w:rsid w:val="001D5F76"/>
    <w:rsid w:val="001E1C29"/>
    <w:rsid w:val="001F251B"/>
    <w:rsid w:val="001F25E4"/>
    <w:rsid w:val="00241D7A"/>
    <w:rsid w:val="00256215"/>
    <w:rsid w:val="0026281C"/>
    <w:rsid w:val="002A154B"/>
    <w:rsid w:val="002E0A33"/>
    <w:rsid w:val="003145AD"/>
    <w:rsid w:val="00334115"/>
    <w:rsid w:val="00335E04"/>
    <w:rsid w:val="00340559"/>
    <w:rsid w:val="003B5288"/>
    <w:rsid w:val="003E7ED9"/>
    <w:rsid w:val="003F271E"/>
    <w:rsid w:val="003F572A"/>
    <w:rsid w:val="004A123A"/>
    <w:rsid w:val="004A133A"/>
    <w:rsid w:val="004A706B"/>
    <w:rsid w:val="004B4DC3"/>
    <w:rsid w:val="004D600F"/>
    <w:rsid w:val="004D6E73"/>
    <w:rsid w:val="004F2655"/>
    <w:rsid w:val="0052501E"/>
    <w:rsid w:val="00531D64"/>
    <w:rsid w:val="005446A8"/>
    <w:rsid w:val="0054642F"/>
    <w:rsid w:val="00561402"/>
    <w:rsid w:val="0057532F"/>
    <w:rsid w:val="00595AAF"/>
    <w:rsid w:val="005A0354"/>
    <w:rsid w:val="005A2A22"/>
    <w:rsid w:val="005B1F0E"/>
    <w:rsid w:val="005B3C15"/>
    <w:rsid w:val="005E37C8"/>
    <w:rsid w:val="00626819"/>
    <w:rsid w:val="0064735D"/>
    <w:rsid w:val="00654162"/>
    <w:rsid w:val="006A2766"/>
    <w:rsid w:val="006A2E9A"/>
    <w:rsid w:val="006A2EEE"/>
    <w:rsid w:val="00706E04"/>
    <w:rsid w:val="00707CFE"/>
    <w:rsid w:val="00710031"/>
    <w:rsid w:val="00727BA2"/>
    <w:rsid w:val="00743756"/>
    <w:rsid w:val="00756117"/>
    <w:rsid w:val="007A09A8"/>
    <w:rsid w:val="007B0F99"/>
    <w:rsid w:val="007B1EF0"/>
    <w:rsid w:val="007C57AB"/>
    <w:rsid w:val="007D6B40"/>
    <w:rsid w:val="00815659"/>
    <w:rsid w:val="008207D9"/>
    <w:rsid w:val="00833900"/>
    <w:rsid w:val="00844FA9"/>
    <w:rsid w:val="008C1E1E"/>
    <w:rsid w:val="008F5F99"/>
    <w:rsid w:val="00902979"/>
    <w:rsid w:val="00904E47"/>
    <w:rsid w:val="0091341F"/>
    <w:rsid w:val="00923092"/>
    <w:rsid w:val="009239D9"/>
    <w:rsid w:val="00930638"/>
    <w:rsid w:val="00932008"/>
    <w:rsid w:val="00932F1C"/>
    <w:rsid w:val="009564A9"/>
    <w:rsid w:val="009609E9"/>
    <w:rsid w:val="00983919"/>
    <w:rsid w:val="009B321F"/>
    <w:rsid w:val="009E7A2F"/>
    <w:rsid w:val="00A17959"/>
    <w:rsid w:val="00A27A38"/>
    <w:rsid w:val="00A41DD5"/>
    <w:rsid w:val="00A544D3"/>
    <w:rsid w:val="00A8003E"/>
    <w:rsid w:val="00A915A2"/>
    <w:rsid w:val="00AC2468"/>
    <w:rsid w:val="00AC715D"/>
    <w:rsid w:val="00AD1DBF"/>
    <w:rsid w:val="00AE1CBE"/>
    <w:rsid w:val="00AE788F"/>
    <w:rsid w:val="00AF18BD"/>
    <w:rsid w:val="00B06497"/>
    <w:rsid w:val="00B378E2"/>
    <w:rsid w:val="00B40246"/>
    <w:rsid w:val="00B41C33"/>
    <w:rsid w:val="00B5583D"/>
    <w:rsid w:val="00B812AB"/>
    <w:rsid w:val="00B841AE"/>
    <w:rsid w:val="00B84669"/>
    <w:rsid w:val="00BA266E"/>
    <w:rsid w:val="00BA3664"/>
    <w:rsid w:val="00BB6799"/>
    <w:rsid w:val="00BD4582"/>
    <w:rsid w:val="00BE6A46"/>
    <w:rsid w:val="00BF5EDE"/>
    <w:rsid w:val="00C25AF5"/>
    <w:rsid w:val="00C33A23"/>
    <w:rsid w:val="00C34BB5"/>
    <w:rsid w:val="00C4479B"/>
    <w:rsid w:val="00C533E7"/>
    <w:rsid w:val="00C5744D"/>
    <w:rsid w:val="00C627FB"/>
    <w:rsid w:val="00CB2288"/>
    <w:rsid w:val="00CB5511"/>
    <w:rsid w:val="00CB7518"/>
    <w:rsid w:val="00CC2049"/>
    <w:rsid w:val="00CC587B"/>
    <w:rsid w:val="00CC610D"/>
    <w:rsid w:val="00CD0605"/>
    <w:rsid w:val="00CF15A6"/>
    <w:rsid w:val="00D41FBA"/>
    <w:rsid w:val="00D445A7"/>
    <w:rsid w:val="00D447A6"/>
    <w:rsid w:val="00D52E43"/>
    <w:rsid w:val="00D74E79"/>
    <w:rsid w:val="00D84B7B"/>
    <w:rsid w:val="00D864B1"/>
    <w:rsid w:val="00D96F84"/>
    <w:rsid w:val="00DC0848"/>
    <w:rsid w:val="00DD3E02"/>
    <w:rsid w:val="00DE0EA7"/>
    <w:rsid w:val="00DE4AA9"/>
    <w:rsid w:val="00DF2ACE"/>
    <w:rsid w:val="00DF4D57"/>
    <w:rsid w:val="00DF63E7"/>
    <w:rsid w:val="00E3088D"/>
    <w:rsid w:val="00E34195"/>
    <w:rsid w:val="00E4702F"/>
    <w:rsid w:val="00E47613"/>
    <w:rsid w:val="00E569FD"/>
    <w:rsid w:val="00EA202A"/>
    <w:rsid w:val="00EE5BDF"/>
    <w:rsid w:val="00F14DA4"/>
    <w:rsid w:val="00F34803"/>
    <w:rsid w:val="00F47C3B"/>
    <w:rsid w:val="00F50AE2"/>
    <w:rsid w:val="00F51B4A"/>
    <w:rsid w:val="00F71D7D"/>
    <w:rsid w:val="00F7263F"/>
    <w:rsid w:val="00F95C4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C3FF0"/>
    <w:rsid w:val="0013771E"/>
    <w:rsid w:val="002A5B0E"/>
    <w:rsid w:val="002C1748"/>
    <w:rsid w:val="002C7AFA"/>
    <w:rsid w:val="00301B3E"/>
    <w:rsid w:val="003D088C"/>
    <w:rsid w:val="00543A52"/>
    <w:rsid w:val="00546DCA"/>
    <w:rsid w:val="007545E1"/>
    <w:rsid w:val="0087096B"/>
    <w:rsid w:val="00A80EAD"/>
    <w:rsid w:val="00AB1850"/>
    <w:rsid w:val="00C00E88"/>
    <w:rsid w:val="00C26568"/>
    <w:rsid w:val="00C60DC9"/>
    <w:rsid w:val="00D35513"/>
    <w:rsid w:val="00E147F2"/>
    <w:rsid w:val="00E16D50"/>
    <w:rsid w:val="00E30568"/>
    <w:rsid w:val="00E5085E"/>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 w:type="paragraph" w:customStyle="1" w:styleId="C433F9BF10DF4AF4A2E013BC86287DE0">
    <w:name w:val="C433F9BF10DF4AF4A2E013BC86287DE0"/>
    <w:rsid w:val="00301B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 w:type="paragraph" w:customStyle="1" w:styleId="C433F9BF10DF4AF4A2E013BC86287DE0">
    <w:name w:val="C433F9BF10DF4AF4A2E013BC86287DE0"/>
    <w:rsid w:val="00301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9FDA23CE-9969-4413-A63A-BD32A320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125</TotalTime>
  <Pages>6</Pages>
  <Words>1597</Words>
  <Characters>8788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7</cp:revision>
  <cp:lastPrinted>2007-10-26T10:03:00Z</cp:lastPrinted>
  <dcterms:created xsi:type="dcterms:W3CDTF">2022-07-19T11:42:00Z</dcterms:created>
  <dcterms:modified xsi:type="dcterms:W3CDTF">2022-09-08T09:56:00Z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