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B5720" w:rsidRPr="00006957" w:rsidRDefault="001B572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B5720" w:rsidRPr="00006957" w:rsidRDefault="001B572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720" w:rsidRDefault="001B572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35E04" w:rsidRDefault="00335E0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B41C33" w:rsidP="00F61423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Autoridad Portuaria de </w:t>
            </w:r>
            <w:r w:rsidR="00F61423">
              <w:rPr>
                <w:sz w:val="24"/>
                <w:szCs w:val="24"/>
              </w:rPr>
              <w:t>Huelva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9B321F" w:rsidP="00B41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C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/07/2022</w:t>
            </w:r>
          </w:p>
        </w:tc>
      </w:tr>
    </w:tbl>
    <w:p w:rsidR="00BA266E" w:rsidRDefault="00BA266E"/>
    <w:p w:rsidR="00561402" w:rsidRPr="0012783F" w:rsidRDefault="00822ED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CF15A6" w:rsidRDefault="007A09A8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La Autoridad Portuaria de </w:t>
      </w:r>
      <w:r w:rsidR="00DC3492">
        <w:rPr>
          <w:bCs/>
          <w:color w:val="auto"/>
          <w:szCs w:val="22"/>
        </w:rPr>
        <w:t>Huelva</w:t>
      </w:r>
      <w:r w:rsidR="0064735D">
        <w:rPr>
          <w:bCs/>
          <w:color w:val="auto"/>
          <w:szCs w:val="22"/>
        </w:rPr>
        <w:t xml:space="preserve"> ha asignado la gestión de las solicitudes de acceso a información pública a </w:t>
      </w:r>
      <w:r w:rsidR="00DC3492">
        <w:rPr>
          <w:bCs/>
          <w:color w:val="auto"/>
          <w:szCs w:val="22"/>
        </w:rPr>
        <w:t>la Secretaría General</w:t>
      </w:r>
      <w:r w:rsidR="00CF15A6">
        <w:rPr>
          <w:bCs/>
          <w:color w:val="auto"/>
          <w:szCs w:val="22"/>
        </w:rPr>
        <w:t>.</w:t>
      </w:r>
      <w:r w:rsidR="0064735D">
        <w:rPr>
          <w:bCs/>
          <w:color w:val="auto"/>
          <w:szCs w:val="22"/>
        </w:rPr>
        <w:t xml:space="preserve"> </w:t>
      </w:r>
      <w:r w:rsidR="00DC3492">
        <w:rPr>
          <w:bCs/>
          <w:color w:val="auto"/>
          <w:szCs w:val="22"/>
        </w:rPr>
        <w:t>C</w:t>
      </w:r>
      <w:r w:rsidR="0064735D">
        <w:rPr>
          <w:bCs/>
          <w:color w:val="auto"/>
          <w:szCs w:val="22"/>
        </w:rPr>
        <w:t xml:space="preserve">uenta con </w:t>
      </w:r>
      <w:r w:rsidR="00DC3492">
        <w:rPr>
          <w:bCs/>
          <w:color w:val="auto"/>
          <w:szCs w:val="22"/>
        </w:rPr>
        <w:t>2</w:t>
      </w:r>
      <w:r w:rsidR="0064735D">
        <w:rPr>
          <w:bCs/>
          <w:color w:val="auto"/>
          <w:szCs w:val="22"/>
        </w:rPr>
        <w:t xml:space="preserve"> persona</w:t>
      </w:r>
      <w:r>
        <w:rPr>
          <w:bCs/>
          <w:color w:val="auto"/>
          <w:szCs w:val="22"/>
        </w:rPr>
        <w:t>s</w:t>
      </w:r>
      <w:r w:rsidR="0064735D">
        <w:rPr>
          <w:bCs/>
          <w:color w:val="auto"/>
          <w:szCs w:val="22"/>
        </w:rPr>
        <w:t xml:space="preserve"> que se dedica</w:t>
      </w:r>
      <w:r>
        <w:rPr>
          <w:bCs/>
          <w:color w:val="auto"/>
          <w:szCs w:val="22"/>
        </w:rPr>
        <w:t>n</w:t>
      </w:r>
      <w:r w:rsidR="0064735D">
        <w:rPr>
          <w:bCs/>
          <w:color w:val="auto"/>
          <w:szCs w:val="22"/>
        </w:rPr>
        <w:t xml:space="preserve"> a la gestión de estas solicitudes compatibilizando esta actividad con otras funciones y tareas.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22ED6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932F1C">
            <w:rPr>
              <w:b/>
              <w:color w:val="00642D"/>
              <w:sz w:val="30"/>
              <w:szCs w:val="30"/>
            </w:rPr>
            <w:t>1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932F1C" w:rsidRDefault="00932F1C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A41DD5">
        <w:rPr>
          <w:rStyle w:val="Ttulo2Car"/>
          <w:color w:val="00642D"/>
          <w:lang w:bidi="es-ES"/>
        </w:rPr>
        <w:t>II.1</w:t>
      </w:r>
      <w:r>
        <w:rPr>
          <w:rStyle w:val="Ttulo2Car"/>
          <w:color w:val="00642D"/>
          <w:lang w:bidi="es-ES"/>
        </w:rPr>
        <w:t xml:space="preserve"> </w:t>
      </w:r>
      <w:r w:rsidRPr="00B812AB">
        <w:rPr>
          <w:rStyle w:val="Ttulo2Car"/>
          <w:color w:val="00642D"/>
          <w:lang w:bidi="es-ES"/>
        </w:rPr>
        <w:t>Solicitudes gestionadas en 202</w:t>
      </w:r>
      <w:r>
        <w:rPr>
          <w:rStyle w:val="Ttulo2Car"/>
          <w:color w:val="00642D"/>
          <w:lang w:bidi="es-ES"/>
        </w:rPr>
        <w:t>1</w:t>
      </w:r>
    </w:p>
    <w:p w:rsidR="00CF15A6" w:rsidRDefault="0064735D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Según informa </w:t>
      </w:r>
      <w:r w:rsidR="00932F1C">
        <w:rPr>
          <w:bCs/>
          <w:color w:val="auto"/>
          <w:szCs w:val="22"/>
        </w:rPr>
        <w:t xml:space="preserve">la AP de </w:t>
      </w:r>
      <w:r w:rsidR="00DC3492">
        <w:rPr>
          <w:bCs/>
          <w:color w:val="auto"/>
          <w:szCs w:val="22"/>
        </w:rPr>
        <w:t>Huelva</w:t>
      </w:r>
      <w:r>
        <w:rPr>
          <w:bCs/>
          <w:color w:val="auto"/>
          <w:szCs w:val="22"/>
        </w:rPr>
        <w:t xml:space="preserve"> en 2021 se recibieron </w:t>
      </w:r>
      <w:r w:rsidR="00DC3492">
        <w:rPr>
          <w:bCs/>
          <w:color w:val="auto"/>
          <w:szCs w:val="22"/>
        </w:rPr>
        <w:t>5</w:t>
      </w:r>
      <w:r w:rsidR="00932F1C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>solicitudes de acceso a información pública de la entidad</w:t>
      </w:r>
      <w:r w:rsidR="00CF15A6">
        <w:rPr>
          <w:bCs/>
          <w:color w:val="auto"/>
          <w:szCs w:val="22"/>
        </w:rPr>
        <w:t>.</w:t>
      </w:r>
      <w:r w:rsidR="00932F1C">
        <w:rPr>
          <w:bCs/>
          <w:color w:val="auto"/>
          <w:szCs w:val="22"/>
        </w:rPr>
        <w:t xml:space="preserve"> No habían quedado </w:t>
      </w:r>
      <w:r w:rsidR="00335E04">
        <w:rPr>
          <w:bCs/>
          <w:color w:val="auto"/>
          <w:szCs w:val="22"/>
        </w:rPr>
        <w:t xml:space="preserve">solicitudes </w:t>
      </w:r>
      <w:r w:rsidR="00932F1C">
        <w:rPr>
          <w:bCs/>
          <w:color w:val="auto"/>
          <w:szCs w:val="22"/>
        </w:rPr>
        <w:t xml:space="preserve">pendientes  de tramitación </w:t>
      </w:r>
      <w:r w:rsidR="00335E04">
        <w:rPr>
          <w:bCs/>
          <w:color w:val="auto"/>
          <w:szCs w:val="22"/>
        </w:rPr>
        <w:t>a finales de</w:t>
      </w:r>
      <w:r w:rsidR="00932F1C">
        <w:rPr>
          <w:bCs/>
          <w:color w:val="auto"/>
          <w:szCs w:val="22"/>
        </w:rPr>
        <w:t xml:space="preserve"> 2020. Las </w:t>
      </w:r>
      <w:r w:rsidR="00DC3492">
        <w:rPr>
          <w:bCs/>
          <w:color w:val="auto"/>
          <w:szCs w:val="22"/>
        </w:rPr>
        <w:t>5</w:t>
      </w:r>
      <w:r w:rsidR="00932F1C">
        <w:rPr>
          <w:bCs/>
          <w:color w:val="auto"/>
          <w:szCs w:val="22"/>
        </w:rPr>
        <w:t xml:space="preserve"> solicitudes fueron tramitadas a lo largo de 2021. De ellas, </w:t>
      </w:r>
      <w:r w:rsidR="00DC3492">
        <w:rPr>
          <w:bCs/>
          <w:color w:val="auto"/>
          <w:szCs w:val="22"/>
        </w:rPr>
        <w:t>2</w:t>
      </w:r>
      <w:r w:rsidR="00932F1C">
        <w:rPr>
          <w:bCs/>
          <w:color w:val="auto"/>
          <w:szCs w:val="22"/>
        </w:rPr>
        <w:t xml:space="preserve"> fueron admitidas y </w:t>
      </w:r>
      <w:r w:rsidR="00DC3492">
        <w:rPr>
          <w:bCs/>
          <w:color w:val="auto"/>
          <w:szCs w:val="22"/>
        </w:rPr>
        <w:t>3</w:t>
      </w:r>
      <w:r w:rsidR="00932F1C">
        <w:rPr>
          <w:bCs/>
          <w:color w:val="auto"/>
          <w:szCs w:val="22"/>
        </w:rPr>
        <w:t xml:space="preserve"> inadmitidas</w:t>
      </w:r>
      <w:r w:rsidR="00DC3492">
        <w:rPr>
          <w:bCs/>
          <w:color w:val="auto"/>
          <w:szCs w:val="22"/>
        </w:rPr>
        <w:t xml:space="preserve">, en dos casos por encontrarse la información solicitada </w:t>
      </w:r>
      <w:r w:rsidR="00DC3492" w:rsidRPr="00DC3492">
        <w:rPr>
          <w:bCs/>
          <w:color w:val="auto"/>
          <w:szCs w:val="22"/>
        </w:rPr>
        <w:t>en curso de elaboración o de publicación general</w:t>
      </w:r>
      <w:r w:rsidR="00932F1C">
        <w:rPr>
          <w:bCs/>
          <w:color w:val="auto"/>
          <w:szCs w:val="22"/>
        </w:rPr>
        <w:t xml:space="preserve"> </w:t>
      </w:r>
      <w:r w:rsidR="00DC3492">
        <w:rPr>
          <w:bCs/>
          <w:color w:val="auto"/>
          <w:szCs w:val="22"/>
        </w:rPr>
        <w:t xml:space="preserve">y la tercera, </w:t>
      </w:r>
      <w:r w:rsidR="00932F1C">
        <w:rPr>
          <w:bCs/>
          <w:color w:val="auto"/>
          <w:szCs w:val="22"/>
        </w:rPr>
        <w:t>por</w:t>
      </w:r>
      <w:r w:rsidR="00DC3492">
        <w:rPr>
          <w:bCs/>
          <w:color w:val="auto"/>
          <w:szCs w:val="22"/>
        </w:rPr>
        <w:t>que la información solicitada contaba con un régimen específico de acceso a la información</w:t>
      </w:r>
      <w:r w:rsidR="00932F1C">
        <w:rPr>
          <w:bCs/>
          <w:color w:val="auto"/>
          <w:szCs w:val="22"/>
        </w:rPr>
        <w:t xml:space="preserve">. </w:t>
      </w:r>
    </w:p>
    <w:p w:rsidR="00932F1C" w:rsidRDefault="00932F1C" w:rsidP="00932F1C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</w:t>
      </w:r>
      <w:r>
        <w:rPr>
          <w:rStyle w:val="Ttulo2Car"/>
          <w:color w:val="00642D"/>
          <w:lang w:bidi="es-ES"/>
        </w:rPr>
        <w:t>1</w:t>
      </w:r>
    </w:p>
    <w:p w:rsidR="00932F1C" w:rsidRDefault="00932F1C" w:rsidP="00932F1C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151FEA">
        <w:rPr>
          <w:rStyle w:val="Ttulo2Car"/>
          <w:b w:val="0"/>
          <w:color w:val="auto"/>
          <w:sz w:val="22"/>
          <w:szCs w:val="22"/>
          <w:lang w:bidi="es-ES"/>
        </w:rPr>
        <w:t xml:space="preserve">En </w:t>
      </w:r>
      <w:r w:rsidR="00DC3492">
        <w:rPr>
          <w:rStyle w:val="Ttulo2Car"/>
          <w:b w:val="0"/>
          <w:color w:val="auto"/>
          <w:sz w:val="22"/>
          <w:szCs w:val="22"/>
          <w:lang w:bidi="es-ES"/>
        </w:rPr>
        <w:t>2021</w:t>
      </w:r>
      <w:r w:rsidRPr="00151FEA">
        <w:rPr>
          <w:rStyle w:val="Ttulo2Car"/>
          <w:b w:val="0"/>
          <w:color w:val="auto"/>
          <w:sz w:val="22"/>
          <w:szCs w:val="22"/>
          <w:lang w:bidi="es-ES"/>
        </w:rPr>
        <w:t xml:space="preserve"> en promedio, </w:t>
      </w:r>
      <w:r>
        <w:rPr>
          <w:rStyle w:val="Ttulo2Car"/>
          <w:b w:val="0"/>
          <w:color w:val="auto"/>
          <w:sz w:val="22"/>
          <w:szCs w:val="22"/>
          <w:lang w:bidi="es-ES"/>
        </w:rPr>
        <w:t>cada</w:t>
      </w:r>
      <w:r w:rsidRPr="00151FEA">
        <w:rPr>
          <w:rStyle w:val="Ttulo2Car"/>
          <w:b w:val="0"/>
          <w:color w:val="auto"/>
          <w:sz w:val="22"/>
          <w:szCs w:val="22"/>
          <w:lang w:bidi="es-ES"/>
        </w:rPr>
        <w:t xml:space="preserve"> persona asignada a la </w:t>
      </w:r>
      <w:r>
        <w:rPr>
          <w:rStyle w:val="Ttulo2Car"/>
          <w:b w:val="0"/>
          <w:color w:val="auto"/>
          <w:sz w:val="22"/>
          <w:szCs w:val="22"/>
          <w:lang w:bidi="es-ES"/>
        </w:rPr>
        <w:t>gestión de las solicitudes de acceso</w:t>
      </w:r>
      <w:r w:rsidRPr="00151FEA">
        <w:rPr>
          <w:rStyle w:val="Ttulo2Car"/>
          <w:b w:val="0"/>
          <w:color w:val="auto"/>
          <w:sz w:val="22"/>
          <w:szCs w:val="22"/>
          <w:lang w:bidi="es-ES"/>
        </w:rPr>
        <w:t xml:space="preserve"> asumió la tramitación de </w:t>
      </w:r>
      <w:r w:rsidR="00DC3492">
        <w:rPr>
          <w:rStyle w:val="Ttulo2Car"/>
          <w:b w:val="0"/>
          <w:color w:val="auto"/>
          <w:sz w:val="22"/>
          <w:szCs w:val="22"/>
          <w:lang w:bidi="es-ES"/>
        </w:rPr>
        <w:t>2,5</w:t>
      </w:r>
      <w:r w:rsidRPr="00151FEA">
        <w:rPr>
          <w:rStyle w:val="Ttulo2Car"/>
          <w:b w:val="0"/>
          <w:color w:val="auto"/>
          <w:sz w:val="22"/>
          <w:szCs w:val="22"/>
          <w:lang w:bidi="es-ES"/>
        </w:rPr>
        <w:t xml:space="preserve"> solicitudes. </w:t>
      </w:r>
    </w:p>
    <w:p w:rsidR="00932F1C" w:rsidRDefault="00932F1C" w:rsidP="00932F1C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La tasa de tramitación se sitúa en el 100% siempre partiendo de los datos aportados por la AP. La tasa de admisión se sitúa en el </w:t>
      </w:r>
      <w:r w:rsidR="00DC3492">
        <w:rPr>
          <w:rStyle w:val="Ttulo2Car"/>
          <w:b w:val="0"/>
          <w:color w:val="auto"/>
          <w:sz w:val="22"/>
          <w:szCs w:val="22"/>
          <w:lang w:bidi="es-ES"/>
        </w:rPr>
        <w:t>40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% y la de inadmisión en el </w:t>
      </w:r>
      <w:r w:rsidR="00DC3492">
        <w:rPr>
          <w:rStyle w:val="Ttulo2Car"/>
          <w:b w:val="0"/>
          <w:color w:val="auto"/>
          <w:sz w:val="22"/>
          <w:szCs w:val="22"/>
          <w:lang w:bidi="es-ES"/>
        </w:rPr>
        <w:t>60</w:t>
      </w:r>
      <w:r>
        <w:rPr>
          <w:rStyle w:val="Ttulo2Car"/>
          <w:b w:val="0"/>
          <w:color w:val="auto"/>
          <w:sz w:val="22"/>
          <w:szCs w:val="22"/>
          <w:lang w:bidi="es-ES"/>
        </w:rPr>
        <w:t>%.</w:t>
      </w:r>
    </w:p>
    <w:p w:rsidR="00932F1C" w:rsidRPr="00647481" w:rsidRDefault="00932F1C" w:rsidP="00932F1C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</w:t>
      </w:r>
      <w:r>
        <w:rPr>
          <w:rStyle w:val="Ttulo2Car"/>
          <w:b/>
          <w:color w:val="00642D"/>
          <w:sz w:val="22"/>
          <w:szCs w:val="22"/>
          <w:lang w:bidi="es-ES"/>
        </w:rPr>
        <w:t xml:space="preserve"> Indicadores de tramitación 2021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DC3492" w:rsidRPr="00706E04" w:rsidTr="00932F1C">
        <w:trPr>
          <w:trHeight w:val="280"/>
        </w:trPr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DC3492" w:rsidRPr="00706E04" w:rsidTr="00932F1C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DC3492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C3492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 w:rsidRPr="00DC34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DC3492">
              <w:rPr>
                <w:sz w:val="20"/>
                <w:szCs w:val="20"/>
              </w:rPr>
              <w:t>0</w:t>
            </w:r>
          </w:p>
        </w:tc>
      </w:tr>
      <w:tr w:rsidR="00DC3492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 w:rsidRPr="00DC3492">
              <w:rPr>
                <w:sz w:val="20"/>
                <w:szCs w:val="20"/>
              </w:rPr>
              <w:t>100,0</w:t>
            </w:r>
          </w:p>
        </w:tc>
      </w:tr>
      <w:tr w:rsidR="00DC3492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 w:rsidRPr="00DC3492">
              <w:rPr>
                <w:sz w:val="20"/>
                <w:szCs w:val="20"/>
              </w:rPr>
              <w:t>100,0</w:t>
            </w:r>
          </w:p>
        </w:tc>
      </w:tr>
      <w:tr w:rsidR="00DC3492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 w:rsidRPr="00DC34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DC3492">
              <w:rPr>
                <w:sz w:val="20"/>
                <w:szCs w:val="20"/>
              </w:rPr>
              <w:t>0</w:t>
            </w:r>
          </w:p>
        </w:tc>
      </w:tr>
      <w:tr w:rsidR="00DC3492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 w:rsidRPr="00DC3492">
              <w:rPr>
                <w:sz w:val="20"/>
                <w:szCs w:val="20"/>
              </w:rPr>
              <w:t>40,0</w:t>
            </w:r>
          </w:p>
        </w:tc>
      </w:tr>
      <w:tr w:rsidR="00DC3492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 w:rsidRPr="00DC3492">
              <w:rPr>
                <w:sz w:val="20"/>
                <w:szCs w:val="20"/>
              </w:rPr>
              <w:t>60,0</w:t>
            </w:r>
          </w:p>
        </w:tc>
      </w:tr>
      <w:tr w:rsidR="00DC3492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C3492" w:rsidRPr="005B3C15" w:rsidRDefault="00DC3492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C3492" w:rsidRPr="006A2E9A" w:rsidRDefault="00DC3492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</w:tcPr>
          <w:p w:rsidR="00DC3492" w:rsidRPr="00DC3492" w:rsidRDefault="00DC3492" w:rsidP="00DC3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DC3492">
              <w:rPr>
                <w:sz w:val="20"/>
                <w:szCs w:val="20"/>
              </w:rPr>
              <w:t>0</w:t>
            </w:r>
          </w:p>
        </w:tc>
      </w:tr>
    </w:tbl>
    <w:p w:rsidR="005A2A22" w:rsidRDefault="005A2A22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932F1C" w:rsidRDefault="00932F1C" w:rsidP="00932F1C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3 </w:t>
      </w:r>
      <w:r w:rsidRPr="00055B15">
        <w:rPr>
          <w:rStyle w:val="Ttulo2Car"/>
          <w:color w:val="00642D"/>
          <w:lang w:bidi="es-ES"/>
        </w:rPr>
        <w:t xml:space="preserve">Resoluciones </w:t>
      </w:r>
      <w:r>
        <w:rPr>
          <w:rStyle w:val="Ttulo2Car"/>
          <w:color w:val="00642D"/>
          <w:lang w:bidi="es-ES"/>
        </w:rPr>
        <w:t>dictadas</w:t>
      </w:r>
      <w:r w:rsidRPr="00055B15">
        <w:rPr>
          <w:rStyle w:val="Ttulo2Car"/>
          <w:color w:val="00642D"/>
          <w:lang w:bidi="es-ES"/>
        </w:rPr>
        <w:t xml:space="preserve"> en 202</w:t>
      </w:r>
      <w:r>
        <w:rPr>
          <w:rStyle w:val="Ttulo2Car"/>
          <w:color w:val="00642D"/>
          <w:lang w:bidi="es-ES"/>
        </w:rPr>
        <w:t>1</w:t>
      </w:r>
    </w:p>
    <w:p w:rsidR="00932F1C" w:rsidRDefault="00932F1C" w:rsidP="00932F1C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932F1C" w:rsidRPr="00B64369" w:rsidRDefault="00932F1C" w:rsidP="00932F1C">
      <w:pPr>
        <w:ind w:left="426"/>
        <w:jc w:val="both"/>
        <w:rPr>
          <w:rStyle w:val="Ttulo2Car"/>
          <w:color w:val="00642D"/>
          <w:lang w:bidi="es-ES"/>
        </w:rPr>
      </w:pPr>
      <w:r w:rsidRPr="00B64369">
        <w:rPr>
          <w:rStyle w:val="Ttulo2Car"/>
          <w:b w:val="0"/>
          <w:color w:val="auto"/>
          <w:sz w:val="22"/>
          <w:szCs w:val="22"/>
          <w:lang w:bidi="es-ES"/>
        </w:rPr>
        <w:t xml:space="preserve">Respecto de las resoluciones </w:t>
      </w:r>
      <w:r>
        <w:rPr>
          <w:rStyle w:val="Ttulo2Car"/>
          <w:b w:val="0"/>
          <w:color w:val="auto"/>
          <w:sz w:val="22"/>
          <w:szCs w:val="22"/>
          <w:lang w:bidi="es-ES"/>
        </w:rPr>
        <w:t>dictadas en 2021</w:t>
      </w:r>
      <w:r w:rsidRPr="00B64369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DC3492">
        <w:rPr>
          <w:rStyle w:val="Ttulo2Car"/>
          <w:b w:val="0"/>
          <w:color w:val="auto"/>
          <w:sz w:val="22"/>
          <w:szCs w:val="22"/>
          <w:lang w:bidi="es-ES"/>
        </w:rPr>
        <w:t>dos</w:t>
      </w:r>
      <w:r w:rsidR="00076723">
        <w:rPr>
          <w:rStyle w:val="Ttulo2Car"/>
          <w:b w:val="0"/>
          <w:color w:val="auto"/>
          <w:sz w:val="22"/>
          <w:szCs w:val="22"/>
          <w:lang w:bidi="es-ES"/>
        </w:rPr>
        <w:t xml:space="preserve">, todas ellas fueron estimatorias y </w:t>
      </w:r>
      <w:r w:rsidRPr="00B64369">
        <w:rPr>
          <w:rStyle w:val="Ttulo2Car"/>
          <w:b w:val="0"/>
          <w:color w:val="auto"/>
          <w:sz w:val="22"/>
          <w:szCs w:val="22"/>
          <w:lang w:bidi="es-ES"/>
        </w:rPr>
        <w:t xml:space="preserve"> concedie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ron acceso </w:t>
      </w:r>
      <w:r w:rsidR="00076723">
        <w:rPr>
          <w:rStyle w:val="Ttulo2Car"/>
          <w:b w:val="0"/>
          <w:color w:val="auto"/>
          <w:sz w:val="22"/>
          <w:szCs w:val="22"/>
          <w:lang w:bidi="es-ES"/>
        </w:rPr>
        <w:t xml:space="preserve">total </w:t>
      </w:r>
      <w:r>
        <w:rPr>
          <w:rStyle w:val="Ttulo2Car"/>
          <w:b w:val="0"/>
          <w:color w:val="auto"/>
          <w:sz w:val="22"/>
          <w:szCs w:val="22"/>
          <w:lang w:bidi="es-ES"/>
        </w:rPr>
        <w:t>a la información</w:t>
      </w:r>
      <w:r w:rsidR="00076723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932F1C" w:rsidRPr="009079EA" w:rsidRDefault="00932F1C" w:rsidP="00932F1C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de la </w:t>
      </w:r>
      <w:r w:rsidR="00076723">
        <w:rPr>
          <w:rStyle w:val="Ttulo2Car"/>
          <w:b w:val="0"/>
          <w:color w:val="auto"/>
          <w:sz w:val="22"/>
          <w:szCs w:val="22"/>
          <w:lang w:bidi="es-ES"/>
        </w:rPr>
        <w:t xml:space="preserve">AP de </w:t>
      </w:r>
      <w:r w:rsidR="00DC3492">
        <w:rPr>
          <w:rStyle w:val="Ttulo2Car"/>
          <w:b w:val="0"/>
          <w:color w:val="auto"/>
          <w:sz w:val="22"/>
          <w:szCs w:val="22"/>
          <w:lang w:bidi="es-ES"/>
        </w:rPr>
        <w:t>Huelva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, información sobre las solicitudes denegadas por aplicación de los límites del artículo 14 de la LTAIBG, tal y como establece el artículo 14.3 de la norma, que obliga a la publicación de estas resoluciones previa disociación de los datos de carácter personal. </w:t>
      </w:r>
    </w:p>
    <w:p w:rsidR="00932F1C" w:rsidRDefault="00932F1C" w:rsidP="00932F1C"/>
    <w:p w:rsidR="00932F1C" w:rsidRDefault="00932F1C" w:rsidP="00932F1C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4 Indicadores de resolución en 202</w:t>
      </w:r>
      <w:r w:rsidR="00076723">
        <w:rPr>
          <w:rStyle w:val="Ttulo2Car"/>
          <w:color w:val="00642D"/>
          <w:lang w:bidi="es-ES"/>
        </w:rPr>
        <w:t>1</w:t>
      </w:r>
      <w:r>
        <w:rPr>
          <w:rStyle w:val="Ttulo2Car"/>
          <w:color w:val="00642D"/>
          <w:lang w:bidi="es-ES"/>
        </w:rPr>
        <w:t xml:space="preserve"> </w:t>
      </w:r>
    </w:p>
    <w:p w:rsidR="00932F1C" w:rsidRDefault="00932F1C" w:rsidP="00932F1C">
      <w:pPr>
        <w:ind w:left="426"/>
        <w:jc w:val="both"/>
      </w:pPr>
    </w:p>
    <w:p w:rsidR="00932F1C" w:rsidRDefault="00932F1C" w:rsidP="00932F1C">
      <w:pPr>
        <w:ind w:left="426"/>
        <w:jc w:val="both"/>
      </w:pPr>
      <w:r w:rsidRPr="00D2277D">
        <w:t xml:space="preserve">La </w:t>
      </w:r>
      <w:r w:rsidR="00076723">
        <w:t xml:space="preserve">AP de </w:t>
      </w:r>
      <w:r w:rsidR="00DC3492">
        <w:t>Huelva</w:t>
      </w:r>
      <w:r w:rsidR="00076723">
        <w:t xml:space="preserve"> </w:t>
      </w:r>
      <w:r w:rsidRPr="00D2277D">
        <w:t xml:space="preserve">emite resoluciones expresas para </w:t>
      </w:r>
      <w:r w:rsidR="00076723">
        <w:t>la totalidad</w:t>
      </w:r>
      <w:r>
        <w:t xml:space="preserve"> de </w:t>
      </w:r>
      <w:r w:rsidRPr="00D2277D">
        <w:t>las solicitudes admitidas. Ninguna solicitud ha sido desestimada por silencio administrativo.</w:t>
      </w:r>
    </w:p>
    <w:p w:rsidR="00932F1C" w:rsidRPr="009079EA" w:rsidRDefault="00932F1C" w:rsidP="00932F1C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>
        <w:rPr>
          <w:rStyle w:val="Ttulo2Car"/>
          <w:b/>
          <w:color w:val="00642D"/>
          <w:sz w:val="22"/>
          <w:szCs w:val="22"/>
          <w:lang w:bidi="es-ES"/>
        </w:rPr>
        <w:t xml:space="preserve">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</w:t>
      </w:r>
      <w:r w:rsidR="00076723">
        <w:rPr>
          <w:rStyle w:val="Ttulo2Car"/>
          <w:b/>
          <w:color w:val="00642D"/>
          <w:sz w:val="22"/>
          <w:szCs w:val="22"/>
          <w:lang w:bidi="es-ES"/>
        </w:rPr>
        <w:t>1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932F1C" w:rsidRPr="00706E04" w:rsidTr="00932F1C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932F1C" w:rsidRPr="005B3C15" w:rsidRDefault="00932F1C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932F1C" w:rsidRPr="006A2E9A" w:rsidRDefault="00932F1C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  <w:vAlign w:val="center"/>
          </w:tcPr>
          <w:p w:rsidR="00932F1C" w:rsidRPr="00D2277D" w:rsidRDefault="00076723" w:rsidP="0093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32F1C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932F1C" w:rsidRPr="005B3C15" w:rsidRDefault="00932F1C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932F1C" w:rsidRPr="006A2E9A" w:rsidRDefault="00932F1C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  <w:vAlign w:val="center"/>
          </w:tcPr>
          <w:p w:rsidR="00932F1C" w:rsidRPr="00D2277D" w:rsidRDefault="00076723" w:rsidP="0093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932F1C" w:rsidRPr="00D2277D">
              <w:rPr>
                <w:sz w:val="20"/>
                <w:szCs w:val="20"/>
              </w:rPr>
              <w:t>0</w:t>
            </w:r>
          </w:p>
        </w:tc>
      </w:tr>
      <w:tr w:rsidR="00932F1C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932F1C" w:rsidRPr="005B3C15" w:rsidRDefault="00932F1C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932F1C" w:rsidRPr="006A2E9A" w:rsidRDefault="00932F1C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  <w:vAlign w:val="center"/>
          </w:tcPr>
          <w:p w:rsidR="00932F1C" w:rsidRPr="00D2277D" w:rsidRDefault="00076723" w:rsidP="0093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32F1C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932F1C" w:rsidRPr="005B3C15" w:rsidRDefault="00932F1C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932F1C" w:rsidRPr="006A2E9A" w:rsidRDefault="00932F1C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  <w:vAlign w:val="center"/>
          </w:tcPr>
          <w:p w:rsidR="00932F1C" w:rsidRPr="00D2277D" w:rsidRDefault="00076723" w:rsidP="0093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32F1C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932F1C" w:rsidRPr="005B3C15" w:rsidRDefault="00932F1C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932F1C" w:rsidRPr="006A2E9A" w:rsidRDefault="00932F1C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  <w:vAlign w:val="center"/>
          </w:tcPr>
          <w:p w:rsidR="00932F1C" w:rsidRPr="00D2277D" w:rsidRDefault="00076723" w:rsidP="0093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32F1C" w:rsidRPr="00706E04" w:rsidTr="00932F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932F1C" w:rsidRPr="005B3C15" w:rsidRDefault="00932F1C" w:rsidP="00932F1C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932F1C" w:rsidRPr="006A2E9A" w:rsidRDefault="00932F1C" w:rsidP="00932F1C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  <w:vAlign w:val="center"/>
          </w:tcPr>
          <w:p w:rsidR="00932F1C" w:rsidRPr="00D2277D" w:rsidRDefault="00932F1C" w:rsidP="00932F1C">
            <w:pPr>
              <w:jc w:val="center"/>
              <w:rPr>
                <w:sz w:val="20"/>
                <w:szCs w:val="20"/>
              </w:rPr>
            </w:pPr>
            <w:r w:rsidRPr="00D2277D">
              <w:rPr>
                <w:sz w:val="20"/>
                <w:szCs w:val="20"/>
              </w:rPr>
              <w:t>,00</w:t>
            </w:r>
          </w:p>
        </w:tc>
      </w:tr>
    </w:tbl>
    <w:p w:rsidR="00932F1C" w:rsidRDefault="00932F1C" w:rsidP="00932F1C"/>
    <w:p w:rsidR="00932F1C" w:rsidRDefault="00932F1C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E34195" w:rsidRDefault="00822ED6" w:rsidP="00CF15A6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4735D" w:rsidRDefault="00076723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AP de </w:t>
      </w:r>
      <w:r w:rsidR="00DC3492">
        <w:rPr>
          <w:rStyle w:val="Ttulo2Car"/>
          <w:b w:val="0"/>
          <w:color w:val="auto"/>
          <w:sz w:val="22"/>
          <w:szCs w:val="22"/>
          <w:lang w:bidi="es-ES"/>
        </w:rPr>
        <w:t>Huelva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las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</w:t>
      </w:r>
      <w:r w:rsidR="0064735D">
        <w:rPr>
          <w:rStyle w:val="Ttulo2Car"/>
          <w:b w:val="0"/>
          <w:color w:val="auto"/>
          <w:sz w:val="22"/>
          <w:szCs w:val="22"/>
          <w:lang w:bidi="es-ES"/>
        </w:rPr>
        <w:t xml:space="preserve">En dicho espacio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se </w:t>
      </w:r>
      <w:r w:rsidR="0064735D">
        <w:rPr>
          <w:rStyle w:val="Ttulo2Car"/>
          <w:b w:val="0"/>
          <w:color w:val="auto"/>
          <w:sz w:val="22"/>
          <w:szCs w:val="22"/>
          <w:lang w:bidi="es-ES"/>
        </w:rPr>
        <w:t xml:space="preserve">informa sobre el derecho de los ciudadanos a solicitar información pública. </w:t>
      </w:r>
      <w:r w:rsidR="00826B97">
        <w:rPr>
          <w:rStyle w:val="Ttulo2Car"/>
          <w:b w:val="0"/>
          <w:color w:val="auto"/>
          <w:sz w:val="22"/>
          <w:szCs w:val="22"/>
          <w:lang w:bidi="es-ES"/>
        </w:rPr>
        <w:t xml:space="preserve">Tampoco se incluyen instrucciones o ayudas </w:t>
      </w:r>
      <w:r w:rsidR="004D5B33">
        <w:rPr>
          <w:rStyle w:val="Ttulo2Car"/>
          <w:b w:val="0"/>
          <w:color w:val="auto"/>
          <w:sz w:val="22"/>
          <w:szCs w:val="22"/>
          <w:lang w:bidi="es-ES"/>
        </w:rPr>
        <w:t>ni se informa sobre el procedimiento de gestión de las solicitudes de acceso a información pública.</w:t>
      </w:r>
    </w:p>
    <w:p w:rsidR="00F95C49" w:rsidRDefault="0007672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Si se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especifican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>los canales a través de los cuales puede solicitarse la información</w:t>
      </w:r>
      <w:r w:rsidR="006635C9">
        <w:rPr>
          <w:rStyle w:val="Ttulo2Car"/>
          <w:b w:val="0"/>
          <w:color w:val="auto"/>
          <w:sz w:val="22"/>
          <w:szCs w:val="22"/>
          <w:lang w:bidi="es-ES"/>
        </w:rPr>
        <w:t xml:space="preserve">. La AP ha habilitado como único canal para ello </w:t>
      </w:r>
      <w:r w:rsidR="00B34723">
        <w:rPr>
          <w:rStyle w:val="Ttulo2Car"/>
          <w:b w:val="0"/>
          <w:color w:val="auto"/>
          <w:sz w:val="22"/>
          <w:szCs w:val="22"/>
          <w:lang w:bidi="es-ES"/>
        </w:rPr>
        <w:t>el Registro Electrónico General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3E7ED9">
        <w:rPr>
          <w:rStyle w:val="Ttulo2Car"/>
          <w:b w:val="0"/>
          <w:color w:val="auto"/>
          <w:sz w:val="22"/>
          <w:szCs w:val="22"/>
          <w:lang w:bidi="es-ES"/>
        </w:rPr>
        <w:t>No se informa sobre</w:t>
      </w:r>
      <w:r w:rsidR="00AF18BD">
        <w:rPr>
          <w:rStyle w:val="Ttulo2Car"/>
          <w:b w:val="0"/>
          <w:color w:val="auto"/>
          <w:sz w:val="22"/>
          <w:szCs w:val="22"/>
          <w:lang w:bidi="es-ES"/>
        </w:rPr>
        <w:t xml:space="preserve"> los medios de contacto con las</w:t>
      </w:r>
      <w:r w:rsidR="003E7ED9">
        <w:rPr>
          <w:rStyle w:val="Ttulo2Car"/>
          <w:b w:val="0"/>
          <w:color w:val="auto"/>
          <w:sz w:val="22"/>
          <w:szCs w:val="22"/>
          <w:lang w:bidi="es-ES"/>
        </w:rPr>
        <w:t xml:space="preserve"> administraciones públicas establecidos por la Ley 39/2015.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3E7ED9" w:rsidRDefault="00F95C4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</w:t>
      </w:r>
      <w:r w:rsidR="0007672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se </w:t>
      </w:r>
      <w:r w:rsidR="00076723">
        <w:rPr>
          <w:rStyle w:val="Ttulo2Car"/>
          <w:b w:val="0"/>
          <w:color w:val="auto"/>
          <w:sz w:val="22"/>
          <w:szCs w:val="22"/>
          <w:lang w:bidi="es-ES"/>
        </w:rPr>
        <w:t>informa sobre los requisitos necesarios</w:t>
      </w:r>
      <w:r w:rsidR="00B34723">
        <w:rPr>
          <w:rStyle w:val="Ttulo2Car"/>
          <w:b w:val="0"/>
          <w:color w:val="auto"/>
          <w:sz w:val="22"/>
          <w:szCs w:val="22"/>
          <w:lang w:bidi="es-ES"/>
        </w:rPr>
        <w:t xml:space="preserve">, no obstante al canalizarse la presentación de las solicitudes a través </w:t>
      </w:r>
      <w:r w:rsidR="00826B97">
        <w:rPr>
          <w:rStyle w:val="Ttulo2Car"/>
          <w:b w:val="0"/>
          <w:color w:val="auto"/>
          <w:sz w:val="22"/>
          <w:szCs w:val="22"/>
          <w:lang w:bidi="es-ES"/>
        </w:rPr>
        <w:t xml:space="preserve">del REG, es necesaria la autenticación del solicitante bien mediante certificado electrónico o </w:t>
      </w:r>
      <w:proofErr w:type="spellStart"/>
      <w:r w:rsidR="00826B97">
        <w:rPr>
          <w:rStyle w:val="Ttulo2Car"/>
          <w:b w:val="0"/>
          <w:color w:val="auto"/>
          <w:sz w:val="22"/>
          <w:szCs w:val="22"/>
          <w:lang w:bidi="es-ES"/>
        </w:rPr>
        <w:t>DNIe</w:t>
      </w:r>
      <w:proofErr w:type="spellEnd"/>
      <w:r w:rsidR="00826B97">
        <w:rPr>
          <w:rStyle w:val="Ttulo2Car"/>
          <w:b w:val="0"/>
          <w:color w:val="auto"/>
          <w:sz w:val="22"/>
          <w:szCs w:val="22"/>
          <w:lang w:bidi="es-ES"/>
        </w:rPr>
        <w:t xml:space="preserve"> o bien mediante clave PIN.</w:t>
      </w:r>
    </w:p>
    <w:p w:rsidR="003E7ED9" w:rsidRDefault="003E7ED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822ED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6635C9">
        <w:rPr>
          <w:color w:val="auto"/>
          <w:lang w:bidi="es-ES"/>
        </w:rPr>
        <w:t>07</w:t>
      </w:r>
      <w:r w:rsidR="000B2A81">
        <w:rPr>
          <w:color w:val="auto"/>
          <w:lang w:bidi="es-ES"/>
        </w:rPr>
        <w:t>/0</w:t>
      </w:r>
      <w:r w:rsidR="0064735D">
        <w:rPr>
          <w:color w:val="auto"/>
          <w:lang w:bidi="es-ES"/>
        </w:rPr>
        <w:t>6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64735D">
        <w:rPr>
          <w:color w:val="auto"/>
          <w:lang w:bidi="es-ES"/>
        </w:rPr>
        <w:t>2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3E7ED9">
        <w:rPr>
          <w:color w:val="auto"/>
          <w:lang w:bidi="es-ES"/>
        </w:rPr>
        <w:t xml:space="preserve"> del Registro Electrónico General</w:t>
      </w:r>
      <w:r w:rsidR="006635C9">
        <w:rPr>
          <w:color w:val="auto"/>
          <w:lang w:bidi="es-ES"/>
        </w:rPr>
        <w:t>,</w:t>
      </w:r>
      <w:r w:rsidR="003E7ED9">
        <w:rPr>
          <w:color w:val="auto"/>
          <w:lang w:bidi="es-ES"/>
        </w:rPr>
        <w:t xml:space="preserve"> una solicitud de acceso a información pública de la AP de </w:t>
      </w:r>
      <w:r w:rsidR="00DC3492">
        <w:rPr>
          <w:color w:val="auto"/>
          <w:lang w:bidi="es-ES"/>
        </w:rPr>
        <w:t>Huelva</w:t>
      </w:r>
      <w:r w:rsidR="003E7ED9">
        <w:rPr>
          <w:color w:val="auto"/>
          <w:lang w:bidi="es-ES"/>
        </w:rPr>
        <w:t xml:space="preserve">. 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B6039D" w:rsidRDefault="006635C9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16/06/2017 se recibe una comunicación del inicio de la tramitación procedente del Ministerio de Transportes, Movilidad y Agenda Urbana</w:t>
      </w:r>
      <w:r w:rsidR="00F34803">
        <w:rPr>
          <w:color w:val="auto"/>
          <w:lang w:bidi="es-ES"/>
        </w:rPr>
        <w:t>.</w:t>
      </w:r>
      <w:r w:rsidR="00AC2468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En dicha comunicación se informa de que con fecha 16/06/2022 la solicitud está en Puertos del Estado y de que esta es la fecha que se tomará como referencia para el cómputo del plazo de 1 mes para resolver. En el mismo escrito se indica que si transcurrido el plazo de resolución </w:t>
      </w:r>
      <w:r w:rsidR="00B6039D">
        <w:rPr>
          <w:color w:val="auto"/>
          <w:lang w:bidi="es-ES"/>
        </w:rPr>
        <w:t>sin que se haya dictado y notificado resolución expresa, se entenderá que la solicitud ha sido desestimada.</w:t>
      </w:r>
    </w:p>
    <w:p w:rsidR="00AC2468" w:rsidRDefault="00B6039D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06/07/2022 se notifica la ampliación del plazo para resolver la solicitud. </w:t>
      </w:r>
      <w:r w:rsidR="006635C9">
        <w:rPr>
          <w:color w:val="auto"/>
          <w:lang w:bidi="es-ES"/>
        </w:rPr>
        <w:t xml:space="preserve">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F51B4A" w:rsidRDefault="001B5720" w:rsidP="001B5720">
      <w:pPr>
        <w:pStyle w:val="Prrafodelista"/>
        <w:numPr>
          <w:ilvl w:val="0"/>
          <w:numId w:val="6"/>
        </w:numPr>
        <w:jc w:val="both"/>
        <w:rPr>
          <w:szCs w:val="24"/>
          <w:lang w:bidi="es-ES"/>
        </w:rPr>
      </w:pPr>
      <w:r w:rsidRPr="001B5720">
        <w:rPr>
          <w:szCs w:val="24"/>
          <w:lang w:bidi="es-ES"/>
        </w:rPr>
        <w:t>No consta que se haya em</w:t>
      </w:r>
      <w:r>
        <w:rPr>
          <w:szCs w:val="24"/>
          <w:lang w:bidi="es-ES"/>
        </w:rPr>
        <w:t>itido resolución a la solicitud.</w:t>
      </w:r>
      <w:r w:rsidRPr="001B5720">
        <w:rPr>
          <w:szCs w:val="24"/>
          <w:lang w:bidi="es-ES"/>
        </w:rPr>
        <w:t xml:space="preserve"> Por tanto, hay que entender que ésta ha sido denegada por silencio administrativo al haber transcurrido el plazo de </w:t>
      </w:r>
      <w:r>
        <w:rPr>
          <w:szCs w:val="24"/>
          <w:lang w:bidi="es-ES"/>
        </w:rPr>
        <w:t>dos meses –incluyendo la ampliación de plazo comunicada -</w:t>
      </w:r>
      <w:r w:rsidRPr="001B5720">
        <w:rPr>
          <w:szCs w:val="24"/>
          <w:lang w:bidi="es-ES"/>
        </w:rPr>
        <w:t xml:space="preserve"> sin obtener respuesta.</w:t>
      </w:r>
      <w:r>
        <w:rPr>
          <w:szCs w:val="24"/>
          <w:lang w:bidi="es-ES"/>
        </w:rPr>
        <w:t xml:space="preserve"> </w:t>
      </w:r>
    </w:p>
    <w:p w:rsidR="001B5720" w:rsidRPr="001B5720" w:rsidRDefault="001B5720" w:rsidP="001B5720">
      <w:pPr>
        <w:pStyle w:val="Prrafodelista"/>
        <w:ind w:left="1146"/>
        <w:jc w:val="both"/>
        <w:rPr>
          <w:szCs w:val="24"/>
          <w:lang w:bidi="es-ES"/>
        </w:rPr>
      </w:pP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CF15A6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5A2A22">
            <w:rPr>
              <w:b/>
              <w:color w:val="00642D"/>
              <w:sz w:val="30"/>
              <w:szCs w:val="30"/>
            </w:rPr>
            <w:t>en el periodo 2015-2021</w:t>
          </w:r>
        </w:p>
      </w:sdtContent>
    </w:sdt>
    <w:p w:rsidR="00AF18BD" w:rsidRDefault="00AF18BD" w:rsidP="00256215">
      <w:pPr>
        <w:pStyle w:val="Cuerpodelboletn"/>
      </w:pPr>
    </w:p>
    <w:p w:rsidR="00256215" w:rsidRDefault="00AF18BD" w:rsidP="00335E04">
      <w:pPr>
        <w:pStyle w:val="Cuerpodelboletn"/>
        <w:spacing w:line="276" w:lineRule="auto"/>
      </w:pPr>
      <w:r>
        <w:t xml:space="preserve">El CTBG ha recibido </w:t>
      </w:r>
      <w:r w:rsidR="00B6039D">
        <w:t>una</w:t>
      </w:r>
      <w:r>
        <w:t xml:space="preserve"> reclamaci</w:t>
      </w:r>
      <w:r w:rsidR="00B6039D">
        <w:t>ón</w:t>
      </w:r>
      <w:r>
        <w:t xml:space="preserve"> contra resoluciones dictadas por la AP de </w:t>
      </w:r>
      <w:r w:rsidR="00DC3492">
        <w:t>Huelva</w:t>
      </w:r>
      <w:r>
        <w:t xml:space="preserve">. </w:t>
      </w:r>
      <w:r w:rsidR="00B6039D">
        <w:t>Dicha reclamación fue desestimada</w:t>
      </w:r>
      <w:r>
        <w:t xml:space="preserve">. </w:t>
      </w:r>
    </w:p>
    <w:p w:rsidR="00AF18BD" w:rsidRDefault="00AF18BD" w:rsidP="00256215">
      <w:pPr>
        <w:pStyle w:val="Cuerpodelboletn"/>
      </w:pPr>
    </w:p>
    <w:p w:rsidR="001F251B" w:rsidRPr="00256215" w:rsidRDefault="00822ED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CF15A6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5A2A22" w:rsidRDefault="00AF18BD" w:rsidP="00335E04">
      <w:r>
        <w:t xml:space="preserve">La AP de </w:t>
      </w:r>
      <w:r w:rsidR="00DC3492">
        <w:t>Huelva</w:t>
      </w:r>
      <w:r>
        <w:t xml:space="preserve"> </w:t>
      </w:r>
      <w:r w:rsidR="005A2A22">
        <w:t xml:space="preserve"> presenta un conjunto de buenas prácticas en materia de derecho de acceso que podrían ser aplicadas por otras organizaciones públicas:</w:t>
      </w:r>
    </w:p>
    <w:p w:rsidR="007B1EF0" w:rsidRDefault="005A2A22" w:rsidP="00F51B4A">
      <w:pPr>
        <w:pStyle w:val="Prrafodelista"/>
        <w:numPr>
          <w:ilvl w:val="0"/>
          <w:numId w:val="10"/>
        </w:numPr>
        <w:jc w:val="both"/>
      </w:pPr>
      <w:r>
        <w:t>La habilitación de un espacio específico en su Portal de Transparencia para la presentación de solicitudes de acceso a información de la entidad</w:t>
      </w:r>
      <w:r w:rsidR="00B06497">
        <w:t>.</w:t>
      </w:r>
    </w:p>
    <w:p w:rsidR="005A2A22" w:rsidRDefault="005A2A22" w:rsidP="00B6039D">
      <w:pPr>
        <w:pStyle w:val="Prrafodelista"/>
        <w:ind w:left="1146"/>
        <w:jc w:val="both"/>
      </w:pPr>
    </w:p>
    <w:p w:rsidR="000C2945" w:rsidRDefault="000C2945" w:rsidP="000C2945">
      <w:pPr>
        <w:pStyle w:val="Prrafodelista"/>
      </w:pPr>
    </w:p>
    <w:p w:rsidR="00256215" w:rsidRDefault="00822ED6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51B4A" w:rsidRDefault="005A2A22" w:rsidP="00CF15A6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Según indica </w:t>
      </w:r>
      <w:r w:rsidR="00F51B4A">
        <w:rPr>
          <w:bCs/>
        </w:rPr>
        <w:t>la AP</w:t>
      </w:r>
      <w:r>
        <w:rPr>
          <w:bCs/>
        </w:rPr>
        <w:t xml:space="preserve"> </w:t>
      </w:r>
      <w:r w:rsidR="00DC3492">
        <w:rPr>
          <w:bCs/>
        </w:rPr>
        <w:t>Huelva</w:t>
      </w:r>
      <w:r w:rsidR="00F51B4A">
        <w:rPr>
          <w:bCs/>
        </w:rPr>
        <w:t>, se</w:t>
      </w:r>
      <w:r w:rsidR="00F51B4A" w:rsidRPr="00D2277D">
        <w:rPr>
          <w:bCs/>
        </w:rPr>
        <w:t xml:space="preserve"> tramita el </w:t>
      </w:r>
      <w:r w:rsidR="00F51B4A">
        <w:rPr>
          <w:bCs/>
        </w:rPr>
        <w:t>100</w:t>
      </w:r>
      <w:r w:rsidR="00F51B4A" w:rsidRPr="00D2277D">
        <w:rPr>
          <w:bCs/>
        </w:rPr>
        <w:t xml:space="preserve">% de las solicitudes que </w:t>
      </w:r>
      <w:r w:rsidR="004D600F">
        <w:rPr>
          <w:bCs/>
        </w:rPr>
        <w:t xml:space="preserve">se </w:t>
      </w:r>
      <w:r w:rsidR="00F51B4A" w:rsidRPr="00D2277D">
        <w:rPr>
          <w:bCs/>
        </w:rPr>
        <w:t>recibe</w:t>
      </w:r>
      <w:r w:rsidR="004D600F">
        <w:rPr>
          <w:bCs/>
        </w:rPr>
        <w:t>n</w:t>
      </w:r>
      <w:r w:rsidR="00F51B4A" w:rsidRPr="00D2277D">
        <w:rPr>
          <w:bCs/>
        </w:rPr>
        <w:t xml:space="preserve"> y </w:t>
      </w:r>
      <w:r w:rsidR="00F51B4A">
        <w:rPr>
          <w:bCs/>
        </w:rPr>
        <w:t xml:space="preserve">se </w:t>
      </w:r>
      <w:r w:rsidR="00F51B4A" w:rsidRPr="00D2277D">
        <w:rPr>
          <w:bCs/>
        </w:rPr>
        <w:t xml:space="preserve">admite </w:t>
      </w:r>
      <w:r w:rsidR="00F51B4A">
        <w:rPr>
          <w:bCs/>
        </w:rPr>
        <w:t xml:space="preserve">el </w:t>
      </w:r>
      <w:r w:rsidR="00B6039D">
        <w:rPr>
          <w:bCs/>
        </w:rPr>
        <w:t>40</w:t>
      </w:r>
      <w:r w:rsidR="00F51B4A">
        <w:rPr>
          <w:bCs/>
        </w:rPr>
        <w:t xml:space="preserve">% </w:t>
      </w:r>
      <w:r w:rsidR="00F51B4A" w:rsidRPr="00D2277D">
        <w:rPr>
          <w:bCs/>
        </w:rPr>
        <w:t xml:space="preserve">de ellas. </w:t>
      </w:r>
      <w:r w:rsidR="00B6039D">
        <w:rPr>
          <w:bCs/>
        </w:rPr>
        <w:t>Tres</w:t>
      </w:r>
      <w:r w:rsidR="00F51B4A">
        <w:rPr>
          <w:bCs/>
        </w:rPr>
        <w:t xml:space="preserve"> solicitudes, el </w:t>
      </w:r>
      <w:r w:rsidR="00B6039D">
        <w:rPr>
          <w:bCs/>
        </w:rPr>
        <w:t>60</w:t>
      </w:r>
      <w:r w:rsidR="00F51B4A">
        <w:rPr>
          <w:bCs/>
        </w:rPr>
        <w:t>%, fueron inadmitidas</w:t>
      </w:r>
      <w:r w:rsidR="00B6039D">
        <w:rPr>
          <w:bCs/>
        </w:rPr>
        <w:t>, en dos casos porque la información solicitada estaba en curso de elaboración o publicación general y en el tercero, porque la información solicitada estaba sujeta a un régimen de publicidad específico.</w:t>
      </w:r>
    </w:p>
    <w:p w:rsidR="00F51B4A" w:rsidRDefault="00F51B4A" w:rsidP="00CF15A6">
      <w:pPr>
        <w:pStyle w:val="Prrafodelista"/>
        <w:ind w:left="644"/>
        <w:jc w:val="both"/>
        <w:rPr>
          <w:bCs/>
        </w:rPr>
      </w:pPr>
    </w:p>
    <w:p w:rsidR="00CF15A6" w:rsidRDefault="00F51B4A" w:rsidP="00CF15A6">
      <w:pPr>
        <w:pStyle w:val="Prrafodelista"/>
        <w:ind w:left="644"/>
        <w:jc w:val="both"/>
        <w:rPr>
          <w:bCs/>
        </w:rPr>
      </w:pPr>
      <w:r w:rsidRPr="00D2277D">
        <w:rPr>
          <w:bCs/>
        </w:rPr>
        <w:t xml:space="preserve">La información aportada indica que se emite resolución expresa para el </w:t>
      </w:r>
      <w:r>
        <w:rPr>
          <w:bCs/>
        </w:rPr>
        <w:t>100</w:t>
      </w:r>
      <w:r w:rsidRPr="00D2277D">
        <w:rPr>
          <w:bCs/>
        </w:rPr>
        <w:t xml:space="preserve">% de las solicitudes admitidas. </w:t>
      </w:r>
      <w:r>
        <w:rPr>
          <w:bCs/>
        </w:rPr>
        <w:t>Todas las resoluciones conceden el</w:t>
      </w:r>
      <w:r w:rsidR="004D600F">
        <w:rPr>
          <w:bCs/>
        </w:rPr>
        <w:t xml:space="preserve"> acceso total a la información.</w:t>
      </w:r>
      <w:r w:rsidR="005A2A22">
        <w:rPr>
          <w:bCs/>
        </w:rPr>
        <w:t xml:space="preserve"> </w:t>
      </w:r>
      <w:r w:rsidR="00CF15A6">
        <w:rPr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F51B4A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AP de </w:t>
      </w:r>
      <w:r w:rsidR="00DC3492">
        <w:rPr>
          <w:bCs/>
        </w:rPr>
        <w:t>Huelva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1B5720" w:rsidRDefault="001B5720" w:rsidP="00F34803">
      <w:pPr>
        <w:pStyle w:val="Prrafodelista"/>
        <w:ind w:left="644"/>
      </w:pPr>
    </w:p>
    <w:p w:rsidR="001B5720" w:rsidRDefault="001B5720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CB2288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4D600F">
        <w:t>l</w:t>
      </w:r>
      <w:r w:rsidR="00F51B4A">
        <w:t xml:space="preserve">a AP de </w:t>
      </w:r>
      <w:r w:rsidR="00DC3492">
        <w:t>Huelva</w:t>
      </w:r>
      <w:r w:rsidR="007B1EF0">
        <w:t xml:space="preserve"> </w:t>
      </w:r>
      <w:r w:rsidR="00D74E79">
        <w:t>dispone de un</w:t>
      </w:r>
      <w:r>
        <w:t xml:space="preserve"> espacio </w:t>
      </w:r>
      <w:r w:rsidR="004D600F">
        <w:t xml:space="preserve">específico </w:t>
      </w:r>
      <w:r w:rsidR="00D74E79">
        <w:t xml:space="preserve">en su </w:t>
      </w:r>
      <w:r w:rsidR="006A2EEE">
        <w:t>web</w:t>
      </w:r>
      <w:r w:rsidR="004D600F">
        <w:t xml:space="preserve"> para la presentación de solicitudes de información</w:t>
      </w:r>
      <w:r w:rsidR="00F51B4A">
        <w:t>, lo</w:t>
      </w:r>
      <w:r w:rsidR="00D74E79">
        <w:t xml:space="preserve"> que </w:t>
      </w:r>
      <w:r w:rsidR="007B1EF0">
        <w:t>facilit</w:t>
      </w:r>
      <w:r w:rsidR="005A2A22">
        <w:t>a</w:t>
      </w:r>
      <w:r w:rsidR="007B1EF0">
        <w:t xml:space="preserve"> el ejercicio del derecho de acceso a la inf</w:t>
      </w:r>
      <w:r w:rsidR="005A2A22">
        <w:t>ormación del organismo</w:t>
      </w:r>
      <w:r w:rsidR="00F51B4A">
        <w:t>. Sin embargo, no s</w:t>
      </w:r>
      <w:r w:rsidR="005A2A22">
        <w:t>e informa</w:t>
      </w:r>
      <w:r w:rsidR="005A0354">
        <w:t xml:space="preserve"> </w:t>
      </w:r>
      <w:r>
        <w:t xml:space="preserve">sobre </w:t>
      </w:r>
      <w:r w:rsidR="00F51B4A">
        <w:t>el derecho que asiste a</w:t>
      </w:r>
      <w:r>
        <w:t xml:space="preserve"> los ciudadanos </w:t>
      </w:r>
      <w:r w:rsidR="00F51B4A">
        <w:t>a presentar</w:t>
      </w:r>
      <w:r>
        <w:t xml:space="preserve"> solicitudes de </w:t>
      </w:r>
      <w:r w:rsidR="005A0354">
        <w:t xml:space="preserve">acceso a </w:t>
      </w:r>
      <w:r>
        <w:t xml:space="preserve">información pública </w:t>
      </w:r>
      <w:r w:rsidR="00F51B4A">
        <w:t>de</w:t>
      </w:r>
      <w:r>
        <w:t xml:space="preserve"> la </w:t>
      </w:r>
      <w:r w:rsidR="005A0354">
        <w:t>entidad</w:t>
      </w:r>
      <w:r>
        <w:t xml:space="preserve">. </w:t>
      </w:r>
      <w:r w:rsidR="00F51B4A">
        <w:t xml:space="preserve">Tampoco se informa sobre el procedimiento ni sobre los requisitos necesarios. </w:t>
      </w:r>
    </w:p>
    <w:p w:rsidR="00CB2288" w:rsidRDefault="00CB2288" w:rsidP="00F34803">
      <w:pPr>
        <w:pStyle w:val="Prrafodelista"/>
        <w:ind w:left="644"/>
        <w:jc w:val="both"/>
      </w:pPr>
    </w:p>
    <w:p w:rsidR="00A915A2" w:rsidRDefault="00CB2288" w:rsidP="00F34803">
      <w:pPr>
        <w:pStyle w:val="Prrafodelista"/>
        <w:ind w:left="644"/>
        <w:jc w:val="both"/>
      </w:pPr>
      <w:r>
        <w:t xml:space="preserve">La AP de </w:t>
      </w:r>
      <w:r w:rsidR="00DC3492">
        <w:t>Huelva</w:t>
      </w:r>
      <w:r>
        <w:t xml:space="preserve"> ha </w:t>
      </w:r>
      <w:r w:rsidR="005A2A22">
        <w:t xml:space="preserve">habilitado </w:t>
      </w:r>
      <w:r w:rsidR="005C77BC">
        <w:t xml:space="preserve">el Registro Electrónico General </w:t>
      </w:r>
      <w:r w:rsidR="00B6039D">
        <w:t>como canal</w:t>
      </w:r>
      <w:r w:rsidR="005A2A22">
        <w:t xml:space="preserve"> </w:t>
      </w:r>
      <w:r>
        <w:t>para la</w:t>
      </w:r>
      <w:r w:rsidR="005A2A22">
        <w:t xml:space="preserve"> presentación de las solicitudes de acceso a la información</w:t>
      </w:r>
      <w:r w:rsidR="005C77BC">
        <w:t>. N</w:t>
      </w:r>
      <w:r w:rsidR="005A2A22">
        <w:t>o se informa sobre</w:t>
      </w:r>
      <w:r w:rsidR="007B1EF0">
        <w:t xml:space="preserve"> los medios de contacto establecidos por la Ley 39/2015 a través de los cuales </w:t>
      </w:r>
      <w:r w:rsidR="004D600F">
        <w:t>los ciudadanos</w:t>
      </w:r>
      <w:r w:rsidR="007B1EF0">
        <w:t xml:space="preserve"> pueden relacionarse con las administraciones públicas. </w:t>
      </w: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</w:t>
      </w:r>
      <w:r w:rsidR="005A2A22">
        <w:t xml:space="preserve">de </w:t>
      </w:r>
      <w:r w:rsidR="00A27A38">
        <w:t>los medios de contacto con las administraciones públicas establecidos en la Ley 3</w:t>
      </w:r>
      <w:r w:rsidR="00CB2288">
        <w:t>9</w:t>
      </w:r>
      <w:r w:rsidR="00A27A38">
        <w:t>/2015.</w:t>
      </w:r>
    </w:p>
    <w:p w:rsidR="007B1EF0" w:rsidRDefault="007B1EF0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4D600F" w:rsidRDefault="001B5720" w:rsidP="00197662">
      <w:pPr>
        <w:tabs>
          <w:tab w:val="left" w:pos="426"/>
        </w:tabs>
        <w:ind w:left="426"/>
        <w:contextualSpacing/>
        <w:jc w:val="both"/>
      </w:pPr>
      <w:r w:rsidRPr="001B5720">
        <w:t>No es posible valorar la gestión de la solicitud de acceso por parte de la entidad ya que no consta que se haya emitido respuesta a la solicitud, por lo que ha de entenderse desestimada por silencio administrativo.</w:t>
      </w:r>
    </w:p>
    <w:p w:rsidR="001B5720" w:rsidRDefault="001B5720" w:rsidP="00197662">
      <w:pPr>
        <w:tabs>
          <w:tab w:val="left" w:pos="426"/>
        </w:tabs>
        <w:ind w:left="426"/>
        <w:contextualSpacing/>
        <w:jc w:val="both"/>
      </w:pPr>
    </w:p>
    <w:p w:rsidR="001B5720" w:rsidRPr="004135B8" w:rsidRDefault="001B5720" w:rsidP="001B572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709"/>
        <w:contextualSpacing/>
        <w:jc w:val="both"/>
      </w:pPr>
      <w:r w:rsidRPr="001B5720">
        <w:t>Aunque se contemple</w:t>
      </w:r>
      <w:r>
        <w:t xml:space="preserve"> en la LTAIBG,</w:t>
      </w:r>
      <w:r w:rsidRPr="001B5720">
        <w:t xml:space="preserve"> la posibilidad de desestimación de solicitudes de información por silencio administrativo, </w:t>
      </w:r>
      <w:r>
        <w:t>este Consejo considera que la AP de Huelva d</w:t>
      </w:r>
      <w:r w:rsidRPr="004135B8">
        <w:t>ebe</w:t>
      </w:r>
      <w:r>
        <w:t>ría</w:t>
      </w:r>
      <w:r w:rsidRPr="004135B8">
        <w:t xml:space="preserve"> ajustarse al procedimiento establecido por las Leyes 19/2013 y 39/2015: debe</w:t>
      </w:r>
      <w:r>
        <w:t>ría</w:t>
      </w:r>
      <w:r w:rsidRPr="004135B8">
        <w:t xml:space="preserve"> </w:t>
      </w:r>
      <w:r>
        <w:t xml:space="preserve">dictar resolución expresa, incluyendo </w:t>
      </w:r>
      <w:r w:rsidRPr="004135B8">
        <w:t>en la resolución los recursos que contra la misma procedan, órgano administrativo o judicial ante el que presentarlos y el plazo para interponerlos</w:t>
      </w:r>
      <w:r>
        <w:t>.</w:t>
      </w:r>
    </w:p>
    <w:p w:rsidR="001B5720" w:rsidRDefault="001B5720" w:rsidP="00197662">
      <w:pPr>
        <w:tabs>
          <w:tab w:val="left" w:pos="426"/>
        </w:tabs>
        <w:ind w:left="426"/>
        <w:contextualSpacing/>
        <w:jc w:val="both"/>
      </w:pPr>
    </w:p>
    <w:p w:rsidR="001B5720" w:rsidRDefault="001B5720" w:rsidP="00197662">
      <w:pPr>
        <w:tabs>
          <w:tab w:val="left" w:pos="426"/>
        </w:tabs>
        <w:ind w:left="426"/>
        <w:contextualSpacing/>
        <w:jc w:val="both"/>
      </w:pPr>
    </w:p>
    <w:p w:rsidR="004D600F" w:rsidRDefault="004D600F" w:rsidP="00197662">
      <w:pPr>
        <w:tabs>
          <w:tab w:val="left" w:pos="426"/>
        </w:tabs>
        <w:ind w:left="426"/>
        <w:contextualSpacing/>
        <w:jc w:val="both"/>
      </w:pPr>
      <w:r>
        <w:t xml:space="preserve">Madrid, </w:t>
      </w:r>
      <w:r w:rsidR="001B5720">
        <w:t>agosto</w:t>
      </w:r>
      <w:r>
        <w:t xml:space="preserve"> de 2022</w:t>
      </w:r>
    </w:p>
    <w:sectPr w:rsidR="004D600F" w:rsidSect="00DF63E7">
      <w:headerReference w:type="default" r:id="rId12"/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20" w:rsidRDefault="001B5720" w:rsidP="00932008">
      <w:pPr>
        <w:spacing w:after="0" w:line="240" w:lineRule="auto"/>
      </w:pPr>
      <w:r>
        <w:separator/>
      </w:r>
    </w:p>
  </w:endnote>
  <w:endnote w:type="continuationSeparator" w:id="0">
    <w:p w:rsidR="001B5720" w:rsidRDefault="001B572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B5720" w:rsidRPr="00C533E7" w:rsidRDefault="001B572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22ED6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1B5720" w:rsidRDefault="001B57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20" w:rsidRDefault="001B5720" w:rsidP="00932008">
      <w:pPr>
        <w:spacing w:after="0" w:line="240" w:lineRule="auto"/>
      </w:pPr>
      <w:r>
        <w:separator/>
      </w:r>
    </w:p>
  </w:footnote>
  <w:footnote w:type="continuationSeparator" w:id="0">
    <w:p w:rsidR="001B5720" w:rsidRDefault="001B572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20" w:rsidRDefault="001B5720">
    <w:pPr>
      <w:pStyle w:val="Encabezado"/>
    </w:pPr>
  </w:p>
  <w:p w:rsidR="001B5720" w:rsidRDefault="001B57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11.25pt;height:11.25pt" o:bullet="t">
        <v:imagedata r:id="rId2" o:title="BD14654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D35649"/>
    <w:multiLevelType w:val="hybridMultilevel"/>
    <w:tmpl w:val="04081C08"/>
    <w:lvl w:ilvl="0" w:tplc="FA7C346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76723"/>
    <w:rsid w:val="00083747"/>
    <w:rsid w:val="000965B3"/>
    <w:rsid w:val="000A1C07"/>
    <w:rsid w:val="000B0A0D"/>
    <w:rsid w:val="000B2A81"/>
    <w:rsid w:val="000C2945"/>
    <w:rsid w:val="000C6CFF"/>
    <w:rsid w:val="000D5405"/>
    <w:rsid w:val="00102733"/>
    <w:rsid w:val="001252EE"/>
    <w:rsid w:val="0012783F"/>
    <w:rsid w:val="001561A4"/>
    <w:rsid w:val="00176A94"/>
    <w:rsid w:val="00194000"/>
    <w:rsid w:val="00197662"/>
    <w:rsid w:val="001B3D6A"/>
    <w:rsid w:val="001B5720"/>
    <w:rsid w:val="001C238B"/>
    <w:rsid w:val="001D5F76"/>
    <w:rsid w:val="001E1C29"/>
    <w:rsid w:val="001F251B"/>
    <w:rsid w:val="001F25E4"/>
    <w:rsid w:val="00241D7A"/>
    <w:rsid w:val="00256215"/>
    <w:rsid w:val="0026281C"/>
    <w:rsid w:val="002A154B"/>
    <w:rsid w:val="002E0A33"/>
    <w:rsid w:val="003145AD"/>
    <w:rsid w:val="00334115"/>
    <w:rsid w:val="00335E04"/>
    <w:rsid w:val="00340559"/>
    <w:rsid w:val="003B5288"/>
    <w:rsid w:val="003E7ED9"/>
    <w:rsid w:val="003F271E"/>
    <w:rsid w:val="003F572A"/>
    <w:rsid w:val="004A123A"/>
    <w:rsid w:val="004A133A"/>
    <w:rsid w:val="004A706B"/>
    <w:rsid w:val="004B4DC3"/>
    <w:rsid w:val="004D5B33"/>
    <w:rsid w:val="004D600F"/>
    <w:rsid w:val="004D6E73"/>
    <w:rsid w:val="004F2655"/>
    <w:rsid w:val="00531D64"/>
    <w:rsid w:val="005446A8"/>
    <w:rsid w:val="0054642F"/>
    <w:rsid w:val="00561402"/>
    <w:rsid w:val="0057532F"/>
    <w:rsid w:val="00595AAF"/>
    <w:rsid w:val="005A0354"/>
    <w:rsid w:val="005A2A22"/>
    <w:rsid w:val="005B1F0E"/>
    <w:rsid w:val="005B3C15"/>
    <w:rsid w:val="005C77BC"/>
    <w:rsid w:val="005E37C8"/>
    <w:rsid w:val="00626819"/>
    <w:rsid w:val="0064735D"/>
    <w:rsid w:val="00654162"/>
    <w:rsid w:val="006635C9"/>
    <w:rsid w:val="006A2766"/>
    <w:rsid w:val="006A2E9A"/>
    <w:rsid w:val="006A2EEE"/>
    <w:rsid w:val="00706E04"/>
    <w:rsid w:val="00707CFE"/>
    <w:rsid w:val="00710031"/>
    <w:rsid w:val="00727BA2"/>
    <w:rsid w:val="00743756"/>
    <w:rsid w:val="00756117"/>
    <w:rsid w:val="007A09A8"/>
    <w:rsid w:val="007B0F99"/>
    <w:rsid w:val="007B1EF0"/>
    <w:rsid w:val="007C57AB"/>
    <w:rsid w:val="007D6B40"/>
    <w:rsid w:val="00815659"/>
    <w:rsid w:val="008207D9"/>
    <w:rsid w:val="00822ED6"/>
    <w:rsid w:val="00826B97"/>
    <w:rsid w:val="00833900"/>
    <w:rsid w:val="00844FA9"/>
    <w:rsid w:val="008C1E1E"/>
    <w:rsid w:val="008F5F99"/>
    <w:rsid w:val="00902979"/>
    <w:rsid w:val="00904E47"/>
    <w:rsid w:val="0091341F"/>
    <w:rsid w:val="00923092"/>
    <w:rsid w:val="009239D9"/>
    <w:rsid w:val="00930638"/>
    <w:rsid w:val="00932008"/>
    <w:rsid w:val="00932F1C"/>
    <w:rsid w:val="009564A9"/>
    <w:rsid w:val="009609E9"/>
    <w:rsid w:val="00983919"/>
    <w:rsid w:val="009B321F"/>
    <w:rsid w:val="009E7A2F"/>
    <w:rsid w:val="00A17959"/>
    <w:rsid w:val="00A27A38"/>
    <w:rsid w:val="00A41DD5"/>
    <w:rsid w:val="00A544D3"/>
    <w:rsid w:val="00A8003E"/>
    <w:rsid w:val="00A915A2"/>
    <w:rsid w:val="00AC2468"/>
    <w:rsid w:val="00AC715D"/>
    <w:rsid w:val="00AD1DBF"/>
    <w:rsid w:val="00AE1CBE"/>
    <w:rsid w:val="00AE788F"/>
    <w:rsid w:val="00AF18BD"/>
    <w:rsid w:val="00B06497"/>
    <w:rsid w:val="00B34723"/>
    <w:rsid w:val="00B378E2"/>
    <w:rsid w:val="00B40246"/>
    <w:rsid w:val="00B41C33"/>
    <w:rsid w:val="00B5583D"/>
    <w:rsid w:val="00B6039D"/>
    <w:rsid w:val="00B812AB"/>
    <w:rsid w:val="00B841AE"/>
    <w:rsid w:val="00B84669"/>
    <w:rsid w:val="00BA266E"/>
    <w:rsid w:val="00BA3664"/>
    <w:rsid w:val="00BB679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2288"/>
    <w:rsid w:val="00CB5511"/>
    <w:rsid w:val="00CB7518"/>
    <w:rsid w:val="00CC2049"/>
    <w:rsid w:val="00CC587B"/>
    <w:rsid w:val="00CC610D"/>
    <w:rsid w:val="00CD0605"/>
    <w:rsid w:val="00CF15A6"/>
    <w:rsid w:val="00D41FBA"/>
    <w:rsid w:val="00D445A7"/>
    <w:rsid w:val="00D447A6"/>
    <w:rsid w:val="00D52E43"/>
    <w:rsid w:val="00D74E79"/>
    <w:rsid w:val="00D84B7B"/>
    <w:rsid w:val="00D864B1"/>
    <w:rsid w:val="00D96F84"/>
    <w:rsid w:val="00DC0848"/>
    <w:rsid w:val="00DC3492"/>
    <w:rsid w:val="00DD3E02"/>
    <w:rsid w:val="00DE0EA7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51B4A"/>
    <w:rsid w:val="00F61423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03E3C"/>
    <w:rsid w:val="000C3FF0"/>
    <w:rsid w:val="0013771E"/>
    <w:rsid w:val="002A5B0E"/>
    <w:rsid w:val="002C1748"/>
    <w:rsid w:val="002C7AFA"/>
    <w:rsid w:val="00301B3E"/>
    <w:rsid w:val="003D088C"/>
    <w:rsid w:val="004B60D0"/>
    <w:rsid w:val="00543A52"/>
    <w:rsid w:val="00546DCA"/>
    <w:rsid w:val="007545E1"/>
    <w:rsid w:val="0087096B"/>
    <w:rsid w:val="00A80EAD"/>
    <w:rsid w:val="00AB1850"/>
    <w:rsid w:val="00C00E88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  <w:style w:type="paragraph" w:customStyle="1" w:styleId="C433F9BF10DF4AF4A2E013BC86287DE0">
    <w:name w:val="C433F9BF10DF4AF4A2E013BC86287DE0"/>
    <w:rsid w:val="00301B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  <w:style w:type="paragraph" w:customStyle="1" w:styleId="C433F9BF10DF4AF4A2E013BC86287DE0">
    <w:name w:val="C433F9BF10DF4AF4A2E013BC86287DE0"/>
    <w:rsid w:val="00301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7411B-5B80-4E5E-9DFB-385F62C3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88</TotalTime>
  <Pages>5</Pages>
  <Words>1380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5</cp:revision>
  <cp:lastPrinted>2007-10-26T10:03:00Z</cp:lastPrinted>
  <dcterms:created xsi:type="dcterms:W3CDTF">2022-07-21T09:04:00Z</dcterms:created>
  <dcterms:modified xsi:type="dcterms:W3CDTF">2022-09-08T10:00:00Z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