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3E3E67" w:themeColor="accent1" w:themeShade="BF"/>
          <w:sz w:val="56"/>
          <w:szCs w:val="56"/>
        </w:rPr>
        <w:id w:val="1833336649"/>
        <w:docPartObj>
          <w:docPartGallery w:val="Cover Pages"/>
          <w:docPartUnique/>
        </w:docPartObj>
      </w:sdtPr>
      <w:sdtEndPr>
        <w:rPr>
          <w:szCs w:val="20"/>
        </w:rPr>
      </w:sdtEndPr>
      <w:sdtContent>
        <w:tbl>
          <w:tblPr>
            <w:tblpPr w:leftFromText="187" w:rightFromText="187" w:tblpYSpec="bottom"/>
            <w:tblOverlap w:val="never"/>
            <w:tblW w:w="5000" w:type="pct"/>
            <w:tblCellMar>
              <w:top w:w="115" w:type="dxa"/>
              <w:left w:w="115" w:type="dxa"/>
              <w:bottom w:w="72" w:type="dxa"/>
              <w:right w:w="115" w:type="dxa"/>
            </w:tblCellMar>
            <w:tblLook w:val="04A0" w:firstRow="1" w:lastRow="0" w:firstColumn="1" w:lastColumn="0" w:noHBand="0" w:noVBand="1"/>
          </w:tblPr>
          <w:tblGrid>
            <w:gridCol w:w="1050"/>
            <w:gridCol w:w="2778"/>
            <w:gridCol w:w="1561"/>
            <w:gridCol w:w="3912"/>
          </w:tblGrid>
          <w:tr w:rsidR="008876B2" w:rsidTr="008876B2">
            <w:tc>
              <w:tcPr>
                <w:tcW w:w="1050" w:type="dxa"/>
                <w:vAlign w:val="center"/>
              </w:tcPr>
              <w:p w:rsidR="00743995" w:rsidRDefault="00743995">
                <w:pPr>
                  <w:pStyle w:val="Sinespaciado"/>
                </w:pPr>
              </w:p>
            </w:tc>
            <w:tc>
              <w:tcPr>
                <w:tcW w:w="2778" w:type="dxa"/>
                <w:vAlign w:val="center"/>
              </w:tcPr>
              <w:p w:rsidR="00743995" w:rsidRDefault="00743995">
                <w:pPr>
                  <w:pStyle w:val="Sinespaciado"/>
                </w:pPr>
              </w:p>
            </w:tc>
            <w:tc>
              <w:tcPr>
                <w:tcW w:w="5473" w:type="dxa"/>
                <w:gridSpan w:val="2"/>
                <w:vAlign w:val="center"/>
              </w:tcPr>
              <w:p w:rsidR="00743995" w:rsidRDefault="00743995">
                <w:pPr>
                  <w:pStyle w:val="Sinespaciado"/>
                </w:pPr>
              </w:p>
            </w:tc>
          </w:tr>
          <w:tr w:rsidR="008876B2" w:rsidTr="008876B2">
            <w:tc>
              <w:tcPr>
                <w:tcW w:w="3828" w:type="dxa"/>
                <w:gridSpan w:val="2"/>
                <w:vAlign w:val="center"/>
              </w:tcPr>
              <w:tbl>
                <w:tblPr>
                  <w:tblW w:w="5000" w:type="pct"/>
                  <w:tblCellMar>
                    <w:left w:w="0" w:type="dxa"/>
                    <w:right w:w="0" w:type="dxa"/>
                  </w:tblCellMar>
                  <w:tblLook w:val="04A0" w:firstRow="1" w:lastRow="0" w:firstColumn="1" w:lastColumn="0" w:noHBand="0" w:noVBand="1"/>
                </w:tblPr>
                <w:tblGrid>
                  <w:gridCol w:w="952"/>
                  <w:gridCol w:w="2646"/>
                </w:tblGrid>
                <w:tr w:rsidR="00743995">
                  <w:trPr>
                    <w:trHeight w:hRule="exact" w:val="86"/>
                  </w:trPr>
                  <w:tc>
                    <w:tcPr>
                      <w:tcW w:w="990" w:type="dxa"/>
                    </w:tcPr>
                    <w:p w:rsidR="00743995" w:rsidRDefault="00743995">
                      <w:pPr>
                        <w:pStyle w:val="Sinespaciado"/>
                        <w:framePr w:hSpace="187" w:wrap="around" w:hAnchor="text" w:yAlign="bottom"/>
                        <w:suppressOverlap/>
                      </w:pPr>
                    </w:p>
                  </w:tc>
                  <w:tc>
                    <w:tcPr>
                      <w:tcW w:w="2754" w:type="dxa"/>
                      <w:tcBorders>
                        <w:top w:val="single" w:sz="6" w:space="0" w:color="438086" w:themeColor="accent2"/>
                        <w:bottom w:val="single" w:sz="24" w:space="0" w:color="438086" w:themeColor="accent2"/>
                      </w:tcBorders>
                    </w:tcPr>
                    <w:p w:rsidR="00743995" w:rsidRDefault="00743995">
                      <w:pPr>
                        <w:pStyle w:val="Sinespaciado"/>
                        <w:framePr w:hSpace="187" w:wrap="around" w:hAnchor="text" w:yAlign="bottom"/>
                        <w:suppressOverlap/>
                      </w:pPr>
                    </w:p>
                  </w:tc>
                </w:tr>
                <w:tr w:rsidR="00743995">
                  <w:trPr>
                    <w:trHeight w:hRule="exact" w:val="86"/>
                  </w:trPr>
                  <w:tc>
                    <w:tcPr>
                      <w:tcW w:w="990" w:type="dxa"/>
                      <w:tcBorders>
                        <w:bottom w:val="single" w:sz="2" w:space="0" w:color="438086" w:themeColor="accent2"/>
                      </w:tcBorders>
                    </w:tcPr>
                    <w:p w:rsidR="00743995" w:rsidRDefault="00743995">
                      <w:pPr>
                        <w:pStyle w:val="Sinespaciado"/>
                        <w:framePr w:hSpace="187" w:wrap="around" w:hAnchor="text" w:yAlign="bottom"/>
                        <w:suppressOverlap/>
                      </w:pPr>
                    </w:p>
                  </w:tc>
                  <w:tc>
                    <w:tcPr>
                      <w:tcW w:w="2754" w:type="dxa"/>
                      <w:tcBorders>
                        <w:top w:val="single" w:sz="24" w:space="0" w:color="438086" w:themeColor="accent2"/>
                        <w:bottom w:val="single" w:sz="2" w:space="0" w:color="438086" w:themeColor="accent2"/>
                      </w:tcBorders>
                    </w:tcPr>
                    <w:p w:rsidR="00743995" w:rsidRDefault="00743995">
                      <w:pPr>
                        <w:pStyle w:val="Sinespaciado"/>
                        <w:framePr w:hSpace="187" w:wrap="around" w:hAnchor="text" w:yAlign="bottom"/>
                        <w:suppressOverlap/>
                      </w:pPr>
                    </w:p>
                  </w:tc>
                </w:tr>
                <w:tr w:rsidR="00743995">
                  <w:trPr>
                    <w:trHeight w:hRule="exact" w:val="115"/>
                  </w:trPr>
                  <w:tc>
                    <w:tcPr>
                      <w:tcW w:w="990" w:type="dxa"/>
                      <w:tcBorders>
                        <w:top w:val="single" w:sz="2" w:space="0" w:color="438086" w:themeColor="accent2"/>
                        <w:bottom w:val="single" w:sz="8" w:space="0" w:color="438086" w:themeColor="accent2"/>
                      </w:tcBorders>
                    </w:tcPr>
                    <w:p w:rsidR="00743995" w:rsidRDefault="00743995">
                      <w:pPr>
                        <w:pStyle w:val="Sinespaciado"/>
                        <w:framePr w:hSpace="187" w:wrap="around" w:hAnchor="text" w:yAlign="bottom"/>
                        <w:suppressOverlap/>
                      </w:pPr>
                    </w:p>
                  </w:tc>
                  <w:tc>
                    <w:tcPr>
                      <w:tcW w:w="2754" w:type="dxa"/>
                      <w:tcBorders>
                        <w:top w:val="single" w:sz="2" w:space="0" w:color="438086" w:themeColor="accent2"/>
                        <w:bottom w:val="single" w:sz="8" w:space="0" w:color="438086" w:themeColor="accent2"/>
                      </w:tcBorders>
                    </w:tcPr>
                    <w:p w:rsidR="00743995" w:rsidRDefault="00743995">
                      <w:pPr>
                        <w:pStyle w:val="Sinespaciado"/>
                        <w:framePr w:hSpace="187" w:wrap="around" w:hAnchor="text" w:yAlign="bottom"/>
                        <w:suppressOverlap/>
                      </w:pPr>
                    </w:p>
                  </w:tc>
                </w:tr>
                <w:tr w:rsidR="00743995">
                  <w:trPr>
                    <w:trHeight w:hRule="exact" w:val="58"/>
                  </w:trPr>
                  <w:tc>
                    <w:tcPr>
                      <w:tcW w:w="990" w:type="dxa"/>
                      <w:tcBorders>
                        <w:top w:val="single" w:sz="8" w:space="0" w:color="438086" w:themeColor="accent2"/>
                      </w:tcBorders>
                    </w:tcPr>
                    <w:p w:rsidR="00743995" w:rsidRDefault="00743995">
                      <w:pPr>
                        <w:pStyle w:val="Sinespaciado"/>
                        <w:framePr w:hSpace="187" w:wrap="around" w:hAnchor="text" w:yAlign="bottom"/>
                        <w:suppressOverlap/>
                      </w:pPr>
                    </w:p>
                  </w:tc>
                  <w:tc>
                    <w:tcPr>
                      <w:tcW w:w="2754" w:type="dxa"/>
                      <w:tcBorders>
                        <w:top w:val="single" w:sz="8" w:space="0" w:color="438086" w:themeColor="accent2"/>
                        <w:bottom w:val="single" w:sz="12" w:space="0" w:color="438086" w:themeColor="accent2"/>
                      </w:tcBorders>
                    </w:tcPr>
                    <w:p w:rsidR="00743995" w:rsidRDefault="00743995">
                      <w:pPr>
                        <w:pStyle w:val="Sinespaciado"/>
                        <w:framePr w:hSpace="187" w:wrap="around" w:hAnchor="text" w:yAlign="bottom"/>
                        <w:suppressOverlap/>
                      </w:pPr>
                    </w:p>
                  </w:tc>
                </w:tr>
              </w:tbl>
              <w:p w:rsidR="00743995" w:rsidRDefault="00743995">
                <w:pPr>
                  <w:pStyle w:val="Sinespaciado"/>
                </w:pPr>
              </w:p>
            </w:tc>
            <w:tc>
              <w:tcPr>
                <w:tcW w:w="5473" w:type="dxa"/>
                <w:gridSpan w:val="2"/>
                <w:vAlign w:val="center"/>
              </w:tcPr>
              <w:p w:rsidR="00743995" w:rsidRDefault="00743995">
                <w:pPr>
                  <w:pStyle w:val="Sinespaciado"/>
                </w:pPr>
              </w:p>
            </w:tc>
          </w:tr>
          <w:tr w:rsidR="00743995" w:rsidTr="008876B2">
            <w:trPr>
              <w:trHeight w:val="1800"/>
            </w:trPr>
            <w:tc>
              <w:tcPr>
                <w:tcW w:w="9301" w:type="dxa"/>
                <w:gridSpan w:val="4"/>
                <w:tcMar>
                  <w:top w:w="115" w:type="dxa"/>
                  <w:left w:w="115" w:type="dxa"/>
                  <w:bottom w:w="72" w:type="dxa"/>
                  <w:right w:w="115" w:type="dxa"/>
                </w:tcMar>
                <w:vAlign w:val="center"/>
              </w:tcPr>
              <w:p w:rsidR="00743995" w:rsidRPr="008876B2" w:rsidRDefault="00746B31">
                <w:pPr>
                  <w:pStyle w:val="Sinespaciado"/>
                  <w:rPr>
                    <w:rFonts w:eastAsiaTheme="majorEastAsia" w:cstheme="majorBidi"/>
                    <w:color w:val="53548A" w:themeColor="accent1"/>
                    <w:sz w:val="40"/>
                    <w:szCs w:val="40"/>
                  </w:rPr>
                </w:pPr>
                <w:sdt>
                  <w:sdtPr>
                    <w:rPr>
                      <w:rFonts w:eastAsiaTheme="majorEastAsia" w:cstheme="majorBidi"/>
                      <w:sz w:val="40"/>
                      <w:szCs w:val="40"/>
                    </w:rPr>
                    <w:alias w:val="Título"/>
                    <w:id w:val="220683848"/>
                    <w:dataBinding w:prefixMappings="xmlns:ns0='http://schemas.openxmlformats.org/package/2006/metadata/core-properties' xmlns:ns1='http://purl.org/dc/elements/1.1/'" w:xpath="/ns0:coreProperties[1]/ns1:title[1]" w:storeItemID="{6C3C8BC8-F283-45AE-878A-BAB7291924A1}"/>
                    <w:text/>
                  </w:sdtPr>
                  <w:sdtContent>
                    <w:r w:rsidR="00E924EF">
                      <w:rPr>
                        <w:rFonts w:eastAsiaTheme="majorEastAsia" w:cstheme="majorBidi"/>
                        <w:sz w:val="40"/>
                        <w:szCs w:val="40"/>
                      </w:rPr>
                      <w:t xml:space="preserve">Informe de evaluación sobre </w:t>
                    </w:r>
                    <w:r w:rsidR="005F586A">
                      <w:rPr>
                        <w:rFonts w:eastAsiaTheme="majorEastAsia" w:cstheme="majorBidi"/>
                        <w:sz w:val="40"/>
                        <w:szCs w:val="40"/>
                      </w:rPr>
                      <w:t>el cumplimie</w:t>
                    </w:r>
                    <w:r w:rsidR="002652DB">
                      <w:rPr>
                        <w:rFonts w:eastAsiaTheme="majorEastAsia" w:cstheme="majorBidi"/>
                        <w:sz w:val="40"/>
                        <w:szCs w:val="40"/>
                      </w:rPr>
                      <w:t>nto de la LTAIBG por parte de l</w:t>
                    </w:r>
                    <w:r w:rsidR="00D74601">
                      <w:rPr>
                        <w:rFonts w:eastAsiaTheme="majorEastAsia" w:cstheme="majorBidi"/>
                        <w:sz w:val="40"/>
                        <w:szCs w:val="40"/>
                      </w:rPr>
                      <w:t>a</w:t>
                    </w:r>
                    <w:r w:rsidR="005F586A">
                      <w:rPr>
                        <w:rFonts w:eastAsiaTheme="majorEastAsia" w:cstheme="majorBidi"/>
                        <w:sz w:val="40"/>
                        <w:szCs w:val="40"/>
                      </w:rPr>
                      <w:t xml:space="preserve">s </w:t>
                    </w:r>
                    <w:r w:rsidR="00D74601">
                      <w:rPr>
                        <w:rFonts w:eastAsiaTheme="majorEastAsia" w:cstheme="majorBidi"/>
                        <w:sz w:val="40"/>
                        <w:szCs w:val="40"/>
                      </w:rPr>
                      <w:t>entidades integrantes del Sector Público Institucional</w:t>
                    </w:r>
                    <w:r w:rsidR="00F07996">
                      <w:rPr>
                        <w:rFonts w:eastAsiaTheme="majorEastAsia" w:cstheme="majorBidi"/>
                        <w:sz w:val="40"/>
                        <w:szCs w:val="40"/>
                      </w:rPr>
                      <w:t>.</w:t>
                    </w:r>
                  </w:sdtContent>
                </w:sdt>
              </w:p>
              <w:p w:rsidR="00743995" w:rsidRPr="008876B2" w:rsidRDefault="00746B31" w:rsidP="00342EA2">
                <w:pPr>
                  <w:pStyle w:val="Sinespaciado"/>
                </w:pPr>
                <w:sdt>
                  <w:sdtPr>
                    <w:rPr>
                      <w:i/>
                      <w:iCs/>
                      <w:color w:val="424456" w:themeColor="text2"/>
                      <w:sz w:val="28"/>
                      <w:szCs w:val="28"/>
                    </w:rPr>
                    <w:alias w:val="Subtítulo"/>
                    <w:id w:val="220683832"/>
                    <w:dataBinding w:prefixMappings="xmlns:ns0='http://schemas.openxmlformats.org/package/2006/metadata/core-properties' xmlns:ns1='http://purl.org/dc/elements/1.1/'" w:xpath="/ns0:coreProperties[1]/ns1:subject[1]" w:storeItemID="{6C3C8BC8-F283-45AE-878A-BAB7291924A1}"/>
                    <w:text/>
                  </w:sdtPr>
                  <w:sdtContent>
                    <w:r w:rsidR="008876B2" w:rsidRPr="008876B2">
                      <w:rPr>
                        <w:i/>
                        <w:iCs/>
                        <w:color w:val="424456" w:themeColor="text2"/>
                        <w:sz w:val="28"/>
                        <w:szCs w:val="28"/>
                      </w:rPr>
                      <w:t>Evaluaci</w:t>
                    </w:r>
                    <w:r w:rsidR="00E924EF">
                      <w:rPr>
                        <w:i/>
                        <w:iCs/>
                        <w:color w:val="424456" w:themeColor="text2"/>
                        <w:sz w:val="28"/>
                        <w:szCs w:val="28"/>
                      </w:rPr>
                      <w:t>ones 202</w:t>
                    </w:r>
                    <w:r w:rsidR="00342EA2">
                      <w:rPr>
                        <w:i/>
                        <w:iCs/>
                        <w:color w:val="424456" w:themeColor="text2"/>
                        <w:sz w:val="28"/>
                        <w:szCs w:val="28"/>
                      </w:rPr>
                      <w:t>2</w:t>
                    </w:r>
                    <w:r w:rsidR="00E924EF">
                      <w:rPr>
                        <w:i/>
                        <w:iCs/>
                        <w:color w:val="424456" w:themeColor="text2"/>
                        <w:sz w:val="28"/>
                        <w:szCs w:val="28"/>
                      </w:rPr>
                      <w:t>.CTBG</w:t>
                    </w:r>
                  </w:sdtContent>
                </w:sdt>
              </w:p>
            </w:tc>
          </w:tr>
          <w:tr w:rsidR="008876B2" w:rsidTr="008876B2">
            <w:tc>
              <w:tcPr>
                <w:tcW w:w="1050" w:type="dxa"/>
                <w:vAlign w:val="center"/>
              </w:tcPr>
              <w:p w:rsidR="00743995" w:rsidRDefault="00743995">
                <w:pPr>
                  <w:pStyle w:val="Sinespaciado"/>
                </w:pPr>
              </w:p>
            </w:tc>
            <w:tc>
              <w:tcPr>
                <w:tcW w:w="4339" w:type="dxa"/>
                <w:gridSpan w:val="2"/>
                <w:vAlign w:val="center"/>
              </w:tcPr>
              <w:p w:rsidR="00743995" w:rsidRDefault="00743995">
                <w:pPr>
                  <w:pStyle w:val="Sinespaciado"/>
                </w:pPr>
              </w:p>
            </w:tc>
            <w:tc>
              <w:tcPr>
                <w:tcW w:w="3912" w:type="dxa"/>
                <w:vAlign w:val="center"/>
              </w:tcPr>
              <w:tbl>
                <w:tblPr>
                  <w:tblW w:w="5000" w:type="pct"/>
                  <w:tblLook w:val="04A0" w:firstRow="1" w:lastRow="0" w:firstColumn="1" w:lastColumn="0" w:noHBand="0" w:noVBand="1"/>
                </w:tblPr>
                <w:tblGrid>
                  <w:gridCol w:w="1057"/>
                  <w:gridCol w:w="697"/>
                  <w:gridCol w:w="1928"/>
                </w:tblGrid>
                <w:tr w:rsidR="008876B2">
                  <w:trPr>
                    <w:trHeight w:hRule="exact" w:val="72"/>
                  </w:trPr>
                  <w:tc>
                    <w:tcPr>
                      <w:tcW w:w="1098" w:type="dxa"/>
                      <w:tcBorders>
                        <w:top w:val="single" w:sz="24" w:space="0" w:color="438086" w:themeColor="accent2"/>
                      </w:tcBorders>
                    </w:tcPr>
                    <w:p w:rsidR="00743995" w:rsidRDefault="00743995" w:rsidP="0034357D">
                      <w:pPr>
                        <w:pStyle w:val="Sinespaciado"/>
                        <w:framePr w:hSpace="187" w:wrap="around" w:hAnchor="text" w:yAlign="bottom"/>
                        <w:suppressOverlap/>
                        <w:rPr>
                          <w:sz w:val="12"/>
                        </w:rPr>
                      </w:pPr>
                    </w:p>
                  </w:tc>
                  <w:tc>
                    <w:tcPr>
                      <w:tcW w:w="720" w:type="dxa"/>
                      <w:tcBorders>
                        <w:top w:val="single" w:sz="24" w:space="0" w:color="438086" w:themeColor="accent2"/>
                        <w:bottom w:val="single" w:sz="6" w:space="0" w:color="438086" w:themeColor="accent2"/>
                      </w:tcBorders>
                    </w:tcPr>
                    <w:p w:rsidR="00743995" w:rsidRDefault="00743995" w:rsidP="0034357D">
                      <w:pPr>
                        <w:pStyle w:val="Sinespaciado"/>
                        <w:framePr w:hSpace="187" w:wrap="around" w:hAnchor="text" w:yAlign="bottom"/>
                        <w:suppressOverlap/>
                        <w:rPr>
                          <w:sz w:val="12"/>
                        </w:rPr>
                      </w:pPr>
                    </w:p>
                  </w:tc>
                  <w:tc>
                    <w:tcPr>
                      <w:tcW w:w="2012" w:type="dxa"/>
                      <w:tcBorders>
                        <w:top w:val="single" w:sz="24" w:space="0" w:color="438086" w:themeColor="accent2"/>
                        <w:bottom w:val="single" w:sz="6" w:space="0" w:color="438086" w:themeColor="accent2"/>
                      </w:tcBorders>
                    </w:tcPr>
                    <w:p w:rsidR="00743995" w:rsidRDefault="00743995" w:rsidP="0034357D">
                      <w:pPr>
                        <w:pStyle w:val="Sinespaciado"/>
                        <w:framePr w:hSpace="187" w:wrap="around" w:hAnchor="text" w:yAlign="bottom"/>
                        <w:suppressOverlap/>
                        <w:rPr>
                          <w:sz w:val="12"/>
                        </w:rPr>
                      </w:pPr>
                    </w:p>
                  </w:tc>
                </w:tr>
                <w:tr w:rsidR="008876B2">
                  <w:trPr>
                    <w:trHeight w:hRule="exact" w:val="86"/>
                  </w:trPr>
                  <w:tc>
                    <w:tcPr>
                      <w:tcW w:w="1098" w:type="dxa"/>
                    </w:tcPr>
                    <w:p w:rsidR="00743995" w:rsidRDefault="00743995" w:rsidP="0034357D">
                      <w:pPr>
                        <w:pStyle w:val="Sinespaciado"/>
                        <w:framePr w:hSpace="187" w:wrap="around" w:hAnchor="text" w:yAlign="bottom"/>
                        <w:suppressOverlap/>
                        <w:rPr>
                          <w:sz w:val="12"/>
                        </w:rPr>
                      </w:pPr>
                    </w:p>
                  </w:tc>
                  <w:tc>
                    <w:tcPr>
                      <w:tcW w:w="720" w:type="dxa"/>
                      <w:tcBorders>
                        <w:top w:val="single" w:sz="6" w:space="0" w:color="438086" w:themeColor="accent2"/>
                        <w:bottom w:val="single" w:sz="24" w:space="0" w:color="438086" w:themeColor="accent2"/>
                      </w:tcBorders>
                    </w:tcPr>
                    <w:p w:rsidR="00743995" w:rsidRDefault="00743995" w:rsidP="0034357D">
                      <w:pPr>
                        <w:pStyle w:val="Sinespaciado"/>
                        <w:framePr w:hSpace="187" w:wrap="around" w:hAnchor="text" w:yAlign="bottom"/>
                        <w:suppressOverlap/>
                        <w:rPr>
                          <w:sz w:val="12"/>
                        </w:rPr>
                      </w:pPr>
                    </w:p>
                  </w:tc>
                  <w:tc>
                    <w:tcPr>
                      <w:tcW w:w="2012" w:type="dxa"/>
                      <w:tcBorders>
                        <w:top w:val="single" w:sz="6" w:space="0" w:color="438086" w:themeColor="accent2"/>
                        <w:bottom w:val="single" w:sz="24" w:space="0" w:color="438086" w:themeColor="accent2"/>
                      </w:tcBorders>
                    </w:tcPr>
                    <w:p w:rsidR="00743995" w:rsidRDefault="00743995" w:rsidP="0034357D">
                      <w:pPr>
                        <w:pStyle w:val="Sinespaciado"/>
                        <w:framePr w:hSpace="187" w:wrap="around" w:hAnchor="text" w:yAlign="bottom"/>
                        <w:suppressOverlap/>
                        <w:rPr>
                          <w:sz w:val="12"/>
                        </w:rPr>
                      </w:pPr>
                    </w:p>
                  </w:tc>
                </w:tr>
                <w:tr w:rsidR="008876B2">
                  <w:trPr>
                    <w:trHeight w:hRule="exact" w:val="101"/>
                  </w:trPr>
                  <w:tc>
                    <w:tcPr>
                      <w:tcW w:w="1098" w:type="dxa"/>
                      <w:tcBorders>
                        <w:bottom w:val="single" w:sz="2" w:space="0" w:color="438086" w:themeColor="accent2"/>
                      </w:tcBorders>
                    </w:tcPr>
                    <w:p w:rsidR="00743995" w:rsidRDefault="00743995" w:rsidP="0034357D">
                      <w:pPr>
                        <w:pStyle w:val="Sinespaciado"/>
                        <w:framePr w:hSpace="187" w:wrap="around" w:hAnchor="text" w:yAlign="bottom"/>
                        <w:suppressOverlap/>
                        <w:rPr>
                          <w:sz w:val="12"/>
                        </w:rPr>
                      </w:pPr>
                    </w:p>
                  </w:tc>
                  <w:tc>
                    <w:tcPr>
                      <w:tcW w:w="720" w:type="dxa"/>
                      <w:tcBorders>
                        <w:top w:val="single" w:sz="24" w:space="0" w:color="438086" w:themeColor="accent2"/>
                        <w:bottom w:val="single" w:sz="2" w:space="0" w:color="438086" w:themeColor="accent2"/>
                      </w:tcBorders>
                    </w:tcPr>
                    <w:p w:rsidR="00743995" w:rsidRDefault="00743995" w:rsidP="0034357D">
                      <w:pPr>
                        <w:pStyle w:val="Sinespaciado"/>
                        <w:framePr w:hSpace="187" w:wrap="around" w:hAnchor="text" w:yAlign="bottom"/>
                        <w:suppressOverlap/>
                        <w:rPr>
                          <w:sz w:val="12"/>
                        </w:rPr>
                      </w:pPr>
                    </w:p>
                  </w:tc>
                  <w:tc>
                    <w:tcPr>
                      <w:tcW w:w="2012" w:type="dxa"/>
                      <w:tcBorders>
                        <w:top w:val="single" w:sz="24" w:space="0" w:color="438086" w:themeColor="accent2"/>
                        <w:bottom w:val="single" w:sz="2" w:space="0" w:color="438086" w:themeColor="accent2"/>
                      </w:tcBorders>
                    </w:tcPr>
                    <w:p w:rsidR="00743995" w:rsidRDefault="00743995" w:rsidP="0034357D">
                      <w:pPr>
                        <w:pStyle w:val="Sinespaciado"/>
                        <w:framePr w:hSpace="187" w:wrap="around" w:hAnchor="text" w:yAlign="bottom"/>
                        <w:suppressOverlap/>
                        <w:rPr>
                          <w:sz w:val="12"/>
                        </w:rPr>
                      </w:pPr>
                    </w:p>
                  </w:tc>
                </w:tr>
                <w:tr w:rsidR="008876B2">
                  <w:trPr>
                    <w:trHeight w:hRule="exact" w:val="43"/>
                  </w:trPr>
                  <w:tc>
                    <w:tcPr>
                      <w:tcW w:w="1098" w:type="dxa"/>
                      <w:tcBorders>
                        <w:top w:val="single" w:sz="2" w:space="0" w:color="438086" w:themeColor="accent2"/>
                        <w:bottom w:val="single" w:sz="24" w:space="0" w:color="438086" w:themeColor="accent2"/>
                      </w:tcBorders>
                    </w:tcPr>
                    <w:p w:rsidR="00743995" w:rsidRDefault="00743995" w:rsidP="0034357D">
                      <w:pPr>
                        <w:pStyle w:val="Sinespaciado"/>
                        <w:framePr w:hSpace="187" w:wrap="around" w:hAnchor="text" w:yAlign="bottom"/>
                        <w:suppressOverlap/>
                        <w:rPr>
                          <w:sz w:val="12"/>
                        </w:rPr>
                      </w:pPr>
                    </w:p>
                  </w:tc>
                  <w:tc>
                    <w:tcPr>
                      <w:tcW w:w="720" w:type="dxa"/>
                      <w:tcBorders>
                        <w:top w:val="single" w:sz="2" w:space="0" w:color="438086" w:themeColor="accent2"/>
                        <w:bottom w:val="single" w:sz="24" w:space="0" w:color="438086" w:themeColor="accent2"/>
                      </w:tcBorders>
                    </w:tcPr>
                    <w:p w:rsidR="00743995" w:rsidRDefault="00743995" w:rsidP="0034357D">
                      <w:pPr>
                        <w:pStyle w:val="Sinespaciado"/>
                        <w:framePr w:hSpace="187" w:wrap="around" w:hAnchor="text" w:yAlign="bottom"/>
                        <w:suppressOverlap/>
                        <w:rPr>
                          <w:sz w:val="12"/>
                        </w:rPr>
                      </w:pPr>
                    </w:p>
                  </w:tc>
                  <w:tc>
                    <w:tcPr>
                      <w:tcW w:w="2012" w:type="dxa"/>
                      <w:tcBorders>
                        <w:top w:val="single" w:sz="2" w:space="0" w:color="438086" w:themeColor="accent2"/>
                      </w:tcBorders>
                    </w:tcPr>
                    <w:p w:rsidR="00743995" w:rsidRDefault="00743995" w:rsidP="0034357D">
                      <w:pPr>
                        <w:pStyle w:val="Sinespaciado"/>
                        <w:framePr w:hSpace="187" w:wrap="around" w:hAnchor="text" w:yAlign="bottom"/>
                        <w:suppressOverlap/>
                        <w:rPr>
                          <w:sz w:val="12"/>
                        </w:rPr>
                      </w:pPr>
                    </w:p>
                  </w:tc>
                </w:tr>
                <w:tr w:rsidR="008876B2">
                  <w:trPr>
                    <w:trHeight w:hRule="exact" w:val="86"/>
                  </w:trPr>
                  <w:tc>
                    <w:tcPr>
                      <w:tcW w:w="1098" w:type="dxa"/>
                      <w:tcBorders>
                        <w:top w:val="single" w:sz="24" w:space="0" w:color="438086" w:themeColor="accent2"/>
                        <w:bottom w:val="single" w:sz="8" w:space="0" w:color="438086" w:themeColor="accent2"/>
                      </w:tcBorders>
                    </w:tcPr>
                    <w:p w:rsidR="00743995" w:rsidRDefault="00743995" w:rsidP="0034357D">
                      <w:pPr>
                        <w:pStyle w:val="Sinespaciado"/>
                        <w:framePr w:hSpace="187" w:wrap="around" w:hAnchor="text" w:yAlign="bottom"/>
                        <w:suppressOverlap/>
                        <w:rPr>
                          <w:sz w:val="12"/>
                        </w:rPr>
                      </w:pPr>
                    </w:p>
                  </w:tc>
                  <w:tc>
                    <w:tcPr>
                      <w:tcW w:w="720" w:type="dxa"/>
                      <w:tcBorders>
                        <w:top w:val="single" w:sz="24" w:space="0" w:color="438086" w:themeColor="accent2"/>
                        <w:bottom w:val="single" w:sz="8" w:space="0" w:color="438086" w:themeColor="accent2"/>
                      </w:tcBorders>
                    </w:tcPr>
                    <w:p w:rsidR="00743995" w:rsidRDefault="00743995" w:rsidP="0034357D">
                      <w:pPr>
                        <w:pStyle w:val="Sinespaciado"/>
                        <w:framePr w:hSpace="187" w:wrap="around" w:hAnchor="text" w:yAlign="bottom"/>
                        <w:suppressOverlap/>
                        <w:rPr>
                          <w:sz w:val="12"/>
                        </w:rPr>
                      </w:pPr>
                    </w:p>
                  </w:tc>
                  <w:tc>
                    <w:tcPr>
                      <w:tcW w:w="2012" w:type="dxa"/>
                      <w:tcBorders>
                        <w:bottom w:val="single" w:sz="8" w:space="0" w:color="438086" w:themeColor="accent2"/>
                      </w:tcBorders>
                    </w:tcPr>
                    <w:p w:rsidR="00743995" w:rsidRDefault="00743995" w:rsidP="0034357D">
                      <w:pPr>
                        <w:pStyle w:val="Sinespaciado"/>
                        <w:framePr w:hSpace="187" w:wrap="around" w:hAnchor="text" w:yAlign="bottom"/>
                        <w:suppressOverlap/>
                        <w:rPr>
                          <w:sz w:val="12"/>
                        </w:rPr>
                      </w:pPr>
                    </w:p>
                  </w:tc>
                </w:tr>
                <w:tr w:rsidR="008876B2">
                  <w:trPr>
                    <w:trHeight w:hRule="exact" w:val="58"/>
                  </w:trPr>
                  <w:tc>
                    <w:tcPr>
                      <w:tcW w:w="1098" w:type="dxa"/>
                      <w:tcBorders>
                        <w:top w:val="single" w:sz="8" w:space="0" w:color="438086" w:themeColor="accent2"/>
                      </w:tcBorders>
                    </w:tcPr>
                    <w:p w:rsidR="00743995" w:rsidRDefault="00743995" w:rsidP="0034357D">
                      <w:pPr>
                        <w:pStyle w:val="Sinespaciado"/>
                        <w:framePr w:hSpace="187" w:wrap="around" w:hAnchor="text" w:yAlign="bottom"/>
                        <w:suppressOverlap/>
                        <w:rPr>
                          <w:sz w:val="12"/>
                        </w:rPr>
                      </w:pPr>
                    </w:p>
                  </w:tc>
                  <w:tc>
                    <w:tcPr>
                      <w:tcW w:w="720" w:type="dxa"/>
                      <w:tcBorders>
                        <w:top w:val="single" w:sz="8" w:space="0" w:color="438086" w:themeColor="accent2"/>
                        <w:bottom w:val="single" w:sz="12" w:space="0" w:color="438086" w:themeColor="accent2"/>
                      </w:tcBorders>
                    </w:tcPr>
                    <w:p w:rsidR="00743995" w:rsidRDefault="00743995" w:rsidP="0034357D">
                      <w:pPr>
                        <w:pStyle w:val="Sinespaciado"/>
                        <w:framePr w:hSpace="187" w:wrap="around" w:hAnchor="text" w:yAlign="bottom"/>
                        <w:suppressOverlap/>
                        <w:rPr>
                          <w:sz w:val="12"/>
                        </w:rPr>
                      </w:pPr>
                    </w:p>
                  </w:tc>
                  <w:tc>
                    <w:tcPr>
                      <w:tcW w:w="2012" w:type="dxa"/>
                      <w:tcBorders>
                        <w:top w:val="single" w:sz="8" w:space="0" w:color="438086" w:themeColor="accent2"/>
                        <w:bottom w:val="single" w:sz="12" w:space="0" w:color="438086" w:themeColor="accent2"/>
                      </w:tcBorders>
                    </w:tcPr>
                    <w:p w:rsidR="00743995" w:rsidRDefault="00743995" w:rsidP="0034357D">
                      <w:pPr>
                        <w:pStyle w:val="Sinespaciado"/>
                        <w:framePr w:hSpace="187" w:wrap="around" w:hAnchor="text" w:yAlign="bottom"/>
                        <w:suppressOverlap/>
                        <w:rPr>
                          <w:sz w:val="12"/>
                        </w:rPr>
                      </w:pPr>
                    </w:p>
                  </w:tc>
                </w:tr>
              </w:tbl>
              <w:p w:rsidR="00743995" w:rsidRDefault="00743995">
                <w:pPr>
                  <w:pStyle w:val="Sinespaciado"/>
                </w:pPr>
              </w:p>
            </w:tc>
          </w:tr>
          <w:tr w:rsidR="008876B2" w:rsidTr="008876B2">
            <w:tc>
              <w:tcPr>
                <w:tcW w:w="1050" w:type="dxa"/>
                <w:vAlign w:val="center"/>
              </w:tcPr>
              <w:p w:rsidR="00743995" w:rsidRDefault="00743995">
                <w:pPr>
                  <w:pStyle w:val="Sinespaciado"/>
                </w:pPr>
              </w:p>
            </w:tc>
            <w:tc>
              <w:tcPr>
                <w:tcW w:w="4339" w:type="dxa"/>
                <w:gridSpan w:val="2"/>
                <w:vAlign w:val="center"/>
              </w:tcPr>
              <w:p w:rsidR="00743995" w:rsidRDefault="00743995">
                <w:pPr>
                  <w:pStyle w:val="Sinespaciado"/>
                </w:pPr>
              </w:p>
            </w:tc>
            <w:tc>
              <w:tcPr>
                <w:tcW w:w="3912" w:type="dxa"/>
                <w:vAlign w:val="center"/>
              </w:tcPr>
              <w:p w:rsidR="00743995" w:rsidRPr="008876B2" w:rsidRDefault="00746B31" w:rsidP="00F07996">
                <w:pPr>
                  <w:pStyle w:val="Sinespaciado"/>
                </w:pPr>
                <w:sdt>
                  <w:sdtPr>
                    <w:rPr>
                      <w:color w:val="424456" w:themeColor="text2"/>
                      <w:szCs w:val="22"/>
                    </w:rPr>
                    <w:alias w:val="Autor"/>
                    <w:id w:val="81130488"/>
                    <w:dataBinding w:prefixMappings="xmlns:ns0='http://schemas.openxmlformats.org/package/2006/metadata/core-properties' xmlns:ns1='http://purl.org/dc/elements/1.1/'" w:xpath="/ns0:coreProperties[1]/ns1:creator[1]" w:storeItemID="{6C3C8BC8-F283-45AE-878A-BAB7291924A1}"/>
                    <w:text/>
                  </w:sdtPr>
                  <w:sdtContent>
                    <w:r w:rsidR="001E7F43">
                      <w:rPr>
                        <w:color w:val="424456" w:themeColor="text2"/>
                        <w:szCs w:val="22"/>
                      </w:rPr>
                      <w:t>CTBG. Subdirección General de Transparencia y Buen Gobierno.</w:t>
                    </w:r>
                  </w:sdtContent>
                </w:sdt>
              </w:p>
            </w:tc>
          </w:tr>
        </w:tbl>
        <w:p w:rsidR="00743995" w:rsidRDefault="008876B2">
          <w:pPr>
            <w:pStyle w:val="Ttulo"/>
            <w:rPr>
              <w:rFonts w:eastAsiaTheme="majorEastAsia" w:cstheme="majorBidi"/>
              <w:szCs w:val="20"/>
            </w:rPr>
          </w:pPr>
          <w:r>
            <w:rPr>
              <w:noProof/>
            </w:rPr>
            <w:drawing>
              <wp:inline distT="0" distB="0" distL="0" distR="0" wp14:anchorId="0726B0E8" wp14:editId="725D7804">
                <wp:extent cx="1611561" cy="923925"/>
                <wp:effectExtent l="0" t="0" r="8255" b="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861" cy="925817"/>
                        </a:xfrm>
                        <a:prstGeom prst="rect">
                          <a:avLst/>
                        </a:prstGeom>
                        <a:noFill/>
                        <a:ln>
                          <a:noFill/>
                        </a:ln>
                      </pic:spPr>
                    </pic:pic>
                  </a:graphicData>
                </a:graphic>
              </wp:inline>
            </w:drawing>
          </w:r>
          <w:r w:rsidR="0065420F">
            <w:rPr>
              <w:rFonts w:asciiTheme="minorHAnsi" w:eastAsiaTheme="minorEastAsia" w:hAnsiTheme="minorHAnsi"/>
              <w:color w:val="000000"/>
              <w:sz w:val="20"/>
              <w:szCs w:val="20"/>
              <w14:textFill>
                <w14:solidFill>
                  <w14:srgbClr w14:val="000000">
                    <w14:lumMod w14:val="75000"/>
                  </w14:srgbClr>
                </w14:solidFill>
              </w14:textFill>
            </w:rPr>
            <w:br w:type="page"/>
          </w:r>
        </w:p>
      </w:sdtContent>
    </w:sdt>
    <w:sdt>
      <w:sdtPr>
        <w:rPr>
          <w:rFonts w:ascii="Century Gothic" w:eastAsiaTheme="minorHAnsi" w:hAnsi="Century Gothic" w:cstheme="minorBidi"/>
          <w:b w:val="0"/>
          <w:bCs w:val="0"/>
          <w:color w:val="auto"/>
          <w:sz w:val="20"/>
          <w:szCs w:val="20"/>
        </w:rPr>
        <w:id w:val="322091043"/>
        <w:docPartObj>
          <w:docPartGallery w:val="Table of Contents"/>
          <w:docPartUnique/>
        </w:docPartObj>
      </w:sdtPr>
      <w:sdtEndPr>
        <w:rPr>
          <w:sz w:val="18"/>
          <w:szCs w:val="18"/>
        </w:rPr>
      </w:sdtEndPr>
      <w:sdtContent>
        <w:p w:rsidR="00E924EF" w:rsidRPr="0034357D" w:rsidRDefault="00E924EF">
          <w:pPr>
            <w:pStyle w:val="TtulodeTDC"/>
            <w:rPr>
              <w:sz w:val="20"/>
              <w:szCs w:val="20"/>
            </w:rPr>
          </w:pPr>
          <w:r w:rsidRPr="0034357D">
            <w:rPr>
              <w:sz w:val="20"/>
              <w:szCs w:val="20"/>
            </w:rPr>
            <w:t>Contenido</w:t>
          </w:r>
        </w:p>
        <w:p w:rsidR="0034357D" w:rsidRPr="0034357D" w:rsidRDefault="00E924EF">
          <w:pPr>
            <w:pStyle w:val="TDC1"/>
            <w:tabs>
              <w:tab w:val="left" w:pos="400"/>
              <w:tab w:val="right" w:pos="9061"/>
            </w:tabs>
            <w:rPr>
              <w:rFonts w:asciiTheme="minorHAnsi" w:hAnsiTheme="minorHAnsi"/>
              <w:noProof/>
              <w:sz w:val="20"/>
              <w:szCs w:val="20"/>
            </w:rPr>
          </w:pPr>
          <w:r w:rsidRPr="0034357D">
            <w:rPr>
              <w:sz w:val="20"/>
              <w:szCs w:val="20"/>
            </w:rPr>
            <w:fldChar w:fldCharType="begin"/>
          </w:r>
          <w:r w:rsidRPr="0034357D">
            <w:rPr>
              <w:sz w:val="20"/>
              <w:szCs w:val="20"/>
            </w:rPr>
            <w:instrText xml:space="preserve"> TOC \o "1-3" \h \z \u </w:instrText>
          </w:r>
          <w:r w:rsidRPr="0034357D">
            <w:rPr>
              <w:sz w:val="20"/>
              <w:szCs w:val="20"/>
            </w:rPr>
            <w:fldChar w:fldCharType="separate"/>
          </w:r>
          <w:hyperlink w:anchor="_Toc113366606" w:history="1">
            <w:r w:rsidR="0034357D" w:rsidRPr="0034357D">
              <w:rPr>
                <w:rStyle w:val="Hipervnculo"/>
                <w:noProof/>
                <w:sz w:val="20"/>
                <w:szCs w:val="20"/>
              </w:rPr>
              <w:t>I.</w:t>
            </w:r>
            <w:r w:rsidR="0034357D" w:rsidRPr="0034357D">
              <w:rPr>
                <w:rFonts w:asciiTheme="minorHAnsi" w:hAnsiTheme="minorHAnsi"/>
                <w:noProof/>
                <w:sz w:val="20"/>
                <w:szCs w:val="20"/>
              </w:rPr>
              <w:tab/>
            </w:r>
            <w:r w:rsidR="0034357D" w:rsidRPr="0034357D">
              <w:rPr>
                <w:rStyle w:val="Hipervnculo"/>
                <w:noProof/>
                <w:sz w:val="20"/>
                <w:szCs w:val="20"/>
              </w:rPr>
              <w:t>Introducción</w:t>
            </w:r>
            <w:r w:rsidR="0034357D" w:rsidRPr="0034357D">
              <w:rPr>
                <w:noProof/>
                <w:webHidden/>
                <w:sz w:val="20"/>
                <w:szCs w:val="20"/>
              </w:rPr>
              <w:tab/>
            </w:r>
            <w:r w:rsidR="0034357D" w:rsidRPr="0034357D">
              <w:rPr>
                <w:noProof/>
                <w:webHidden/>
                <w:sz w:val="20"/>
                <w:szCs w:val="20"/>
              </w:rPr>
              <w:fldChar w:fldCharType="begin"/>
            </w:r>
            <w:r w:rsidR="0034357D" w:rsidRPr="0034357D">
              <w:rPr>
                <w:noProof/>
                <w:webHidden/>
                <w:sz w:val="20"/>
                <w:szCs w:val="20"/>
              </w:rPr>
              <w:instrText xml:space="preserve"> PAGEREF _Toc113366606 \h </w:instrText>
            </w:r>
            <w:r w:rsidR="0034357D" w:rsidRPr="0034357D">
              <w:rPr>
                <w:noProof/>
                <w:webHidden/>
                <w:sz w:val="20"/>
                <w:szCs w:val="20"/>
              </w:rPr>
            </w:r>
            <w:r w:rsidR="0034357D" w:rsidRPr="0034357D">
              <w:rPr>
                <w:noProof/>
                <w:webHidden/>
                <w:sz w:val="20"/>
                <w:szCs w:val="20"/>
              </w:rPr>
              <w:fldChar w:fldCharType="separate"/>
            </w:r>
            <w:r w:rsidR="007462DD">
              <w:rPr>
                <w:noProof/>
                <w:webHidden/>
                <w:sz w:val="20"/>
                <w:szCs w:val="20"/>
              </w:rPr>
              <w:t>2</w:t>
            </w:r>
            <w:r w:rsidR="0034357D" w:rsidRPr="0034357D">
              <w:rPr>
                <w:noProof/>
                <w:webHidden/>
                <w:sz w:val="20"/>
                <w:szCs w:val="20"/>
              </w:rPr>
              <w:fldChar w:fldCharType="end"/>
            </w:r>
          </w:hyperlink>
        </w:p>
        <w:p w:rsidR="0034357D" w:rsidRPr="0034357D" w:rsidRDefault="0034357D">
          <w:pPr>
            <w:pStyle w:val="TDC1"/>
            <w:tabs>
              <w:tab w:val="right" w:pos="9061"/>
            </w:tabs>
            <w:rPr>
              <w:rFonts w:asciiTheme="minorHAnsi" w:hAnsiTheme="minorHAnsi"/>
              <w:noProof/>
              <w:sz w:val="20"/>
              <w:szCs w:val="20"/>
            </w:rPr>
          </w:pPr>
          <w:hyperlink w:anchor="_Toc113366607" w:history="1">
            <w:r w:rsidRPr="0034357D">
              <w:rPr>
                <w:rStyle w:val="Hipervnculo"/>
                <w:noProof/>
                <w:sz w:val="20"/>
                <w:szCs w:val="20"/>
              </w:rPr>
              <w:t>II. Alcance de la evaluación.</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_Toc113366607 \h </w:instrText>
            </w:r>
            <w:r w:rsidRPr="0034357D">
              <w:rPr>
                <w:noProof/>
                <w:webHidden/>
                <w:sz w:val="20"/>
                <w:szCs w:val="20"/>
              </w:rPr>
            </w:r>
            <w:r w:rsidRPr="0034357D">
              <w:rPr>
                <w:noProof/>
                <w:webHidden/>
                <w:sz w:val="20"/>
                <w:szCs w:val="20"/>
              </w:rPr>
              <w:fldChar w:fldCharType="separate"/>
            </w:r>
            <w:r w:rsidR="007462DD">
              <w:rPr>
                <w:noProof/>
                <w:webHidden/>
                <w:sz w:val="20"/>
                <w:szCs w:val="20"/>
              </w:rPr>
              <w:t>2</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08" w:history="1">
            <w:r w:rsidRPr="0034357D">
              <w:rPr>
                <w:rStyle w:val="Hipervnculo"/>
                <w:noProof/>
                <w:sz w:val="20"/>
                <w:szCs w:val="20"/>
              </w:rPr>
              <w:t>II.1 Entidades incluidas en este grupo de sujetos obligados.</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_Toc113366608 \h </w:instrText>
            </w:r>
            <w:r w:rsidRPr="0034357D">
              <w:rPr>
                <w:noProof/>
                <w:webHidden/>
                <w:sz w:val="20"/>
                <w:szCs w:val="20"/>
              </w:rPr>
            </w:r>
            <w:r w:rsidRPr="0034357D">
              <w:rPr>
                <w:noProof/>
                <w:webHidden/>
                <w:sz w:val="20"/>
                <w:szCs w:val="20"/>
              </w:rPr>
              <w:fldChar w:fldCharType="separate"/>
            </w:r>
            <w:r w:rsidR="007462DD">
              <w:rPr>
                <w:noProof/>
                <w:webHidden/>
                <w:sz w:val="20"/>
                <w:szCs w:val="20"/>
              </w:rPr>
              <w:t>2</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09" w:history="1">
            <w:r w:rsidRPr="0034357D">
              <w:rPr>
                <w:rStyle w:val="Hipervnculo"/>
                <w:noProof/>
                <w:sz w:val="20"/>
                <w:szCs w:val="20"/>
              </w:rPr>
              <w:t>II.2 Delimitación de las obligaciones de publicidad activa aplicables.</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_Toc113366609 \h </w:instrText>
            </w:r>
            <w:r w:rsidRPr="0034357D">
              <w:rPr>
                <w:noProof/>
                <w:webHidden/>
                <w:sz w:val="20"/>
                <w:szCs w:val="20"/>
              </w:rPr>
            </w:r>
            <w:r w:rsidRPr="0034357D">
              <w:rPr>
                <w:noProof/>
                <w:webHidden/>
                <w:sz w:val="20"/>
                <w:szCs w:val="20"/>
              </w:rPr>
              <w:fldChar w:fldCharType="separate"/>
            </w:r>
            <w:r w:rsidR="007462DD">
              <w:rPr>
                <w:noProof/>
                <w:webHidden/>
                <w:sz w:val="20"/>
                <w:szCs w:val="20"/>
              </w:rPr>
              <w:t>5</w:t>
            </w:r>
            <w:r w:rsidRPr="0034357D">
              <w:rPr>
                <w:noProof/>
                <w:webHidden/>
                <w:sz w:val="20"/>
                <w:szCs w:val="20"/>
              </w:rPr>
              <w:fldChar w:fldCharType="end"/>
            </w:r>
          </w:hyperlink>
        </w:p>
        <w:p w:rsidR="0034357D" w:rsidRPr="0034357D" w:rsidRDefault="0034357D">
          <w:pPr>
            <w:pStyle w:val="TDC1"/>
            <w:tabs>
              <w:tab w:val="right" w:pos="9061"/>
            </w:tabs>
            <w:rPr>
              <w:rFonts w:asciiTheme="minorHAnsi" w:hAnsiTheme="minorHAnsi"/>
              <w:noProof/>
              <w:sz w:val="20"/>
              <w:szCs w:val="20"/>
            </w:rPr>
          </w:pPr>
          <w:hyperlink w:anchor="_Toc113366610" w:history="1">
            <w:r w:rsidRPr="0034357D">
              <w:rPr>
                <w:rStyle w:val="Hipervnculo"/>
                <w:noProof/>
                <w:sz w:val="20"/>
                <w:szCs w:val="20"/>
              </w:rPr>
              <w:t>III. Evaluación del cumplimiento de las obligaciones de publicidad activa por parte de las entidades del Sector Público Institucional.</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_Toc113366610 \h </w:instrText>
            </w:r>
            <w:r w:rsidRPr="0034357D">
              <w:rPr>
                <w:noProof/>
                <w:webHidden/>
                <w:sz w:val="20"/>
                <w:szCs w:val="20"/>
              </w:rPr>
            </w:r>
            <w:r w:rsidRPr="0034357D">
              <w:rPr>
                <w:noProof/>
                <w:webHidden/>
                <w:sz w:val="20"/>
                <w:szCs w:val="20"/>
              </w:rPr>
              <w:fldChar w:fldCharType="separate"/>
            </w:r>
            <w:r w:rsidR="007462DD">
              <w:rPr>
                <w:noProof/>
                <w:webHidden/>
                <w:sz w:val="20"/>
                <w:szCs w:val="20"/>
              </w:rPr>
              <w:t>6</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11" w:history="1">
            <w:r w:rsidRPr="0034357D">
              <w:rPr>
                <w:rStyle w:val="Hipervnculo"/>
                <w:noProof/>
                <w:sz w:val="20"/>
                <w:szCs w:val="20"/>
              </w:rPr>
              <w:t>III.1 Localización y estructuración de la información</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_Toc113366611 \h </w:instrText>
            </w:r>
            <w:r w:rsidRPr="0034357D">
              <w:rPr>
                <w:noProof/>
                <w:webHidden/>
                <w:sz w:val="20"/>
                <w:szCs w:val="20"/>
              </w:rPr>
            </w:r>
            <w:r w:rsidRPr="0034357D">
              <w:rPr>
                <w:noProof/>
                <w:webHidden/>
                <w:sz w:val="20"/>
                <w:szCs w:val="20"/>
              </w:rPr>
              <w:fldChar w:fldCharType="separate"/>
            </w:r>
            <w:r w:rsidR="007462DD">
              <w:rPr>
                <w:noProof/>
                <w:webHidden/>
                <w:sz w:val="20"/>
                <w:szCs w:val="20"/>
              </w:rPr>
              <w:t>6</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12" w:history="1">
            <w:r w:rsidRPr="0034357D">
              <w:rPr>
                <w:rStyle w:val="Hipervnculo"/>
                <w:noProof/>
                <w:sz w:val="20"/>
                <w:szCs w:val="20"/>
              </w:rPr>
              <w:t>III.3. Cumplimiento de las obligaciones de publicidad activa</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_Toc113366612 \h </w:instrText>
            </w:r>
            <w:r w:rsidRPr="0034357D">
              <w:rPr>
                <w:noProof/>
                <w:webHidden/>
                <w:sz w:val="20"/>
                <w:szCs w:val="20"/>
              </w:rPr>
            </w:r>
            <w:r w:rsidRPr="0034357D">
              <w:rPr>
                <w:noProof/>
                <w:webHidden/>
                <w:sz w:val="20"/>
                <w:szCs w:val="20"/>
              </w:rPr>
              <w:fldChar w:fldCharType="separate"/>
            </w:r>
            <w:r w:rsidR="007462DD">
              <w:rPr>
                <w:noProof/>
                <w:webHidden/>
                <w:sz w:val="20"/>
                <w:szCs w:val="20"/>
              </w:rPr>
              <w:t>7</w:t>
            </w:r>
            <w:r w:rsidRPr="0034357D">
              <w:rPr>
                <w:noProof/>
                <w:webHidden/>
                <w:sz w:val="20"/>
                <w:szCs w:val="20"/>
              </w:rPr>
              <w:fldChar w:fldCharType="end"/>
            </w:r>
          </w:hyperlink>
        </w:p>
        <w:p w:rsidR="0034357D" w:rsidRPr="0034357D" w:rsidRDefault="0034357D">
          <w:pPr>
            <w:pStyle w:val="TDC3"/>
            <w:tabs>
              <w:tab w:val="right" w:pos="9061"/>
            </w:tabs>
            <w:rPr>
              <w:rFonts w:asciiTheme="minorHAnsi" w:eastAsiaTheme="minorEastAsia" w:hAnsiTheme="minorHAnsi"/>
              <w:noProof/>
              <w:sz w:val="20"/>
            </w:rPr>
          </w:pPr>
          <w:hyperlink w:anchor="_Toc113366613" w:history="1">
            <w:r w:rsidRPr="0034357D">
              <w:rPr>
                <w:rStyle w:val="Hipervnculo"/>
                <w:noProof/>
                <w:sz w:val="20"/>
              </w:rPr>
              <w:t>III.3.1 Grado de aplicación de las recomendaciones derivadas de la evaluación 2021.</w:t>
            </w:r>
            <w:r w:rsidRPr="0034357D">
              <w:rPr>
                <w:noProof/>
                <w:webHidden/>
                <w:sz w:val="20"/>
              </w:rPr>
              <w:tab/>
            </w:r>
            <w:r w:rsidRPr="0034357D">
              <w:rPr>
                <w:noProof/>
                <w:webHidden/>
                <w:sz w:val="20"/>
              </w:rPr>
              <w:fldChar w:fldCharType="begin"/>
            </w:r>
            <w:r w:rsidRPr="0034357D">
              <w:rPr>
                <w:noProof/>
                <w:webHidden/>
                <w:sz w:val="20"/>
              </w:rPr>
              <w:instrText xml:space="preserve"> PAGEREF _Toc113366613 \h </w:instrText>
            </w:r>
            <w:r w:rsidRPr="0034357D">
              <w:rPr>
                <w:noProof/>
                <w:webHidden/>
                <w:sz w:val="20"/>
              </w:rPr>
            </w:r>
            <w:r w:rsidRPr="0034357D">
              <w:rPr>
                <w:noProof/>
                <w:webHidden/>
                <w:sz w:val="20"/>
              </w:rPr>
              <w:fldChar w:fldCharType="separate"/>
            </w:r>
            <w:r w:rsidR="007462DD">
              <w:rPr>
                <w:noProof/>
                <w:webHidden/>
                <w:sz w:val="20"/>
              </w:rPr>
              <w:t>7</w:t>
            </w:r>
            <w:r w:rsidRPr="0034357D">
              <w:rPr>
                <w:noProof/>
                <w:webHidden/>
                <w:sz w:val="20"/>
              </w:rPr>
              <w:fldChar w:fldCharType="end"/>
            </w:r>
          </w:hyperlink>
        </w:p>
        <w:p w:rsidR="0034357D" w:rsidRPr="0034357D" w:rsidRDefault="0034357D">
          <w:pPr>
            <w:pStyle w:val="TDC3"/>
            <w:tabs>
              <w:tab w:val="right" w:pos="9061"/>
            </w:tabs>
            <w:rPr>
              <w:rFonts w:asciiTheme="minorHAnsi" w:eastAsiaTheme="minorEastAsia" w:hAnsiTheme="minorHAnsi"/>
              <w:noProof/>
              <w:sz w:val="20"/>
            </w:rPr>
          </w:pPr>
          <w:hyperlink w:anchor="_Toc113366614" w:history="1">
            <w:r w:rsidRPr="0034357D">
              <w:rPr>
                <w:rStyle w:val="Hipervnculo"/>
                <w:noProof/>
                <w:sz w:val="20"/>
              </w:rPr>
              <w:t>III.3.2.  Información Institucional, Organizativa y de Planificación</w:t>
            </w:r>
            <w:r w:rsidRPr="0034357D">
              <w:rPr>
                <w:noProof/>
                <w:webHidden/>
                <w:sz w:val="20"/>
              </w:rPr>
              <w:tab/>
            </w:r>
            <w:r w:rsidRPr="0034357D">
              <w:rPr>
                <w:noProof/>
                <w:webHidden/>
                <w:sz w:val="20"/>
              </w:rPr>
              <w:fldChar w:fldCharType="begin"/>
            </w:r>
            <w:r w:rsidRPr="0034357D">
              <w:rPr>
                <w:noProof/>
                <w:webHidden/>
                <w:sz w:val="20"/>
              </w:rPr>
              <w:instrText xml:space="preserve"> PAGEREF _Toc113366614 \h </w:instrText>
            </w:r>
            <w:r w:rsidRPr="0034357D">
              <w:rPr>
                <w:noProof/>
                <w:webHidden/>
                <w:sz w:val="20"/>
              </w:rPr>
            </w:r>
            <w:r w:rsidRPr="0034357D">
              <w:rPr>
                <w:noProof/>
                <w:webHidden/>
                <w:sz w:val="20"/>
              </w:rPr>
              <w:fldChar w:fldCharType="separate"/>
            </w:r>
            <w:r w:rsidR="007462DD">
              <w:rPr>
                <w:noProof/>
                <w:webHidden/>
                <w:sz w:val="20"/>
              </w:rPr>
              <w:t>8</w:t>
            </w:r>
            <w:r w:rsidRPr="0034357D">
              <w:rPr>
                <w:noProof/>
                <w:webHidden/>
                <w:sz w:val="20"/>
              </w:rPr>
              <w:fldChar w:fldCharType="end"/>
            </w:r>
          </w:hyperlink>
        </w:p>
        <w:p w:rsidR="0034357D" w:rsidRPr="0034357D" w:rsidRDefault="0034357D">
          <w:pPr>
            <w:pStyle w:val="TDC3"/>
            <w:tabs>
              <w:tab w:val="right" w:pos="9061"/>
            </w:tabs>
            <w:rPr>
              <w:rFonts w:asciiTheme="minorHAnsi" w:eastAsiaTheme="minorEastAsia" w:hAnsiTheme="minorHAnsi"/>
              <w:noProof/>
              <w:sz w:val="20"/>
            </w:rPr>
          </w:pPr>
          <w:hyperlink w:anchor="_Toc113366615" w:history="1">
            <w:r w:rsidRPr="0034357D">
              <w:rPr>
                <w:rStyle w:val="Hipervnculo"/>
                <w:noProof/>
                <w:sz w:val="20"/>
              </w:rPr>
              <w:t>III.3.2. Información de Relevancia Jurídica</w:t>
            </w:r>
            <w:r w:rsidRPr="0034357D">
              <w:rPr>
                <w:noProof/>
                <w:webHidden/>
                <w:sz w:val="20"/>
              </w:rPr>
              <w:tab/>
            </w:r>
            <w:r w:rsidRPr="0034357D">
              <w:rPr>
                <w:noProof/>
                <w:webHidden/>
                <w:sz w:val="20"/>
              </w:rPr>
              <w:fldChar w:fldCharType="begin"/>
            </w:r>
            <w:r w:rsidRPr="0034357D">
              <w:rPr>
                <w:noProof/>
                <w:webHidden/>
                <w:sz w:val="20"/>
              </w:rPr>
              <w:instrText xml:space="preserve"> PAGEREF _Toc113366615 \h </w:instrText>
            </w:r>
            <w:r w:rsidRPr="0034357D">
              <w:rPr>
                <w:noProof/>
                <w:webHidden/>
                <w:sz w:val="20"/>
              </w:rPr>
            </w:r>
            <w:r w:rsidRPr="0034357D">
              <w:rPr>
                <w:noProof/>
                <w:webHidden/>
                <w:sz w:val="20"/>
              </w:rPr>
              <w:fldChar w:fldCharType="separate"/>
            </w:r>
            <w:r w:rsidR="007462DD">
              <w:rPr>
                <w:noProof/>
                <w:webHidden/>
                <w:sz w:val="20"/>
              </w:rPr>
              <w:t>11</w:t>
            </w:r>
            <w:r w:rsidRPr="0034357D">
              <w:rPr>
                <w:noProof/>
                <w:webHidden/>
                <w:sz w:val="20"/>
              </w:rPr>
              <w:fldChar w:fldCharType="end"/>
            </w:r>
          </w:hyperlink>
        </w:p>
        <w:p w:rsidR="0034357D" w:rsidRPr="0034357D" w:rsidRDefault="0034357D">
          <w:pPr>
            <w:pStyle w:val="TDC3"/>
            <w:tabs>
              <w:tab w:val="right" w:pos="9061"/>
            </w:tabs>
            <w:rPr>
              <w:rFonts w:asciiTheme="minorHAnsi" w:eastAsiaTheme="minorEastAsia" w:hAnsiTheme="minorHAnsi"/>
              <w:noProof/>
              <w:sz w:val="20"/>
            </w:rPr>
          </w:pPr>
          <w:hyperlink w:anchor="_Toc113366616" w:history="1">
            <w:r w:rsidRPr="0034357D">
              <w:rPr>
                <w:rStyle w:val="Hipervnculo"/>
                <w:noProof/>
                <w:sz w:val="20"/>
              </w:rPr>
              <w:t>III.3.3.  Información Económica, Presupuestaria y Estadística</w:t>
            </w:r>
            <w:r w:rsidRPr="0034357D">
              <w:rPr>
                <w:noProof/>
                <w:webHidden/>
                <w:sz w:val="20"/>
              </w:rPr>
              <w:tab/>
            </w:r>
            <w:r w:rsidRPr="0034357D">
              <w:rPr>
                <w:noProof/>
                <w:webHidden/>
                <w:sz w:val="20"/>
              </w:rPr>
              <w:fldChar w:fldCharType="begin"/>
            </w:r>
            <w:r w:rsidRPr="0034357D">
              <w:rPr>
                <w:noProof/>
                <w:webHidden/>
                <w:sz w:val="20"/>
              </w:rPr>
              <w:instrText xml:space="preserve"> PAGEREF _Toc113366616 \h </w:instrText>
            </w:r>
            <w:r w:rsidRPr="0034357D">
              <w:rPr>
                <w:noProof/>
                <w:webHidden/>
                <w:sz w:val="20"/>
              </w:rPr>
            </w:r>
            <w:r w:rsidRPr="0034357D">
              <w:rPr>
                <w:noProof/>
                <w:webHidden/>
                <w:sz w:val="20"/>
              </w:rPr>
              <w:fldChar w:fldCharType="separate"/>
            </w:r>
            <w:r w:rsidR="007462DD">
              <w:rPr>
                <w:noProof/>
                <w:webHidden/>
                <w:sz w:val="20"/>
              </w:rPr>
              <w:t>12</w:t>
            </w:r>
            <w:r w:rsidRPr="0034357D">
              <w:rPr>
                <w:noProof/>
                <w:webHidden/>
                <w:sz w:val="20"/>
              </w:rPr>
              <w:fldChar w:fldCharType="end"/>
            </w:r>
          </w:hyperlink>
        </w:p>
        <w:p w:rsidR="0034357D" w:rsidRPr="0034357D" w:rsidRDefault="0034357D">
          <w:pPr>
            <w:pStyle w:val="TDC3"/>
            <w:tabs>
              <w:tab w:val="right" w:pos="9061"/>
            </w:tabs>
            <w:rPr>
              <w:rFonts w:asciiTheme="minorHAnsi" w:eastAsiaTheme="minorEastAsia" w:hAnsiTheme="minorHAnsi"/>
              <w:noProof/>
              <w:sz w:val="20"/>
            </w:rPr>
          </w:pPr>
          <w:hyperlink w:anchor="_Toc113366618" w:history="1">
            <w:r w:rsidRPr="0034357D">
              <w:rPr>
                <w:rStyle w:val="Hipervnculo"/>
                <w:noProof/>
                <w:sz w:val="20"/>
              </w:rPr>
              <w:t>III.3.4.  Información Patrimonial</w:t>
            </w:r>
            <w:r w:rsidRPr="0034357D">
              <w:rPr>
                <w:noProof/>
                <w:webHidden/>
                <w:sz w:val="20"/>
              </w:rPr>
              <w:tab/>
            </w:r>
            <w:r w:rsidRPr="0034357D">
              <w:rPr>
                <w:noProof/>
                <w:webHidden/>
                <w:sz w:val="20"/>
              </w:rPr>
              <w:fldChar w:fldCharType="begin"/>
            </w:r>
            <w:r w:rsidRPr="0034357D">
              <w:rPr>
                <w:noProof/>
                <w:webHidden/>
                <w:sz w:val="20"/>
              </w:rPr>
              <w:instrText xml:space="preserve"> PAGEREF _Toc113366618 \h </w:instrText>
            </w:r>
            <w:r w:rsidRPr="0034357D">
              <w:rPr>
                <w:noProof/>
                <w:webHidden/>
                <w:sz w:val="20"/>
              </w:rPr>
            </w:r>
            <w:r w:rsidRPr="0034357D">
              <w:rPr>
                <w:noProof/>
                <w:webHidden/>
                <w:sz w:val="20"/>
              </w:rPr>
              <w:fldChar w:fldCharType="separate"/>
            </w:r>
            <w:r w:rsidR="007462DD">
              <w:rPr>
                <w:noProof/>
                <w:webHidden/>
                <w:sz w:val="20"/>
              </w:rPr>
              <w:t>15</w:t>
            </w:r>
            <w:r w:rsidRPr="0034357D">
              <w:rPr>
                <w:noProof/>
                <w:webHidden/>
                <w:sz w:val="20"/>
              </w:rPr>
              <w:fldChar w:fldCharType="end"/>
            </w:r>
          </w:hyperlink>
        </w:p>
        <w:p w:rsidR="0034357D" w:rsidRPr="0034357D" w:rsidRDefault="0034357D">
          <w:pPr>
            <w:pStyle w:val="TDC3"/>
            <w:tabs>
              <w:tab w:val="right" w:pos="9061"/>
            </w:tabs>
            <w:rPr>
              <w:rFonts w:asciiTheme="minorHAnsi" w:eastAsiaTheme="minorEastAsia" w:hAnsiTheme="minorHAnsi"/>
              <w:noProof/>
              <w:sz w:val="20"/>
            </w:rPr>
          </w:pPr>
          <w:hyperlink w:anchor="_Toc113366619" w:history="1">
            <w:r w:rsidRPr="0034357D">
              <w:rPr>
                <w:rStyle w:val="Hipervnculo"/>
                <w:noProof/>
                <w:sz w:val="20"/>
              </w:rPr>
              <w:t>III.3.5. Índice de Cumplimiento de la Información Obligatoria (ICIO)</w:t>
            </w:r>
            <w:r w:rsidRPr="0034357D">
              <w:rPr>
                <w:noProof/>
                <w:webHidden/>
                <w:sz w:val="20"/>
              </w:rPr>
              <w:tab/>
            </w:r>
            <w:r w:rsidRPr="0034357D">
              <w:rPr>
                <w:noProof/>
                <w:webHidden/>
                <w:sz w:val="20"/>
              </w:rPr>
              <w:fldChar w:fldCharType="begin"/>
            </w:r>
            <w:r w:rsidRPr="0034357D">
              <w:rPr>
                <w:noProof/>
                <w:webHidden/>
                <w:sz w:val="20"/>
              </w:rPr>
              <w:instrText xml:space="preserve"> PAGEREF _Toc113366619 \h </w:instrText>
            </w:r>
            <w:r w:rsidRPr="0034357D">
              <w:rPr>
                <w:noProof/>
                <w:webHidden/>
                <w:sz w:val="20"/>
              </w:rPr>
            </w:r>
            <w:r w:rsidRPr="0034357D">
              <w:rPr>
                <w:noProof/>
                <w:webHidden/>
                <w:sz w:val="20"/>
              </w:rPr>
              <w:fldChar w:fldCharType="separate"/>
            </w:r>
            <w:r w:rsidR="007462DD">
              <w:rPr>
                <w:noProof/>
                <w:webHidden/>
                <w:sz w:val="20"/>
              </w:rPr>
              <w:t>16</w:t>
            </w:r>
            <w:r w:rsidRPr="0034357D">
              <w:rPr>
                <w:noProof/>
                <w:webHidden/>
                <w:sz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22" w:history="1">
            <w:r w:rsidRPr="0034357D">
              <w:rPr>
                <w:rStyle w:val="Hipervnculo"/>
                <w:noProof/>
                <w:sz w:val="20"/>
                <w:szCs w:val="20"/>
              </w:rPr>
              <w:t>III.4. Transparencia Voluntaria  y Buenas  Prácticas</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_Toc113366622 \h </w:instrText>
            </w:r>
            <w:r w:rsidRPr="0034357D">
              <w:rPr>
                <w:noProof/>
                <w:webHidden/>
                <w:sz w:val="20"/>
                <w:szCs w:val="20"/>
              </w:rPr>
            </w:r>
            <w:r w:rsidRPr="0034357D">
              <w:rPr>
                <w:noProof/>
                <w:webHidden/>
                <w:sz w:val="20"/>
                <w:szCs w:val="20"/>
              </w:rPr>
              <w:fldChar w:fldCharType="separate"/>
            </w:r>
            <w:r w:rsidR="007462DD">
              <w:rPr>
                <w:noProof/>
                <w:webHidden/>
                <w:sz w:val="20"/>
                <w:szCs w:val="20"/>
              </w:rPr>
              <w:t>20</w:t>
            </w:r>
            <w:r w:rsidRPr="0034357D">
              <w:rPr>
                <w:noProof/>
                <w:webHidden/>
                <w:sz w:val="20"/>
                <w:szCs w:val="20"/>
              </w:rPr>
              <w:fldChar w:fldCharType="end"/>
            </w:r>
          </w:hyperlink>
        </w:p>
        <w:p w:rsidR="0034357D" w:rsidRPr="0034357D" w:rsidRDefault="0034357D">
          <w:pPr>
            <w:pStyle w:val="TDC1"/>
            <w:tabs>
              <w:tab w:val="right" w:pos="9061"/>
            </w:tabs>
            <w:rPr>
              <w:rFonts w:asciiTheme="minorHAnsi" w:hAnsiTheme="minorHAnsi"/>
              <w:noProof/>
              <w:sz w:val="20"/>
              <w:szCs w:val="20"/>
            </w:rPr>
          </w:pPr>
          <w:hyperlink w:anchor="_Toc113366623" w:history="1">
            <w:r w:rsidRPr="0034357D">
              <w:rPr>
                <w:rStyle w:val="Hipervnculo"/>
                <w:noProof/>
                <w:sz w:val="20"/>
                <w:szCs w:val="20"/>
              </w:rPr>
              <w:t>IV. Evaluación de la gestión de las solicitudes de acceso a la información pública</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_Toc113366623 \h </w:instrText>
            </w:r>
            <w:r w:rsidRPr="0034357D">
              <w:rPr>
                <w:noProof/>
                <w:webHidden/>
                <w:sz w:val="20"/>
                <w:szCs w:val="20"/>
              </w:rPr>
            </w:r>
            <w:r w:rsidRPr="0034357D">
              <w:rPr>
                <w:noProof/>
                <w:webHidden/>
                <w:sz w:val="20"/>
                <w:szCs w:val="20"/>
              </w:rPr>
              <w:fldChar w:fldCharType="separate"/>
            </w:r>
            <w:r w:rsidR="007462DD">
              <w:rPr>
                <w:noProof/>
                <w:webHidden/>
                <w:sz w:val="20"/>
                <w:szCs w:val="20"/>
              </w:rPr>
              <w:t>22</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24" w:history="1">
            <w:r w:rsidRPr="0034357D">
              <w:rPr>
                <w:rStyle w:val="Hipervnculo"/>
                <w:noProof/>
                <w:sz w:val="20"/>
                <w:szCs w:val="20"/>
              </w:rPr>
              <w:t>IV.1 Recursos disponibles para la tramitación de las solicitudes de acceso a información pública</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_Toc113366624 \h </w:instrText>
            </w:r>
            <w:r w:rsidRPr="0034357D">
              <w:rPr>
                <w:noProof/>
                <w:webHidden/>
                <w:sz w:val="20"/>
                <w:szCs w:val="20"/>
              </w:rPr>
            </w:r>
            <w:r w:rsidRPr="0034357D">
              <w:rPr>
                <w:noProof/>
                <w:webHidden/>
                <w:sz w:val="20"/>
                <w:szCs w:val="20"/>
              </w:rPr>
              <w:fldChar w:fldCharType="separate"/>
            </w:r>
            <w:r w:rsidR="007462DD">
              <w:rPr>
                <w:noProof/>
                <w:webHidden/>
                <w:sz w:val="20"/>
                <w:szCs w:val="20"/>
              </w:rPr>
              <w:t>22</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25" w:history="1">
            <w:r w:rsidRPr="0034357D">
              <w:rPr>
                <w:rStyle w:val="Hipervnculo"/>
                <w:noProof/>
                <w:sz w:val="20"/>
                <w:szCs w:val="20"/>
              </w:rPr>
              <w:t>IV.2 Actividad generada en 2021 por las solicitudes de acceso a información pública</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_Toc113366625 \h </w:instrText>
            </w:r>
            <w:r w:rsidRPr="0034357D">
              <w:rPr>
                <w:noProof/>
                <w:webHidden/>
                <w:sz w:val="20"/>
                <w:szCs w:val="20"/>
              </w:rPr>
            </w:r>
            <w:r w:rsidRPr="0034357D">
              <w:rPr>
                <w:noProof/>
                <w:webHidden/>
                <w:sz w:val="20"/>
                <w:szCs w:val="20"/>
              </w:rPr>
              <w:fldChar w:fldCharType="separate"/>
            </w:r>
            <w:r w:rsidR="007462DD">
              <w:rPr>
                <w:noProof/>
                <w:webHidden/>
                <w:sz w:val="20"/>
                <w:szCs w:val="20"/>
              </w:rPr>
              <w:t>22</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27" w:history="1">
            <w:r w:rsidRPr="0034357D">
              <w:rPr>
                <w:rStyle w:val="Hipervnculo"/>
                <w:noProof/>
                <w:sz w:val="20"/>
                <w:szCs w:val="20"/>
              </w:rPr>
              <w:t>IV.3 Ejercicio del derecho de acceso a la información pública</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_Toc113366627 \h </w:instrText>
            </w:r>
            <w:r w:rsidRPr="0034357D">
              <w:rPr>
                <w:noProof/>
                <w:webHidden/>
                <w:sz w:val="20"/>
                <w:szCs w:val="20"/>
              </w:rPr>
            </w:r>
            <w:r w:rsidRPr="0034357D">
              <w:rPr>
                <w:noProof/>
                <w:webHidden/>
                <w:sz w:val="20"/>
                <w:szCs w:val="20"/>
              </w:rPr>
              <w:fldChar w:fldCharType="separate"/>
            </w:r>
            <w:r w:rsidR="007462DD">
              <w:rPr>
                <w:noProof/>
                <w:webHidden/>
                <w:sz w:val="20"/>
                <w:szCs w:val="20"/>
              </w:rPr>
              <w:t>25</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34" w:history="1">
            <w:r w:rsidRPr="0034357D">
              <w:rPr>
                <w:rStyle w:val="Hipervnculo"/>
                <w:noProof/>
                <w:sz w:val="20"/>
                <w:szCs w:val="20"/>
              </w:rPr>
              <w:t>IV.4 Reclamaciones ante el Consejo de Transparencia y Buen Gobierno</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_Toc113366634 \h </w:instrText>
            </w:r>
            <w:r w:rsidRPr="0034357D">
              <w:rPr>
                <w:noProof/>
                <w:webHidden/>
                <w:sz w:val="20"/>
                <w:szCs w:val="20"/>
              </w:rPr>
            </w:r>
            <w:r w:rsidRPr="0034357D">
              <w:rPr>
                <w:noProof/>
                <w:webHidden/>
                <w:sz w:val="20"/>
                <w:szCs w:val="20"/>
              </w:rPr>
              <w:fldChar w:fldCharType="separate"/>
            </w:r>
            <w:r w:rsidR="007462DD">
              <w:rPr>
                <w:noProof/>
                <w:webHidden/>
                <w:sz w:val="20"/>
                <w:szCs w:val="20"/>
              </w:rPr>
              <w:t>28</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35" w:history="1">
            <w:r w:rsidRPr="0034357D">
              <w:rPr>
                <w:rStyle w:val="Hipervnculo"/>
                <w:noProof/>
                <w:sz w:val="20"/>
                <w:szCs w:val="20"/>
              </w:rPr>
              <w:t>IV.5. Buenas Prácticas</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_Toc113366635 \h </w:instrText>
            </w:r>
            <w:r w:rsidRPr="0034357D">
              <w:rPr>
                <w:noProof/>
                <w:webHidden/>
                <w:sz w:val="20"/>
                <w:szCs w:val="20"/>
              </w:rPr>
            </w:r>
            <w:r w:rsidRPr="0034357D">
              <w:rPr>
                <w:noProof/>
                <w:webHidden/>
                <w:sz w:val="20"/>
                <w:szCs w:val="20"/>
              </w:rPr>
              <w:fldChar w:fldCharType="separate"/>
            </w:r>
            <w:r w:rsidR="007462DD">
              <w:rPr>
                <w:noProof/>
                <w:webHidden/>
                <w:sz w:val="20"/>
                <w:szCs w:val="20"/>
              </w:rPr>
              <w:t>29</w:t>
            </w:r>
            <w:r w:rsidRPr="0034357D">
              <w:rPr>
                <w:noProof/>
                <w:webHidden/>
                <w:sz w:val="20"/>
                <w:szCs w:val="20"/>
              </w:rPr>
              <w:fldChar w:fldCharType="end"/>
            </w:r>
          </w:hyperlink>
        </w:p>
        <w:p w:rsidR="0034357D" w:rsidRPr="0034357D" w:rsidRDefault="0034357D">
          <w:pPr>
            <w:pStyle w:val="TDC1"/>
            <w:tabs>
              <w:tab w:val="left" w:pos="660"/>
              <w:tab w:val="right" w:pos="9061"/>
            </w:tabs>
            <w:rPr>
              <w:rFonts w:asciiTheme="minorHAnsi" w:hAnsiTheme="minorHAnsi"/>
              <w:noProof/>
              <w:sz w:val="20"/>
              <w:szCs w:val="20"/>
            </w:rPr>
          </w:pPr>
          <w:hyperlink w:anchor="_Toc113366637" w:history="1">
            <w:r w:rsidRPr="0034357D">
              <w:rPr>
                <w:rStyle w:val="Hipervnculo"/>
                <w:noProof/>
                <w:sz w:val="20"/>
                <w:szCs w:val="20"/>
              </w:rPr>
              <w:t>V.</w:t>
            </w:r>
            <w:r w:rsidRPr="0034357D">
              <w:rPr>
                <w:rFonts w:asciiTheme="minorHAnsi" w:hAnsiTheme="minorHAnsi"/>
                <w:noProof/>
                <w:sz w:val="20"/>
                <w:szCs w:val="20"/>
              </w:rPr>
              <w:tab/>
            </w:r>
            <w:r w:rsidRPr="0034357D">
              <w:rPr>
                <w:rStyle w:val="Hipervnculo"/>
                <w:noProof/>
                <w:sz w:val="20"/>
                <w:szCs w:val="20"/>
              </w:rPr>
              <w:t>Conclusiones y Recomendaciones</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_Toc113366637 \h </w:instrText>
            </w:r>
            <w:r w:rsidRPr="0034357D">
              <w:rPr>
                <w:noProof/>
                <w:webHidden/>
                <w:sz w:val="20"/>
                <w:szCs w:val="20"/>
              </w:rPr>
            </w:r>
            <w:r w:rsidRPr="0034357D">
              <w:rPr>
                <w:noProof/>
                <w:webHidden/>
                <w:sz w:val="20"/>
                <w:szCs w:val="20"/>
              </w:rPr>
              <w:fldChar w:fldCharType="separate"/>
            </w:r>
            <w:r w:rsidR="007462DD">
              <w:rPr>
                <w:noProof/>
                <w:webHidden/>
                <w:sz w:val="20"/>
                <w:szCs w:val="20"/>
              </w:rPr>
              <w:t>30</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38" w:history="1">
            <w:r w:rsidRPr="0034357D">
              <w:rPr>
                <w:rStyle w:val="Hipervnculo"/>
                <w:noProof/>
                <w:sz w:val="20"/>
                <w:szCs w:val="20"/>
              </w:rPr>
              <w:t>V.1 En materia de publicidad activa</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_Toc113366638 \h </w:instrText>
            </w:r>
            <w:r w:rsidRPr="0034357D">
              <w:rPr>
                <w:noProof/>
                <w:webHidden/>
                <w:sz w:val="20"/>
                <w:szCs w:val="20"/>
              </w:rPr>
            </w:r>
            <w:r w:rsidRPr="0034357D">
              <w:rPr>
                <w:noProof/>
                <w:webHidden/>
                <w:sz w:val="20"/>
                <w:szCs w:val="20"/>
              </w:rPr>
              <w:fldChar w:fldCharType="separate"/>
            </w:r>
            <w:r w:rsidR="007462DD">
              <w:rPr>
                <w:noProof/>
                <w:webHidden/>
                <w:sz w:val="20"/>
                <w:szCs w:val="20"/>
              </w:rPr>
              <w:t>30</w:t>
            </w:r>
            <w:r w:rsidRPr="0034357D">
              <w:rPr>
                <w:noProof/>
                <w:webHidden/>
                <w:sz w:val="20"/>
                <w:szCs w:val="20"/>
              </w:rPr>
              <w:fldChar w:fldCharType="end"/>
            </w:r>
          </w:hyperlink>
        </w:p>
        <w:p w:rsidR="0034357D" w:rsidRPr="0034357D" w:rsidRDefault="0034357D">
          <w:pPr>
            <w:pStyle w:val="TDC2"/>
            <w:tabs>
              <w:tab w:val="right" w:pos="9061"/>
            </w:tabs>
            <w:rPr>
              <w:rFonts w:asciiTheme="minorHAnsi" w:hAnsiTheme="minorHAnsi"/>
              <w:noProof/>
              <w:sz w:val="20"/>
              <w:szCs w:val="20"/>
            </w:rPr>
          </w:pPr>
          <w:hyperlink w:anchor="_Toc113366639" w:history="1">
            <w:r w:rsidRPr="0034357D">
              <w:rPr>
                <w:rStyle w:val="Hipervnculo"/>
                <w:noProof/>
                <w:sz w:val="20"/>
                <w:szCs w:val="20"/>
              </w:rPr>
              <w:t>V.2. En materia de derecho de acceso.</w:t>
            </w:r>
            <w:r w:rsidRPr="0034357D">
              <w:rPr>
                <w:noProof/>
                <w:webHidden/>
                <w:sz w:val="20"/>
                <w:szCs w:val="20"/>
              </w:rPr>
              <w:tab/>
            </w:r>
            <w:r w:rsidRPr="0034357D">
              <w:rPr>
                <w:noProof/>
                <w:webHidden/>
                <w:sz w:val="20"/>
                <w:szCs w:val="20"/>
              </w:rPr>
              <w:fldChar w:fldCharType="begin"/>
            </w:r>
            <w:r w:rsidRPr="0034357D">
              <w:rPr>
                <w:noProof/>
                <w:webHidden/>
                <w:sz w:val="20"/>
                <w:szCs w:val="20"/>
              </w:rPr>
              <w:instrText xml:space="preserve"> PAGEREF _Toc113366639 \h </w:instrText>
            </w:r>
            <w:r w:rsidRPr="0034357D">
              <w:rPr>
                <w:noProof/>
                <w:webHidden/>
                <w:sz w:val="20"/>
                <w:szCs w:val="20"/>
              </w:rPr>
            </w:r>
            <w:r w:rsidRPr="0034357D">
              <w:rPr>
                <w:noProof/>
                <w:webHidden/>
                <w:sz w:val="20"/>
                <w:szCs w:val="20"/>
              </w:rPr>
              <w:fldChar w:fldCharType="separate"/>
            </w:r>
            <w:r w:rsidR="007462DD">
              <w:rPr>
                <w:noProof/>
                <w:webHidden/>
                <w:sz w:val="20"/>
                <w:szCs w:val="20"/>
              </w:rPr>
              <w:t>35</w:t>
            </w:r>
            <w:r w:rsidRPr="0034357D">
              <w:rPr>
                <w:noProof/>
                <w:webHidden/>
                <w:sz w:val="20"/>
                <w:szCs w:val="20"/>
              </w:rPr>
              <w:fldChar w:fldCharType="end"/>
            </w:r>
          </w:hyperlink>
        </w:p>
        <w:p w:rsidR="00E924EF" w:rsidRPr="00E719EF" w:rsidRDefault="00E924EF">
          <w:pPr>
            <w:rPr>
              <w:sz w:val="18"/>
              <w:szCs w:val="18"/>
            </w:rPr>
          </w:pPr>
          <w:r w:rsidRPr="0034357D">
            <w:rPr>
              <w:b/>
              <w:bCs/>
              <w:sz w:val="20"/>
            </w:rPr>
            <w:fldChar w:fldCharType="end"/>
          </w:r>
        </w:p>
      </w:sdtContent>
    </w:sdt>
    <w:p w:rsidR="00743995" w:rsidRDefault="00E924EF" w:rsidP="0026153E">
      <w:pPr>
        <w:pStyle w:val="Ttulo1"/>
        <w:numPr>
          <w:ilvl w:val="0"/>
          <w:numId w:val="48"/>
        </w:numPr>
      </w:pPr>
      <w:r w:rsidRPr="00E719EF">
        <w:rPr>
          <w:sz w:val="18"/>
          <w:szCs w:val="18"/>
        </w:rPr>
        <w:br w:type="page"/>
      </w:r>
      <w:bookmarkStart w:id="0" w:name="_Toc113366606"/>
      <w:r w:rsidR="005F586A">
        <w:lastRenderedPageBreak/>
        <w:t>Introducción</w:t>
      </w:r>
      <w:bookmarkEnd w:id="0"/>
    </w:p>
    <w:p w:rsidR="00743995" w:rsidRDefault="00743995"/>
    <w:p w:rsidR="00341355" w:rsidRDefault="00341355" w:rsidP="00341355">
      <w:r>
        <w:t>El presente informe recoge los resultados agregados de la evaluación del cumplimiento de las obligaciones de publicidad activa y de la gestión de las solicitudes de acceso a la información pública</w:t>
      </w:r>
      <w:r w:rsidR="00746B31">
        <w:t>,</w:t>
      </w:r>
      <w:r>
        <w:t xml:space="preserve"> correspondientes a </w:t>
      </w:r>
      <w:r w:rsidR="00473D85">
        <w:t>diferentes entidades integrantes del Sector Público Institucional Estatal</w:t>
      </w:r>
      <w:r>
        <w:t>.</w:t>
      </w:r>
    </w:p>
    <w:p w:rsidR="00341355" w:rsidRDefault="00341355" w:rsidP="00D74601">
      <w:r>
        <w:t>Para la evaluación del cumplimiento de las obligaciones de publicidad activa se ha aplicado la metodología MESTA desarrollada conjuntamente por el CTBG y la extinguida AEVAL. Se ha analizado el grado de publicación de contenidos obligatorios</w:t>
      </w:r>
      <w:r w:rsidR="00746B31">
        <w:t>,</w:t>
      </w:r>
      <w:r>
        <w:t xml:space="preserve"> así como el cumplimiento de los criterios en cuanto a la forma de publicación y de los atributos de calidad aplicables a la información publicada que establece la LTAIBG</w:t>
      </w:r>
      <w:r w:rsidR="007462DD">
        <w:t>. Para ello,</w:t>
      </w:r>
      <w:r w:rsidR="00342EA2">
        <w:t xml:space="preserve"> </w:t>
      </w:r>
      <w:r w:rsidR="007462DD">
        <w:t>se ha efectuado</w:t>
      </w:r>
      <w:r w:rsidR="00342EA2">
        <w:t xml:space="preserve"> una revisión en profundidad de los portales de transparencia y/o las webs institucionales de las entidades seleccionadas</w:t>
      </w:r>
      <w:r>
        <w:t xml:space="preserve">. </w:t>
      </w:r>
    </w:p>
    <w:p w:rsidR="00341355" w:rsidRDefault="00341355" w:rsidP="00341355">
      <w:r>
        <w:t>Para la evaluación de la gestión de las solicitudes de información pública, se ha</w:t>
      </w:r>
      <w:r w:rsidR="00FD588F">
        <w:t>n</w:t>
      </w:r>
      <w:r>
        <w:t xml:space="preserve"> utilizado </w:t>
      </w:r>
      <w:r w:rsidR="007462DD">
        <w:t>tres</w:t>
      </w:r>
      <w:r>
        <w:t xml:space="preserve"> herramientas: un análisis de la actividad generada por estas solicitudes a partir de la información proporcionada por las propias organizaciones</w:t>
      </w:r>
      <w:r w:rsidR="007462DD">
        <w:t>,</w:t>
      </w:r>
      <w:r>
        <w:t xml:space="preserve"> en segundo lugar, </w:t>
      </w:r>
      <w:r w:rsidR="007462DD">
        <w:t xml:space="preserve">un análisis de las webs institucionales para valorar la facilidad de acceso al ejercicio del derecho, y, finalmente, </w:t>
      </w:r>
      <w:r>
        <w:t xml:space="preserve">un análisis de la gestión concreta de las solicitudes aplicando la técnica del cliente misterioso, efectuando una solicitud de información – con el mismo contenido en todos los casos - a cada una de ellas.  </w:t>
      </w:r>
    </w:p>
    <w:p w:rsidR="005F586A" w:rsidRDefault="00341355">
      <w:r>
        <w:t>Tanto la evaluación del cumplimiento de las obligaciones de publicidad activa como de la gestión de las solicitudes de acceso a información pública se ha</w:t>
      </w:r>
      <w:r w:rsidR="00342EA2">
        <w:t>n</w:t>
      </w:r>
      <w:r>
        <w:t xml:space="preserve"> realizado con recursos propios del CTBG.</w:t>
      </w:r>
    </w:p>
    <w:p w:rsidR="0047212C" w:rsidRDefault="00077CDF" w:rsidP="00077CDF">
      <w:pPr>
        <w:pStyle w:val="Ttulo1"/>
      </w:pPr>
      <w:bookmarkStart w:id="1" w:name="_Toc113366607"/>
      <w:r>
        <w:t>I</w:t>
      </w:r>
      <w:r w:rsidR="0047212C">
        <w:t>I</w:t>
      </w:r>
      <w:r>
        <w:t>.</w:t>
      </w:r>
      <w:r w:rsidR="0047212C">
        <w:t xml:space="preserve"> Alcance de la evaluación.</w:t>
      </w:r>
      <w:bookmarkEnd w:id="1"/>
      <w:r w:rsidR="0047212C">
        <w:t xml:space="preserve"> </w:t>
      </w:r>
    </w:p>
    <w:p w:rsidR="00CE43A8" w:rsidRPr="00CE43A8" w:rsidRDefault="00CE43A8" w:rsidP="00CE43A8"/>
    <w:p w:rsidR="005F586A" w:rsidRDefault="005A1B1B" w:rsidP="00077CDF">
      <w:pPr>
        <w:pStyle w:val="Ttulo2"/>
      </w:pPr>
      <w:bookmarkStart w:id="2" w:name="_Toc113366608"/>
      <w:r w:rsidRPr="005A1B1B">
        <w:t>II.1 Entidades incluidas en este grupo de sujetos obligados</w:t>
      </w:r>
      <w:r w:rsidR="00BE7255">
        <w:t>.</w:t>
      </w:r>
      <w:bookmarkEnd w:id="2"/>
    </w:p>
    <w:p w:rsidR="00077CDF" w:rsidRDefault="00077CDF" w:rsidP="005F586A"/>
    <w:p w:rsidR="0047212C" w:rsidRDefault="00CE43A8" w:rsidP="005F586A">
      <w:r>
        <w:t>Las entidades integrantes de este grupo de sujetos obligados</w:t>
      </w:r>
      <w:r w:rsidR="00FB4BBF">
        <w:t>, seleccionadas a partir del INVENTE mediante muestreo aleatorio</w:t>
      </w:r>
      <w:r w:rsidR="00F30A2C">
        <w:t>,</w:t>
      </w:r>
      <w:r>
        <w:t xml:space="preserve"> son las siguientes:</w:t>
      </w:r>
    </w:p>
    <w:tbl>
      <w:tblPr>
        <w:tblStyle w:val="Listaclara-nfasis2"/>
        <w:tblW w:w="0" w:type="auto"/>
        <w:tblLook w:val="04A0" w:firstRow="1" w:lastRow="0" w:firstColumn="1" w:lastColumn="0" w:noHBand="0" w:noVBand="1"/>
      </w:tblPr>
      <w:tblGrid>
        <w:gridCol w:w="4217"/>
        <w:gridCol w:w="4963"/>
      </w:tblGrid>
      <w:tr w:rsidR="00D21232" w:rsidRPr="00141DBA" w:rsidTr="00141D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7" w:type="dxa"/>
            <w:noWrap/>
            <w:hideMark/>
          </w:tcPr>
          <w:p w:rsidR="00D21232" w:rsidRPr="00141DBA" w:rsidRDefault="00D21232" w:rsidP="00141DBA">
            <w:pPr>
              <w:jc w:val="center"/>
              <w:rPr>
                <w:sz w:val="18"/>
                <w:szCs w:val="18"/>
              </w:rPr>
            </w:pPr>
            <w:r w:rsidRPr="00141DBA">
              <w:rPr>
                <w:sz w:val="18"/>
                <w:szCs w:val="18"/>
              </w:rPr>
              <w:t>Tipo</w:t>
            </w:r>
          </w:p>
        </w:tc>
        <w:tc>
          <w:tcPr>
            <w:tcW w:w="4963" w:type="dxa"/>
            <w:noWrap/>
            <w:hideMark/>
          </w:tcPr>
          <w:p w:rsidR="00D21232" w:rsidRPr="00141DBA" w:rsidRDefault="00D21232" w:rsidP="00141DB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41DBA">
              <w:rPr>
                <w:sz w:val="18"/>
                <w:szCs w:val="18"/>
              </w:rPr>
              <w:t>Entidad</w:t>
            </w:r>
          </w:p>
        </w:tc>
      </w:tr>
      <w:tr w:rsidR="00D21232" w:rsidRPr="00141DBA" w:rsidTr="00141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7" w:type="dxa"/>
            <w:noWrap/>
            <w:hideMark/>
          </w:tcPr>
          <w:p w:rsidR="00D21232" w:rsidRPr="00141DBA" w:rsidRDefault="00D21232" w:rsidP="00D21232">
            <w:pPr>
              <w:jc w:val="left"/>
              <w:rPr>
                <w:sz w:val="18"/>
                <w:szCs w:val="18"/>
              </w:rPr>
            </w:pPr>
            <w:r w:rsidRPr="00141DBA">
              <w:rPr>
                <w:sz w:val="18"/>
                <w:szCs w:val="18"/>
              </w:rPr>
              <w:t>Agencias</w:t>
            </w:r>
            <w:r w:rsidR="00141DBA">
              <w:rPr>
                <w:sz w:val="18"/>
                <w:szCs w:val="18"/>
              </w:rPr>
              <w:t xml:space="preserve"> Estatales</w:t>
            </w:r>
            <w:r w:rsidRPr="00141DBA">
              <w:rPr>
                <w:sz w:val="18"/>
                <w:szCs w:val="18"/>
              </w:rPr>
              <w:t>, Organismos Autónomos y Entidades Públicas Empresariales (art. 2.1.c LTAIBG)</w:t>
            </w:r>
          </w:p>
        </w:tc>
        <w:tc>
          <w:tcPr>
            <w:tcW w:w="4963" w:type="dxa"/>
            <w:noWrap/>
            <w:hideMark/>
          </w:tcPr>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Agencia Estatal de Meteorología</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Centro de Estudios y Experimentación de Obras Publicas</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Mutualidad General de Funcionarios Civiles del Estado</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 xml:space="preserve">Instituto de la Mujer y para la Igualdad de </w:t>
            </w:r>
            <w:r w:rsidRPr="00141DBA">
              <w:rPr>
                <w:sz w:val="18"/>
                <w:szCs w:val="18"/>
              </w:rPr>
              <w:lastRenderedPageBreak/>
              <w:t>Oportunidades, O.A.</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Centro Español de Metrología, O.A., M.P</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Consejo Superior de Deportes, O.A.</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DG Tráfico</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Instituto de Salud Carlos III, O.A., M.P.</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Instituto Nacional de Estadística, O.A.</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 xml:space="preserve">Consorcio de Compensación de Seguros </w:t>
            </w:r>
          </w:p>
          <w:p w:rsidR="00D21232"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Sepes Entidad Pública Empresarial de Suelo</w:t>
            </w:r>
            <w:r w:rsidR="00342EA2">
              <w:rPr>
                <w:sz w:val="18"/>
                <w:szCs w:val="18"/>
              </w:rPr>
              <w:t>, EPE</w:t>
            </w:r>
          </w:p>
          <w:p w:rsidR="00342EA2" w:rsidRPr="00827F78" w:rsidRDefault="00342EA2"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Agencia Española de Cooperación Internacional para el Desarrollo</w:t>
            </w:r>
          </w:p>
          <w:p w:rsidR="00342EA2" w:rsidRPr="00827F78" w:rsidRDefault="00342EA2"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Confederación Hidrográfica del Tajo, O.A.</w:t>
            </w:r>
          </w:p>
          <w:p w:rsidR="00342EA2" w:rsidRPr="00827F78" w:rsidRDefault="00342EA2"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Consejo de Administración del Patrimonio Nacional</w:t>
            </w:r>
          </w:p>
          <w:p w:rsidR="00342EA2" w:rsidRPr="00827F78" w:rsidRDefault="00342EA2"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Instituto Nacional de Investigación y Tecnología Agraria y Alimentaria, O.A., M.P.</w:t>
            </w:r>
          </w:p>
          <w:p w:rsidR="00342EA2" w:rsidRPr="00827F78" w:rsidRDefault="00342EA2"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Organismo Autónomo Comisionado para el Mercado de Tabacos</w:t>
            </w:r>
          </w:p>
          <w:p w:rsidR="00342EA2" w:rsidRPr="00141DBA" w:rsidRDefault="00342EA2" w:rsidP="00D21232">
            <w:pPr>
              <w:cnfStyle w:val="000000100000" w:firstRow="0" w:lastRow="0" w:firstColumn="0" w:lastColumn="0" w:oddVBand="0" w:evenVBand="0" w:oddHBand="1" w:evenHBand="0" w:firstRowFirstColumn="0" w:firstRowLastColumn="0" w:lastRowFirstColumn="0" w:lastRowLastColumn="0"/>
              <w:rPr>
                <w:sz w:val="18"/>
                <w:szCs w:val="18"/>
              </w:rPr>
            </w:pPr>
            <w:r w:rsidRPr="00827F78">
              <w:rPr>
                <w:b/>
                <w:sz w:val="18"/>
                <w:szCs w:val="18"/>
              </w:rPr>
              <w:t>Entidad Pública Empresarial Renfe-Operadora</w:t>
            </w:r>
          </w:p>
        </w:tc>
      </w:tr>
      <w:tr w:rsidR="00D21232" w:rsidRPr="00141DBA" w:rsidTr="00141DBA">
        <w:trPr>
          <w:trHeight w:val="300"/>
        </w:trPr>
        <w:tc>
          <w:tcPr>
            <w:cnfStyle w:val="001000000000" w:firstRow="0" w:lastRow="0" w:firstColumn="1" w:lastColumn="0" w:oddVBand="0" w:evenVBand="0" w:oddHBand="0" w:evenHBand="0" w:firstRowFirstColumn="0" w:firstRowLastColumn="0" w:lastRowFirstColumn="0" w:lastRowLastColumn="0"/>
            <w:tcW w:w="4217" w:type="dxa"/>
            <w:noWrap/>
            <w:hideMark/>
          </w:tcPr>
          <w:p w:rsidR="00D21232" w:rsidRPr="00141DBA" w:rsidRDefault="00D21232" w:rsidP="00DB5307">
            <w:pPr>
              <w:rPr>
                <w:sz w:val="18"/>
                <w:szCs w:val="18"/>
              </w:rPr>
            </w:pPr>
            <w:r w:rsidRPr="00141DBA">
              <w:rPr>
                <w:sz w:val="18"/>
                <w:szCs w:val="18"/>
              </w:rPr>
              <w:lastRenderedPageBreak/>
              <w:t>Entidades de derecho público (art.</w:t>
            </w:r>
            <w:r w:rsidR="00DB5307" w:rsidRPr="00141DBA">
              <w:rPr>
                <w:sz w:val="18"/>
                <w:szCs w:val="18"/>
              </w:rPr>
              <w:t xml:space="preserve"> 2.1.d LTAIBG</w:t>
            </w:r>
          </w:p>
        </w:tc>
        <w:tc>
          <w:tcPr>
            <w:tcW w:w="4963" w:type="dxa"/>
            <w:noWrap/>
            <w:hideMark/>
          </w:tcPr>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Autoridad Portuaria de Gijón</w:t>
            </w:r>
          </w:p>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Autoridad Portuaria de Melilla</w:t>
            </w:r>
          </w:p>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Autoridad Portuaria de Santa Cruz de Tenerife</w:t>
            </w:r>
          </w:p>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Autoridad Portuaria de A Coruña</w:t>
            </w:r>
          </w:p>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Casa África</w:t>
            </w:r>
          </w:p>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Centro Nacional de Investigación sobre la Evolución Humana</w:t>
            </w:r>
          </w:p>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Centro Universitario de la Defensa Ubicado en la Academia Central de la Defensa</w:t>
            </w:r>
          </w:p>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141DBA">
              <w:rPr>
                <w:sz w:val="18"/>
                <w:szCs w:val="18"/>
              </w:rPr>
              <w:t>Ciber</w:t>
            </w:r>
            <w:proofErr w:type="spellEnd"/>
            <w:r w:rsidRPr="00141DBA">
              <w:rPr>
                <w:sz w:val="18"/>
                <w:szCs w:val="18"/>
              </w:rPr>
              <w:t xml:space="preserve"> de Enfermedades Neurodegenerativas</w:t>
            </w:r>
          </w:p>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Consorcio de la Zona Franca de Santander</w:t>
            </w:r>
          </w:p>
          <w:p w:rsidR="00DB5307" w:rsidRPr="00141DBA"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Consorcio para el Diseño, Construcción, Equipamiento y Explotación de la Plataforma Oceánica de Canarias</w:t>
            </w:r>
          </w:p>
          <w:p w:rsidR="00D21232" w:rsidRPr="00141DBA" w:rsidRDefault="00D21232"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Consorcio para la Construcción, Equipamiento Y Explotación del Laboratorio de Luz Sincrotrón</w:t>
            </w:r>
          </w:p>
          <w:p w:rsidR="00DB5307" w:rsidRDefault="00DB5307" w:rsidP="00D21232">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Sociedad Estatal de Participaciones Industriales</w:t>
            </w:r>
          </w:p>
          <w:p w:rsidR="00342EA2" w:rsidRPr="00827F78" w:rsidRDefault="00342EA2" w:rsidP="00D21232">
            <w:pPr>
              <w:cnfStyle w:val="000000000000" w:firstRow="0" w:lastRow="0" w:firstColumn="0" w:lastColumn="0" w:oddVBand="0" w:evenVBand="0" w:oddHBand="0" w:evenHBand="0" w:firstRowFirstColumn="0" w:firstRowLastColumn="0" w:lastRowFirstColumn="0" w:lastRowLastColumn="0"/>
              <w:rPr>
                <w:b/>
                <w:sz w:val="18"/>
                <w:szCs w:val="18"/>
              </w:rPr>
            </w:pPr>
            <w:r w:rsidRPr="00827F78">
              <w:rPr>
                <w:b/>
                <w:sz w:val="18"/>
                <w:szCs w:val="18"/>
              </w:rPr>
              <w:t>Consorcio Centro de Investigación Biomédica en Red, M.P.</w:t>
            </w:r>
          </w:p>
          <w:p w:rsidR="00342EA2" w:rsidRPr="00827F78" w:rsidRDefault="00342EA2" w:rsidP="00D21232">
            <w:pPr>
              <w:cnfStyle w:val="000000000000" w:firstRow="0" w:lastRow="0" w:firstColumn="0" w:lastColumn="0" w:oddVBand="0" w:evenVBand="0" w:oddHBand="0" w:evenHBand="0" w:firstRowFirstColumn="0" w:firstRowLastColumn="0" w:lastRowFirstColumn="0" w:lastRowLastColumn="0"/>
              <w:rPr>
                <w:b/>
                <w:sz w:val="18"/>
                <w:szCs w:val="18"/>
              </w:rPr>
            </w:pPr>
            <w:r w:rsidRPr="00827F78">
              <w:rPr>
                <w:b/>
                <w:sz w:val="18"/>
                <w:szCs w:val="18"/>
              </w:rPr>
              <w:t>Consorcio de la Zona Franca de Gran Canaria</w:t>
            </w:r>
          </w:p>
          <w:p w:rsidR="00342EA2" w:rsidRPr="00827F78" w:rsidRDefault="00342EA2" w:rsidP="00D21232">
            <w:pPr>
              <w:cnfStyle w:val="000000000000" w:firstRow="0" w:lastRow="0" w:firstColumn="0" w:lastColumn="0" w:oddVBand="0" w:evenVBand="0" w:oddHBand="0" w:evenHBand="0" w:firstRowFirstColumn="0" w:firstRowLastColumn="0" w:lastRowFirstColumn="0" w:lastRowLastColumn="0"/>
              <w:rPr>
                <w:b/>
                <w:sz w:val="18"/>
                <w:szCs w:val="18"/>
              </w:rPr>
            </w:pPr>
            <w:r w:rsidRPr="00827F78">
              <w:rPr>
                <w:b/>
                <w:sz w:val="18"/>
                <w:szCs w:val="18"/>
              </w:rPr>
              <w:t>Consorcio para la Construcción, Equipamiento y Explotación Centro Nacional de Experimentación de Tecnologías del Hidrógeno y Pilas de Combustible</w:t>
            </w:r>
          </w:p>
          <w:p w:rsidR="00342EA2" w:rsidRPr="00827F78" w:rsidRDefault="00342EA2" w:rsidP="00827F78">
            <w:pPr>
              <w:tabs>
                <w:tab w:val="right" w:pos="4747"/>
              </w:tabs>
              <w:cnfStyle w:val="000000000000" w:firstRow="0" w:lastRow="0" w:firstColumn="0" w:lastColumn="0" w:oddVBand="0" w:evenVBand="0" w:oddHBand="0" w:evenHBand="0" w:firstRowFirstColumn="0" w:firstRowLastColumn="0" w:lastRowFirstColumn="0" w:lastRowLastColumn="0"/>
              <w:rPr>
                <w:b/>
                <w:sz w:val="18"/>
                <w:szCs w:val="18"/>
              </w:rPr>
            </w:pPr>
            <w:r w:rsidRPr="00827F78">
              <w:rPr>
                <w:b/>
                <w:sz w:val="18"/>
                <w:szCs w:val="18"/>
              </w:rPr>
              <w:t>Autoridad Portuaria de Baleares</w:t>
            </w:r>
            <w:r w:rsidR="00827F78" w:rsidRPr="00827F78">
              <w:rPr>
                <w:b/>
                <w:sz w:val="18"/>
                <w:szCs w:val="18"/>
              </w:rPr>
              <w:tab/>
            </w:r>
          </w:p>
          <w:p w:rsidR="00342EA2" w:rsidRPr="00141DBA" w:rsidRDefault="00342EA2" w:rsidP="00342EA2">
            <w:pPr>
              <w:cnfStyle w:val="000000000000" w:firstRow="0" w:lastRow="0" w:firstColumn="0" w:lastColumn="0" w:oddVBand="0" w:evenVBand="0" w:oddHBand="0" w:evenHBand="0" w:firstRowFirstColumn="0" w:firstRowLastColumn="0" w:lastRowFirstColumn="0" w:lastRowLastColumn="0"/>
              <w:rPr>
                <w:sz w:val="18"/>
                <w:szCs w:val="18"/>
              </w:rPr>
            </w:pPr>
            <w:r w:rsidRPr="00827F78">
              <w:rPr>
                <w:b/>
                <w:sz w:val="18"/>
                <w:szCs w:val="18"/>
              </w:rPr>
              <w:t>Autoridad Portuaria de Huelva</w:t>
            </w:r>
          </w:p>
        </w:tc>
      </w:tr>
      <w:tr w:rsidR="00D21232" w:rsidRPr="00141DBA" w:rsidTr="00141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7" w:type="dxa"/>
            <w:noWrap/>
            <w:hideMark/>
          </w:tcPr>
          <w:p w:rsidR="00D21232" w:rsidRPr="00141DBA" w:rsidRDefault="00D21232" w:rsidP="00D21232">
            <w:pPr>
              <w:rPr>
                <w:sz w:val="18"/>
                <w:szCs w:val="18"/>
              </w:rPr>
            </w:pPr>
            <w:r w:rsidRPr="00141DBA">
              <w:rPr>
                <w:sz w:val="18"/>
                <w:szCs w:val="18"/>
              </w:rPr>
              <w:t>Fundaciones</w:t>
            </w:r>
          </w:p>
        </w:tc>
        <w:tc>
          <w:tcPr>
            <w:tcW w:w="4963" w:type="dxa"/>
            <w:noWrap/>
            <w:hideMark/>
          </w:tcPr>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Fundación Española para la Ciencia y la Tecnología</w:t>
            </w:r>
          </w:p>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iCs/>
                <w:sz w:val="18"/>
                <w:szCs w:val="18"/>
              </w:rPr>
            </w:pPr>
            <w:r w:rsidRPr="00141DBA">
              <w:rPr>
                <w:iCs/>
                <w:sz w:val="18"/>
                <w:szCs w:val="18"/>
              </w:rPr>
              <w:t xml:space="preserve">Fundación Comercial de la Comunidad Valenciana para la Investigación, Promoción y Estudios Comerciales de </w:t>
            </w:r>
            <w:proofErr w:type="spellStart"/>
            <w:r w:rsidRPr="00141DBA">
              <w:rPr>
                <w:iCs/>
                <w:sz w:val="18"/>
                <w:szCs w:val="18"/>
              </w:rPr>
              <w:t>Valenciaport</w:t>
            </w:r>
            <w:proofErr w:type="spellEnd"/>
          </w:p>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F.S.P. Instituto de Cultura Gitana</w:t>
            </w:r>
          </w:p>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 xml:space="preserve">Fundación del Servicio </w:t>
            </w:r>
            <w:proofErr w:type="spellStart"/>
            <w:r w:rsidRPr="00141DBA">
              <w:rPr>
                <w:sz w:val="18"/>
                <w:szCs w:val="18"/>
              </w:rPr>
              <w:t>Interconfederal</w:t>
            </w:r>
            <w:proofErr w:type="spellEnd"/>
            <w:r w:rsidRPr="00141DBA">
              <w:rPr>
                <w:sz w:val="18"/>
                <w:szCs w:val="18"/>
              </w:rPr>
              <w:t xml:space="preserve"> de Mediación y Arbitraje, F.S.P.</w:t>
            </w:r>
          </w:p>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Fundación Centro para la Memoria de las Víctimas del Terrorismo</w:t>
            </w:r>
          </w:p>
          <w:p w:rsidR="00DB5307" w:rsidRDefault="00DB5307"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Fundación ICO, F.S.P. (Fundación del Sector Público)</w:t>
            </w:r>
          </w:p>
          <w:p w:rsidR="00342EA2" w:rsidRPr="00827F78" w:rsidRDefault="00342EA2"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Fundación del Teatro Real, F.S.P.</w:t>
            </w:r>
          </w:p>
          <w:p w:rsidR="00342EA2"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Fundación Lázaro Galdiano, F.S.P.</w:t>
            </w:r>
          </w:p>
          <w:p w:rsidR="00827F78" w:rsidRPr="00141DBA"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827F78">
              <w:rPr>
                <w:b/>
                <w:sz w:val="18"/>
                <w:szCs w:val="18"/>
              </w:rPr>
              <w:t>Fundación del Sector Público Centro Nacional del Vidrio</w:t>
            </w:r>
          </w:p>
        </w:tc>
      </w:tr>
      <w:tr w:rsidR="00D21232" w:rsidRPr="00141DBA" w:rsidTr="00141DBA">
        <w:trPr>
          <w:trHeight w:val="300"/>
        </w:trPr>
        <w:tc>
          <w:tcPr>
            <w:cnfStyle w:val="001000000000" w:firstRow="0" w:lastRow="0" w:firstColumn="1" w:lastColumn="0" w:oddVBand="0" w:evenVBand="0" w:oddHBand="0" w:evenHBand="0" w:firstRowFirstColumn="0" w:firstRowLastColumn="0" w:lastRowFirstColumn="0" w:lastRowLastColumn="0"/>
            <w:tcW w:w="4217" w:type="dxa"/>
            <w:noWrap/>
            <w:hideMark/>
          </w:tcPr>
          <w:p w:rsidR="00D21232" w:rsidRPr="00141DBA" w:rsidRDefault="00D21232" w:rsidP="00D21232">
            <w:pPr>
              <w:rPr>
                <w:sz w:val="18"/>
                <w:szCs w:val="18"/>
              </w:rPr>
            </w:pPr>
            <w:r w:rsidRPr="00141DBA">
              <w:rPr>
                <w:sz w:val="18"/>
                <w:szCs w:val="18"/>
              </w:rPr>
              <w:t>Mutuas</w:t>
            </w:r>
            <w:r w:rsidR="00DB5307" w:rsidRPr="00141DBA">
              <w:rPr>
                <w:sz w:val="18"/>
                <w:szCs w:val="18"/>
              </w:rPr>
              <w:t xml:space="preserve"> Accidentes de Trabajo y Enfermedades Profesionales</w:t>
            </w:r>
          </w:p>
        </w:tc>
        <w:tc>
          <w:tcPr>
            <w:tcW w:w="4963" w:type="dxa"/>
            <w:noWrap/>
            <w:hideMark/>
          </w:tcPr>
          <w:p w:rsidR="00D21232" w:rsidRPr="00141DBA" w:rsidRDefault="00DB5307" w:rsidP="00DB5307">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 xml:space="preserve">Fraternidad – </w:t>
            </w:r>
            <w:proofErr w:type="spellStart"/>
            <w:r w:rsidRPr="00141DBA">
              <w:rPr>
                <w:sz w:val="18"/>
                <w:szCs w:val="18"/>
              </w:rPr>
              <w:t>Muprespa</w:t>
            </w:r>
            <w:proofErr w:type="spellEnd"/>
          </w:p>
          <w:p w:rsidR="00DB5307" w:rsidRPr="00141DBA" w:rsidRDefault="00DB5307" w:rsidP="00DB5307">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Mutua Intercomarcal</w:t>
            </w:r>
          </w:p>
          <w:p w:rsidR="00DB5307" w:rsidRDefault="00DB5307" w:rsidP="00DB5307">
            <w:pPr>
              <w:cnfStyle w:val="000000000000" w:firstRow="0" w:lastRow="0" w:firstColumn="0" w:lastColumn="0" w:oddVBand="0" w:evenVBand="0" w:oddHBand="0" w:evenHBand="0" w:firstRowFirstColumn="0" w:firstRowLastColumn="0" w:lastRowFirstColumn="0" w:lastRowLastColumn="0"/>
              <w:rPr>
                <w:sz w:val="18"/>
                <w:szCs w:val="18"/>
              </w:rPr>
            </w:pPr>
            <w:r w:rsidRPr="00141DBA">
              <w:rPr>
                <w:sz w:val="18"/>
                <w:szCs w:val="18"/>
              </w:rPr>
              <w:t>Activa Mutua 2008</w:t>
            </w:r>
          </w:p>
          <w:p w:rsidR="00827F78" w:rsidRPr="00827F78" w:rsidRDefault="00827F78" w:rsidP="00827F78">
            <w:pPr>
              <w:cnfStyle w:val="000000000000" w:firstRow="0" w:lastRow="0" w:firstColumn="0" w:lastColumn="0" w:oddVBand="0" w:evenVBand="0" w:oddHBand="0" w:evenHBand="0" w:firstRowFirstColumn="0" w:firstRowLastColumn="0" w:lastRowFirstColumn="0" w:lastRowLastColumn="0"/>
              <w:rPr>
                <w:b/>
                <w:sz w:val="18"/>
                <w:szCs w:val="18"/>
              </w:rPr>
            </w:pPr>
            <w:r w:rsidRPr="00827F78">
              <w:rPr>
                <w:b/>
                <w:sz w:val="18"/>
                <w:szCs w:val="18"/>
              </w:rPr>
              <w:lastRenderedPageBreak/>
              <w:t>FREMAP</w:t>
            </w:r>
          </w:p>
        </w:tc>
      </w:tr>
      <w:tr w:rsidR="00D21232" w:rsidRPr="00141DBA" w:rsidTr="00141D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7" w:type="dxa"/>
            <w:noWrap/>
            <w:hideMark/>
          </w:tcPr>
          <w:p w:rsidR="00D21232" w:rsidRPr="00141DBA" w:rsidRDefault="00D21232" w:rsidP="00DB5307">
            <w:pPr>
              <w:rPr>
                <w:sz w:val="18"/>
                <w:szCs w:val="18"/>
              </w:rPr>
            </w:pPr>
            <w:r w:rsidRPr="00141DBA">
              <w:rPr>
                <w:sz w:val="18"/>
                <w:szCs w:val="18"/>
              </w:rPr>
              <w:lastRenderedPageBreak/>
              <w:t>Sociedad</w:t>
            </w:r>
            <w:r w:rsidR="00DB5307" w:rsidRPr="00141DBA">
              <w:rPr>
                <w:sz w:val="18"/>
                <w:szCs w:val="18"/>
              </w:rPr>
              <w:t>es M</w:t>
            </w:r>
            <w:r w:rsidRPr="00141DBA">
              <w:rPr>
                <w:sz w:val="18"/>
                <w:szCs w:val="18"/>
              </w:rPr>
              <w:t>ercantil</w:t>
            </w:r>
            <w:r w:rsidR="00DB5307" w:rsidRPr="00141DBA">
              <w:rPr>
                <w:sz w:val="18"/>
                <w:szCs w:val="18"/>
              </w:rPr>
              <w:t>es</w:t>
            </w:r>
          </w:p>
        </w:tc>
        <w:tc>
          <w:tcPr>
            <w:tcW w:w="4963" w:type="dxa"/>
            <w:noWrap/>
            <w:hideMark/>
          </w:tcPr>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AENA, S.M.E., S.A.</w:t>
            </w:r>
          </w:p>
          <w:p w:rsidR="00D21232" w:rsidRPr="00141DBA" w:rsidRDefault="00D21232"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Alimentos y Aceites, S.A., S.M.E.</w:t>
            </w:r>
          </w:p>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Aguas de las Cuencas Mediterráneas, S.M.E., S.A.</w:t>
            </w:r>
          </w:p>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iCs/>
                <w:sz w:val="18"/>
                <w:szCs w:val="18"/>
              </w:rPr>
            </w:pPr>
            <w:r w:rsidRPr="00141DBA">
              <w:rPr>
                <w:iCs/>
                <w:sz w:val="18"/>
                <w:szCs w:val="18"/>
              </w:rPr>
              <w:t>Alta Velocidad Vitoria-</w:t>
            </w:r>
            <w:proofErr w:type="spellStart"/>
            <w:r w:rsidRPr="00141DBA">
              <w:rPr>
                <w:iCs/>
                <w:sz w:val="18"/>
                <w:szCs w:val="18"/>
              </w:rPr>
              <w:t>Gasteizko</w:t>
            </w:r>
            <w:proofErr w:type="spellEnd"/>
            <w:r w:rsidRPr="00141DBA">
              <w:rPr>
                <w:iCs/>
                <w:sz w:val="18"/>
                <w:szCs w:val="18"/>
              </w:rPr>
              <w:t xml:space="preserve"> </w:t>
            </w:r>
            <w:proofErr w:type="spellStart"/>
            <w:r w:rsidRPr="00141DBA">
              <w:rPr>
                <w:iCs/>
                <w:sz w:val="18"/>
                <w:szCs w:val="18"/>
              </w:rPr>
              <w:t>Abiadura</w:t>
            </w:r>
            <w:proofErr w:type="spellEnd"/>
            <w:r w:rsidRPr="00141DBA">
              <w:rPr>
                <w:iCs/>
                <w:sz w:val="18"/>
                <w:szCs w:val="18"/>
              </w:rPr>
              <w:t xml:space="preserve"> </w:t>
            </w:r>
            <w:proofErr w:type="spellStart"/>
            <w:r w:rsidRPr="00141DBA">
              <w:rPr>
                <w:iCs/>
                <w:sz w:val="18"/>
                <w:szCs w:val="18"/>
              </w:rPr>
              <w:t>Handia</w:t>
            </w:r>
            <w:proofErr w:type="spellEnd"/>
            <w:r w:rsidRPr="00141DBA">
              <w:rPr>
                <w:iCs/>
                <w:sz w:val="18"/>
                <w:szCs w:val="18"/>
              </w:rPr>
              <w:t>, S.A.</w:t>
            </w:r>
          </w:p>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Cartagena Alta Velocidad, S.A.</w:t>
            </w:r>
          </w:p>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Compañía Española de Tabaco en Rama, S.A., S.M.E.</w:t>
            </w:r>
          </w:p>
          <w:p w:rsidR="00DB5307" w:rsidRPr="00141DBA" w:rsidRDefault="00DB5307"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Corporación de Radio y Televisión Española, S.A., S.M.E.</w:t>
            </w:r>
          </w:p>
          <w:p w:rsidR="00DB5307"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141DBA">
              <w:rPr>
                <w:sz w:val="18"/>
                <w:szCs w:val="18"/>
              </w:rPr>
              <w:t>Enusa</w:t>
            </w:r>
            <w:proofErr w:type="spellEnd"/>
            <w:r w:rsidRPr="00141DBA">
              <w:rPr>
                <w:sz w:val="18"/>
                <w:szCs w:val="18"/>
              </w:rPr>
              <w:t xml:space="preserve"> Industrias Avanzadas, S.A., S.M.E.</w:t>
            </w:r>
          </w:p>
          <w:p w:rsidR="00141DBA"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Imprenta de Billetes, S.A. (M.P. Banco de España)</w:t>
            </w:r>
          </w:p>
          <w:p w:rsidR="00141DBA"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141DBA">
              <w:rPr>
                <w:sz w:val="18"/>
                <w:szCs w:val="18"/>
              </w:rPr>
              <w:t>MálagaPort</w:t>
            </w:r>
            <w:proofErr w:type="spellEnd"/>
            <w:r w:rsidRPr="00141DBA">
              <w:rPr>
                <w:sz w:val="18"/>
                <w:szCs w:val="18"/>
              </w:rPr>
              <w:t>, S.L.</w:t>
            </w:r>
          </w:p>
          <w:p w:rsidR="00141DBA"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141DBA">
              <w:rPr>
                <w:sz w:val="18"/>
                <w:szCs w:val="18"/>
              </w:rPr>
              <w:t>Navantia</w:t>
            </w:r>
            <w:proofErr w:type="spellEnd"/>
            <w:r w:rsidRPr="00141DBA">
              <w:rPr>
                <w:sz w:val="18"/>
                <w:szCs w:val="18"/>
              </w:rPr>
              <w:t>, S.A., S.M.E.</w:t>
            </w:r>
          </w:p>
          <w:p w:rsidR="00141DBA"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Paradores de Turismo de España, S.M.E., S.A.</w:t>
            </w:r>
          </w:p>
          <w:p w:rsidR="00DB5307"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Puerto Seco de Madrid, S.A., S.M.E.</w:t>
            </w:r>
          </w:p>
          <w:p w:rsidR="00141DBA"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141DBA">
              <w:rPr>
                <w:sz w:val="18"/>
                <w:szCs w:val="18"/>
              </w:rPr>
              <w:t>Saes</w:t>
            </w:r>
            <w:proofErr w:type="spellEnd"/>
            <w:r w:rsidRPr="00141DBA">
              <w:rPr>
                <w:sz w:val="18"/>
                <w:szCs w:val="18"/>
              </w:rPr>
              <w:t xml:space="preserve"> Capital, S.A., S.M.E.</w:t>
            </w:r>
          </w:p>
          <w:p w:rsidR="00141DBA"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Sociedad Estatal Correos y Telégrafos, S.A., S.M.E.</w:t>
            </w:r>
          </w:p>
          <w:p w:rsidR="00141DBA"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Sociedad Estatal de Infraestructuras del Transporte Terrestre, S.M.E., S.A.</w:t>
            </w:r>
          </w:p>
          <w:p w:rsidR="00141DBA" w:rsidRP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Sociedad Mercantil Estatal de Gestión Inmobiliaria de Patrimonio, M.P., S.A.</w:t>
            </w:r>
          </w:p>
          <w:p w:rsidR="00141DBA" w:rsidRDefault="00141DBA" w:rsidP="00D21232">
            <w:pPr>
              <w:cnfStyle w:val="000000100000" w:firstRow="0" w:lastRow="0" w:firstColumn="0" w:lastColumn="0" w:oddVBand="0" w:evenVBand="0" w:oddHBand="1" w:evenHBand="0" w:firstRowFirstColumn="0" w:firstRowLastColumn="0" w:lastRowFirstColumn="0" w:lastRowLastColumn="0"/>
              <w:rPr>
                <w:sz w:val="18"/>
                <w:szCs w:val="18"/>
              </w:rPr>
            </w:pPr>
            <w:r w:rsidRPr="00141DBA">
              <w:rPr>
                <w:sz w:val="18"/>
                <w:szCs w:val="18"/>
              </w:rPr>
              <w:t>Sociedad Mercantil Estatal de Infraestructuras Agrarias, S.A.</w:t>
            </w:r>
          </w:p>
          <w:p w:rsidR="00827F78"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Empresa para la Gestión de Residuos Industriales, S.A., S.M.E., M.P.</w:t>
            </w:r>
          </w:p>
          <w:p w:rsidR="00827F78"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HUNOSA</w:t>
            </w:r>
          </w:p>
          <w:p w:rsidR="00827F78"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ENWESA Operaciones, S.A., S.M.E.</w:t>
            </w:r>
          </w:p>
          <w:p w:rsidR="00827F78"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REDALSA, S.A., S.M.E.</w:t>
            </w:r>
          </w:p>
          <w:p w:rsidR="00827F78"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Sociedad Española de Estudios para la Comunicación Fija a través del Estrecho de Gibraltar, S.M.E., S.A.</w:t>
            </w:r>
          </w:p>
          <w:p w:rsidR="00827F78"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Sociedad Mercantil Estatal de Acción Cultural, S.A.</w:t>
            </w:r>
          </w:p>
          <w:p w:rsidR="00827F78"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Grupo TRAGSA</w:t>
            </w:r>
          </w:p>
          <w:p w:rsidR="00827F78"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827F78">
              <w:rPr>
                <w:b/>
                <w:sz w:val="18"/>
                <w:szCs w:val="18"/>
              </w:rPr>
              <w:t>Serviport</w:t>
            </w:r>
            <w:proofErr w:type="spellEnd"/>
            <w:r w:rsidRPr="00827F78">
              <w:rPr>
                <w:b/>
                <w:sz w:val="18"/>
                <w:szCs w:val="18"/>
              </w:rPr>
              <w:t xml:space="preserve"> Andalucía, MP, Sociedad Anónima</w:t>
            </w:r>
          </w:p>
          <w:p w:rsidR="00827F78" w:rsidRPr="00827F78" w:rsidRDefault="00827F78"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827F78">
              <w:rPr>
                <w:b/>
                <w:sz w:val="18"/>
                <w:szCs w:val="18"/>
              </w:rPr>
              <w:t>Mercados Centrales de Abastecimiento, S.A., S.M.E., M.P.</w:t>
            </w:r>
          </w:p>
          <w:p w:rsidR="00827F78" w:rsidRPr="00141DBA"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827F78">
              <w:rPr>
                <w:b/>
                <w:sz w:val="18"/>
                <w:szCs w:val="18"/>
              </w:rPr>
              <w:t>FIDALIA, S.M.E. S.A.U.</w:t>
            </w:r>
          </w:p>
        </w:tc>
      </w:tr>
    </w:tbl>
    <w:p w:rsidR="00827F78" w:rsidRDefault="00827F78" w:rsidP="00827F78">
      <w:r w:rsidRPr="00827F78">
        <w:rPr>
          <w:sz w:val="18"/>
          <w:szCs w:val="16"/>
        </w:rPr>
        <w:t xml:space="preserve">Nota: las entidades resaltadas en negrita se han evaluado por primera vez en 2022. </w:t>
      </w:r>
    </w:p>
    <w:p w:rsidR="00827F78" w:rsidRDefault="00827F78" w:rsidP="00827F78">
      <w:r>
        <w:t>Respecto de las previsiones contempladas en el Plan de Evaluación 2022, se han producido dos modificaciones:</w:t>
      </w:r>
    </w:p>
    <w:p w:rsidR="00827F78" w:rsidRDefault="00827F78" w:rsidP="00827F78">
      <w:pPr>
        <w:pStyle w:val="Prrafodelista"/>
        <w:numPr>
          <w:ilvl w:val="0"/>
          <w:numId w:val="49"/>
        </w:numPr>
      </w:pPr>
      <w:r>
        <w:t>La sustitución de ENUSA por HUNOSA. En la muestra aleatoria de entidades a evaluar por primera vez en 2022, se había incluido ENUSA, que había sido evaluada en 2021, razón por la que se procedió a un nuevo muestr</w:t>
      </w:r>
      <w:r w:rsidR="007462DD">
        <w:t>e</w:t>
      </w:r>
      <w:r>
        <w:t>o</w:t>
      </w:r>
      <w:r w:rsidR="00F30A2C">
        <w:t>,</w:t>
      </w:r>
      <w:r>
        <w:t xml:space="preserve"> resultando seleccionada la Sociedad Mercantil</w:t>
      </w:r>
      <w:r w:rsidR="0034357D">
        <w:t xml:space="preserve"> Estatal</w:t>
      </w:r>
      <w:r>
        <w:t xml:space="preserve"> HUNOSA. </w:t>
      </w:r>
    </w:p>
    <w:p w:rsidR="00827F78" w:rsidRDefault="00827F78" w:rsidP="00827F78">
      <w:pPr>
        <w:pStyle w:val="Prrafodelista"/>
      </w:pPr>
    </w:p>
    <w:p w:rsidR="00827F78" w:rsidRDefault="00827F78" w:rsidP="00827F78">
      <w:pPr>
        <w:pStyle w:val="Prrafodelista"/>
        <w:numPr>
          <w:ilvl w:val="0"/>
          <w:numId w:val="49"/>
        </w:numPr>
      </w:pPr>
      <w:r>
        <w:t>Inicialmente</w:t>
      </w:r>
      <w:r w:rsidR="00F30A2C">
        <w:t>,</w:t>
      </w:r>
      <w:r>
        <w:t xml:space="preserve"> se había seleccionado a la Sociedad Mercantil TRAGSATEC</w:t>
      </w:r>
      <w:r w:rsidR="00D24B74">
        <w:t>. Sin embargo, durante el proceso de evaluación se constató que TRAGSATEC comparte gran parte de la estructura directiva y de gestión con TRAGSA y que el Portal de Transparencia del Grupo TRAGSA incluye informaciones relativas a las dos sociedades, por lo que se decidió evaluar al Grupo TRAGSA en su conjunto.</w:t>
      </w:r>
    </w:p>
    <w:p w:rsidR="00D24B74" w:rsidRDefault="009505E3" w:rsidP="00D24B74">
      <w:r>
        <w:lastRenderedPageBreak/>
        <w:t>S</w:t>
      </w:r>
      <w:r w:rsidR="00D24B74">
        <w:t>e ha evaluado a un total de 75 entidades, de las cuales un tercio son entidades evaluadas por primera vez en 2022.</w:t>
      </w:r>
    </w:p>
    <w:p w:rsidR="00CE43A8" w:rsidRPr="00CE43A8" w:rsidRDefault="00CE43A8" w:rsidP="00077CDF">
      <w:pPr>
        <w:pStyle w:val="Ttulo2"/>
      </w:pPr>
      <w:bookmarkStart w:id="3" w:name="_Toc113366609"/>
      <w:r w:rsidRPr="00CE43A8">
        <w:t>II.2 Delimitación de las obligaciones de publicidad activa aplicables.</w:t>
      </w:r>
      <w:bookmarkEnd w:id="3"/>
    </w:p>
    <w:p w:rsidR="00077CDF" w:rsidRDefault="00077CDF" w:rsidP="00CE43A8"/>
    <w:p w:rsidR="00CE43A8" w:rsidRDefault="00077CDF" w:rsidP="00CE43A8">
      <w:r>
        <w:t>E</w:t>
      </w:r>
      <w:r w:rsidR="00CE43A8">
        <w:t xml:space="preserve">l alcance de la evaluación se ha definido en función de las obligaciones de publicidad activa que son aplicables a </w:t>
      </w:r>
      <w:r w:rsidR="00141DBA">
        <w:t xml:space="preserve">los diferentes </w:t>
      </w:r>
      <w:r w:rsidR="00CE43A8">
        <w:t xml:space="preserve"> sujetos obligados. </w:t>
      </w:r>
      <w:r w:rsidR="00141DBA">
        <w:t>No todas las entidades integrantes de este grupo están sujetas a las mismas obligaciones</w:t>
      </w:r>
      <w:r w:rsidR="00F30A2C">
        <w:t>,</w:t>
      </w:r>
      <w:r w:rsidR="00141DBA">
        <w:t xml:space="preserve"> ya que</w:t>
      </w:r>
      <w:r w:rsidR="00D24B74">
        <w:t>,</w:t>
      </w:r>
      <w:r w:rsidR="00141DBA">
        <w:t xml:space="preserve"> tal y como establece la LTAIBG</w:t>
      </w:r>
      <w:r w:rsidR="00D24B74">
        <w:t>,</w:t>
      </w:r>
      <w:r w:rsidR="00141DBA">
        <w:t xml:space="preserve"> unas son consideradas por la norma administraciones públicas</w:t>
      </w:r>
      <w:r w:rsidR="00F30A2C">
        <w:t>,</w:t>
      </w:r>
      <w:r w:rsidR="00141DBA">
        <w:t xml:space="preserve"> mientras que otras no lo son. Igualmente</w:t>
      </w:r>
      <w:r w:rsidR="00F30A2C">
        <w:t>,</w:t>
      </w:r>
      <w:r w:rsidR="00141DBA">
        <w:t xml:space="preserve"> dentro de este grupo existen organizaciones cuyo presupuesto tiene carácter estimativo</w:t>
      </w:r>
      <w:r w:rsidR="00F30A2C">
        <w:t>,</w:t>
      </w:r>
      <w:r w:rsidR="00141DBA">
        <w:t xml:space="preserve"> mientras que otras tienen presupuestos de carácter limitativo.</w:t>
      </w:r>
    </w:p>
    <w:p w:rsidR="001D364C" w:rsidRDefault="00CE43A8" w:rsidP="00CE43A8">
      <w:r>
        <w:t xml:space="preserve">El siguiente cuadro recoge las obligaciones de publicidad activa que son aplicables a </w:t>
      </w:r>
      <w:r w:rsidR="001D364C">
        <w:t>las entidades que integran este grupo</w:t>
      </w:r>
      <w:r w:rsidR="00141DBA">
        <w:t xml:space="preserve">, indicándose a qué tipo de organizaciones no </w:t>
      </w:r>
      <w:r w:rsidR="00D24B74">
        <w:t>serían de aplicación determinadas obligaciones</w:t>
      </w:r>
      <w:r w:rsidR="009417A3">
        <w:t>.</w:t>
      </w:r>
    </w:p>
    <w:p w:rsidR="00563729" w:rsidRPr="00563729" w:rsidRDefault="00563729" w:rsidP="00563729">
      <w:pPr>
        <w:pStyle w:val="Epgrafe"/>
        <w:keepNext/>
        <w:rPr>
          <w:color w:val="325F64" w:themeColor="accent2" w:themeShade="BF"/>
          <w:sz w:val="22"/>
          <w:szCs w:val="22"/>
        </w:rPr>
      </w:pPr>
      <w:r w:rsidRPr="00563729">
        <w:rPr>
          <w:color w:val="325F64" w:themeColor="accent2" w:themeShade="BF"/>
          <w:sz w:val="22"/>
          <w:szCs w:val="22"/>
        </w:rPr>
        <w:t xml:space="preserve">Cuadro </w:t>
      </w:r>
      <w:r w:rsidRPr="00563729">
        <w:rPr>
          <w:color w:val="325F64" w:themeColor="accent2" w:themeShade="BF"/>
          <w:sz w:val="22"/>
          <w:szCs w:val="22"/>
        </w:rPr>
        <w:fldChar w:fldCharType="begin"/>
      </w:r>
      <w:r w:rsidRPr="00563729">
        <w:rPr>
          <w:color w:val="325F64" w:themeColor="accent2" w:themeShade="BF"/>
          <w:sz w:val="22"/>
          <w:szCs w:val="22"/>
        </w:rPr>
        <w:instrText xml:space="preserve"> SEQ Cuadro \* ARABIC </w:instrText>
      </w:r>
      <w:r w:rsidRPr="00563729">
        <w:rPr>
          <w:color w:val="325F64" w:themeColor="accent2" w:themeShade="BF"/>
          <w:sz w:val="22"/>
          <w:szCs w:val="22"/>
        </w:rPr>
        <w:fldChar w:fldCharType="separate"/>
      </w:r>
      <w:r w:rsidR="00801472">
        <w:rPr>
          <w:noProof/>
          <w:color w:val="325F64" w:themeColor="accent2" w:themeShade="BF"/>
          <w:sz w:val="22"/>
          <w:szCs w:val="22"/>
        </w:rPr>
        <w:t>1</w:t>
      </w:r>
      <w:r w:rsidRPr="00563729">
        <w:rPr>
          <w:color w:val="325F64" w:themeColor="accent2" w:themeShade="BF"/>
          <w:sz w:val="22"/>
          <w:szCs w:val="22"/>
        </w:rPr>
        <w:fldChar w:fldCharType="end"/>
      </w:r>
      <w:r w:rsidRPr="00563729">
        <w:rPr>
          <w:color w:val="325F64" w:themeColor="accent2" w:themeShade="BF"/>
          <w:sz w:val="22"/>
          <w:szCs w:val="22"/>
        </w:rPr>
        <w:t xml:space="preserve">: Obligaciones aplicables a las </w:t>
      </w:r>
      <w:r w:rsidR="00375B00">
        <w:rPr>
          <w:color w:val="325F64" w:themeColor="accent2" w:themeShade="BF"/>
          <w:sz w:val="22"/>
          <w:szCs w:val="22"/>
        </w:rPr>
        <w:t>entidades integrantes del Sector Público Institucional</w:t>
      </w:r>
      <w:r w:rsidRPr="00563729">
        <w:rPr>
          <w:color w:val="325F64" w:themeColor="accent2" w:themeShade="BF"/>
          <w:sz w:val="22"/>
          <w:szCs w:val="22"/>
        </w:rPr>
        <w:t xml:space="preserve">. </w:t>
      </w:r>
    </w:p>
    <w:tbl>
      <w:tblPr>
        <w:tblStyle w:val="Tablaconcuadrcula2"/>
        <w:tblW w:w="0" w:type="auto"/>
        <w:tblBorders>
          <w:top w:val="single" w:sz="4" w:space="0" w:color="F2F2F2" w:themeColor="background1" w:themeShade="F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4368"/>
        <w:gridCol w:w="3384"/>
      </w:tblGrid>
      <w:tr w:rsidR="00141DBA" w:rsidRPr="003256DE" w:rsidTr="00141DBA">
        <w:tc>
          <w:tcPr>
            <w:tcW w:w="1535" w:type="dxa"/>
            <w:tcBorders>
              <w:top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r w:rsidRPr="003256DE">
              <w:rPr>
                <w:rFonts w:cs="Times New Roman"/>
                <w:b/>
                <w:color w:val="FFFFFF"/>
                <w:sz w:val="18"/>
                <w:szCs w:val="18"/>
              </w:rPr>
              <w:t>Bloque de obligaciones</w:t>
            </w:r>
          </w:p>
        </w:tc>
        <w:tc>
          <w:tcPr>
            <w:tcW w:w="4368" w:type="dxa"/>
            <w:tcBorders>
              <w:top w:val="single" w:sz="4" w:space="0" w:color="F2F2F2" w:themeColor="background1" w:themeShade="F2"/>
              <w:bottom w:val="nil"/>
            </w:tcBorders>
            <w:shd w:val="clear" w:color="auto" w:fill="438086" w:themeFill="accent2"/>
          </w:tcPr>
          <w:p w:rsidR="00141DBA" w:rsidRPr="003256DE" w:rsidRDefault="00141DBA" w:rsidP="001D364C">
            <w:pPr>
              <w:jc w:val="center"/>
              <w:rPr>
                <w:rFonts w:cs="Times New Roman"/>
                <w:b/>
                <w:color w:val="FFFFFF"/>
                <w:sz w:val="18"/>
                <w:szCs w:val="18"/>
              </w:rPr>
            </w:pPr>
            <w:r w:rsidRPr="003256DE">
              <w:rPr>
                <w:rFonts w:cs="Times New Roman"/>
                <w:b/>
                <w:color w:val="FFFFFF"/>
                <w:sz w:val="18"/>
                <w:szCs w:val="18"/>
              </w:rPr>
              <w:t>Obligaciones</w:t>
            </w:r>
          </w:p>
        </w:tc>
        <w:tc>
          <w:tcPr>
            <w:tcW w:w="3384" w:type="dxa"/>
            <w:tcBorders>
              <w:top w:val="single" w:sz="4" w:space="0" w:color="F2F2F2" w:themeColor="background1" w:themeShade="F2"/>
              <w:bottom w:val="nil"/>
            </w:tcBorders>
            <w:shd w:val="clear" w:color="auto" w:fill="438086" w:themeFill="accent2"/>
          </w:tcPr>
          <w:p w:rsidR="00141DBA" w:rsidRPr="003256DE" w:rsidRDefault="00141DBA" w:rsidP="001D364C">
            <w:pPr>
              <w:jc w:val="center"/>
              <w:rPr>
                <w:rFonts w:cs="Times New Roman"/>
                <w:b/>
                <w:color w:val="FFFFFF"/>
                <w:sz w:val="18"/>
                <w:szCs w:val="18"/>
              </w:rPr>
            </w:pPr>
            <w:r w:rsidRPr="003256DE">
              <w:rPr>
                <w:rFonts w:cs="Times New Roman"/>
                <w:b/>
                <w:color w:val="FFFFFF"/>
                <w:sz w:val="18"/>
                <w:szCs w:val="18"/>
              </w:rPr>
              <w:t>Obligación no aplicable</w:t>
            </w:r>
          </w:p>
        </w:tc>
      </w:tr>
      <w:tr w:rsidR="00141DBA" w:rsidRPr="003256DE" w:rsidTr="00141DBA">
        <w:tc>
          <w:tcPr>
            <w:tcW w:w="1535"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extDirection w:val="btLr"/>
          </w:tcPr>
          <w:p w:rsidR="00141DBA" w:rsidRPr="003256DE" w:rsidRDefault="00141DBA" w:rsidP="001D364C">
            <w:pPr>
              <w:ind w:left="113" w:right="113"/>
              <w:jc w:val="center"/>
              <w:rPr>
                <w:rFonts w:cs="Times New Roman"/>
                <w:b/>
                <w:color w:val="FFFFFF"/>
                <w:sz w:val="18"/>
                <w:szCs w:val="18"/>
              </w:rPr>
            </w:pPr>
            <w:r w:rsidRPr="003256DE">
              <w:rPr>
                <w:rFonts w:cs="Times New Roman"/>
                <w:b/>
                <w:color w:val="FFFFFF"/>
                <w:sz w:val="18"/>
                <w:szCs w:val="18"/>
              </w:rPr>
              <w:t>Institucional, Organizativa y de Planificación. Registro de Actividades de Tratamiento</w:t>
            </w: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Normativa aplicable</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Funciones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Registro de Actividades de Tratamiento</w:t>
            </w:r>
          </w:p>
        </w:tc>
        <w:tc>
          <w:tcPr>
            <w:tcW w:w="3384" w:type="dxa"/>
            <w:tcBorders>
              <w:top w:val="nil"/>
              <w:right w:val="single" w:sz="4" w:space="0" w:color="406E8C" w:themeColor="accent6" w:themeShade="BF"/>
            </w:tcBorders>
          </w:tcPr>
          <w:p w:rsidR="00141DBA" w:rsidRPr="003256DE" w:rsidRDefault="00141DBA" w:rsidP="00141DBA">
            <w:pPr>
              <w:jc w:val="left"/>
              <w:rPr>
                <w:rFonts w:cs="Times New Roman"/>
                <w:sz w:val="18"/>
                <w:szCs w:val="18"/>
              </w:rPr>
            </w:pPr>
            <w:r w:rsidRPr="003256DE">
              <w:rPr>
                <w:rFonts w:cs="Times New Roman"/>
                <w:sz w:val="18"/>
                <w:szCs w:val="18"/>
              </w:rPr>
              <w:t xml:space="preserve">Mutuas </w:t>
            </w: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Descripción estructura organizativa</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Organigrama</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Identificación Responsables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9417A3" w:rsidP="001D364C">
            <w:pPr>
              <w:jc w:val="left"/>
              <w:rPr>
                <w:rFonts w:cs="Times New Roman"/>
                <w:sz w:val="18"/>
                <w:szCs w:val="18"/>
              </w:rPr>
            </w:pPr>
            <w:r w:rsidRPr="003256DE">
              <w:rPr>
                <w:rFonts w:cs="Times New Roman"/>
                <w:noProof/>
                <w:sz w:val="18"/>
                <w:szCs w:val="18"/>
              </w:rPr>
              <mc:AlternateContent>
                <mc:Choice Requires="wps">
                  <w:drawing>
                    <wp:anchor distT="0" distB="0" distL="114300" distR="114300" simplePos="0" relativeHeight="251659264" behindDoc="0" locked="0" layoutInCell="1" allowOverlap="1" wp14:anchorId="18080D28" wp14:editId="07ED6757">
                      <wp:simplePos x="0" y="0"/>
                      <wp:positionH relativeFrom="column">
                        <wp:posOffset>2601595</wp:posOffset>
                      </wp:positionH>
                      <wp:positionV relativeFrom="paragraph">
                        <wp:posOffset>106680</wp:posOffset>
                      </wp:positionV>
                      <wp:extent cx="190500" cy="552450"/>
                      <wp:effectExtent l="0" t="0" r="19050" b="19050"/>
                      <wp:wrapNone/>
                      <wp:docPr id="9" name="9 Abrir llave"/>
                      <wp:cNvGraphicFramePr/>
                      <a:graphic xmlns:a="http://schemas.openxmlformats.org/drawingml/2006/main">
                        <a:graphicData uri="http://schemas.microsoft.com/office/word/2010/wordprocessingShape">
                          <wps:wsp>
                            <wps:cNvSpPr/>
                            <wps:spPr>
                              <a:xfrm>
                                <a:off x="0" y="0"/>
                                <a:ext cx="190500" cy="552450"/>
                              </a:xfrm>
                              <a:prstGeom prst="leftBrac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9 Abrir llave" o:spid="_x0000_s1026" type="#_x0000_t87" style="position:absolute;margin-left:204.85pt;margin-top:8.4pt;width:15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" adj="621" strokecolor="#406e8c [2409]"/>
                  </w:pict>
                </mc:Fallback>
              </mc:AlternateContent>
            </w:r>
            <w:r w:rsidR="00141DBA" w:rsidRPr="003256DE">
              <w:rPr>
                <w:rFonts w:cs="Times New Roman"/>
                <w:sz w:val="18"/>
                <w:szCs w:val="18"/>
              </w:rPr>
              <w:t>Perfil y trayectoria profesional responsables</w:t>
            </w:r>
          </w:p>
        </w:tc>
        <w:tc>
          <w:tcPr>
            <w:tcW w:w="3384" w:type="dxa"/>
            <w:tcBorders>
              <w:top w:val="nil"/>
              <w:right w:val="single" w:sz="4" w:space="0" w:color="406E8C" w:themeColor="accent6" w:themeShade="BF"/>
            </w:tcBorders>
          </w:tcPr>
          <w:p w:rsidR="002F4D73" w:rsidRPr="003256DE" w:rsidRDefault="002F4D73"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Planes y Programas </w:t>
            </w:r>
          </w:p>
        </w:tc>
        <w:tc>
          <w:tcPr>
            <w:tcW w:w="3384" w:type="dxa"/>
            <w:tcBorders>
              <w:top w:val="nil"/>
              <w:right w:val="single" w:sz="4" w:space="0" w:color="406E8C" w:themeColor="accent6" w:themeShade="BF"/>
            </w:tcBorders>
          </w:tcPr>
          <w:p w:rsidR="00141DBA" w:rsidRPr="003256DE" w:rsidRDefault="002F4D73" w:rsidP="002F4D73">
            <w:pPr>
              <w:jc w:val="left"/>
              <w:rPr>
                <w:rFonts w:cs="Times New Roman"/>
                <w:sz w:val="18"/>
                <w:szCs w:val="18"/>
              </w:rPr>
            </w:pPr>
            <w:r w:rsidRPr="003256DE">
              <w:rPr>
                <w:rFonts w:cs="Times New Roman"/>
                <w:sz w:val="18"/>
                <w:szCs w:val="18"/>
              </w:rPr>
              <w:t xml:space="preserve"> Fundaciones Públicas</w:t>
            </w: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bottom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Grado de cumplimiento y resultados</w:t>
            </w:r>
          </w:p>
        </w:tc>
        <w:tc>
          <w:tcPr>
            <w:tcW w:w="3384" w:type="dxa"/>
            <w:tcBorders>
              <w:top w:val="nil"/>
              <w:bottom w:val="nil"/>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 xml:space="preserve"> Sociedades Mercantiles</w:t>
            </w:r>
          </w:p>
        </w:tc>
      </w:tr>
      <w:tr w:rsidR="00141DBA" w:rsidRPr="003256DE" w:rsidTr="00141DBA">
        <w:trPr>
          <w:trHeight w:val="381"/>
        </w:trPr>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bottom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Indicadores de medida y valoración</w:t>
            </w:r>
          </w:p>
        </w:tc>
        <w:tc>
          <w:tcPr>
            <w:tcW w:w="3384" w:type="dxa"/>
            <w:tcBorders>
              <w:top w:val="nil"/>
              <w:bottom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rPr>
          <w:trHeight w:val="1455"/>
        </w:trPr>
        <w:tc>
          <w:tcPr>
            <w:tcW w:w="1535"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extDirection w:val="btLr"/>
          </w:tcPr>
          <w:p w:rsidR="00141DBA" w:rsidRPr="003256DE" w:rsidRDefault="00141DBA" w:rsidP="001D364C">
            <w:pPr>
              <w:ind w:left="113" w:right="113"/>
              <w:jc w:val="center"/>
              <w:rPr>
                <w:rFonts w:cs="Times New Roman"/>
                <w:b/>
                <w:color w:val="FFFFFF"/>
                <w:sz w:val="18"/>
                <w:szCs w:val="18"/>
              </w:rPr>
            </w:pPr>
            <w:r w:rsidRPr="003256DE">
              <w:rPr>
                <w:rFonts w:cs="Times New Roman"/>
                <w:b/>
                <w:color w:val="FFFFFF"/>
                <w:sz w:val="18"/>
                <w:szCs w:val="18"/>
              </w:rPr>
              <w:t>Relevancia Jurídica</w:t>
            </w:r>
          </w:p>
        </w:tc>
        <w:tc>
          <w:tcPr>
            <w:tcW w:w="4368" w:type="dxa"/>
            <w:tcBorders>
              <w:top w:val="single" w:sz="4" w:space="0" w:color="406E8C" w:themeColor="accent6" w:themeShade="BF"/>
              <w:bottom w:val="single" w:sz="4" w:space="0" w:color="406E8C" w:themeColor="accent6" w:themeShade="BF"/>
              <w:right w:val="single" w:sz="4" w:space="0" w:color="406E8C" w:themeColor="accent6" w:themeShade="BF"/>
            </w:tcBorders>
            <w:vAlign w:val="center"/>
          </w:tcPr>
          <w:p w:rsidR="00141DBA" w:rsidRPr="003256DE" w:rsidRDefault="00141DBA" w:rsidP="001D364C">
            <w:pPr>
              <w:jc w:val="left"/>
              <w:rPr>
                <w:rFonts w:cs="Times New Roman"/>
                <w:sz w:val="18"/>
                <w:szCs w:val="18"/>
              </w:rPr>
            </w:pPr>
            <w:r w:rsidRPr="003256DE">
              <w:rPr>
                <w:rFonts w:cs="Times New Roman"/>
                <w:sz w:val="18"/>
                <w:szCs w:val="18"/>
              </w:rPr>
              <w:t>Directrices, instrucciones, acuerdos, circulares o respuestas a consultas</w:t>
            </w:r>
          </w:p>
          <w:p w:rsidR="002F4D73" w:rsidRPr="003256DE" w:rsidRDefault="002F4D73" w:rsidP="001D364C">
            <w:pPr>
              <w:jc w:val="left"/>
              <w:rPr>
                <w:rFonts w:cs="Times New Roman"/>
                <w:sz w:val="18"/>
                <w:szCs w:val="18"/>
              </w:rPr>
            </w:pPr>
          </w:p>
          <w:p w:rsidR="002F4D73" w:rsidRPr="003256DE" w:rsidRDefault="002F4D73" w:rsidP="001D364C">
            <w:pPr>
              <w:jc w:val="left"/>
              <w:rPr>
                <w:rFonts w:cs="Times New Roman"/>
                <w:sz w:val="18"/>
                <w:szCs w:val="18"/>
              </w:rPr>
            </w:pPr>
            <w:r w:rsidRPr="003256DE">
              <w:rPr>
                <w:rFonts w:cs="Times New Roman"/>
                <w:sz w:val="18"/>
                <w:szCs w:val="18"/>
              </w:rPr>
              <w:t>Documentos sometidos a información pública durante su tramitación (según legislación sectorial)</w:t>
            </w:r>
          </w:p>
        </w:tc>
        <w:tc>
          <w:tcPr>
            <w:tcW w:w="3384" w:type="dxa"/>
            <w:tcBorders>
              <w:top w:val="single" w:sz="4" w:space="0" w:color="406E8C" w:themeColor="accent6" w:themeShade="BF"/>
              <w:bottom w:val="single" w:sz="4" w:space="0" w:color="406E8C" w:themeColor="accent6" w:themeShade="BF"/>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Fundaciones Públicas</w:t>
            </w:r>
          </w:p>
          <w:p w:rsidR="002F4D73" w:rsidRDefault="00196E57" w:rsidP="001D364C">
            <w:pPr>
              <w:jc w:val="left"/>
              <w:rPr>
                <w:rFonts w:cs="Times New Roman"/>
                <w:sz w:val="18"/>
                <w:szCs w:val="18"/>
              </w:rPr>
            </w:pPr>
            <w:r w:rsidRPr="003256DE">
              <w:rPr>
                <w:rFonts w:cs="Times New Roman"/>
                <w:sz w:val="18"/>
                <w:szCs w:val="18"/>
              </w:rPr>
              <w:t>Sociedades Mercantiles</w:t>
            </w:r>
          </w:p>
          <w:p w:rsidR="00D24B74" w:rsidRPr="003256DE" w:rsidRDefault="00D24B74" w:rsidP="001D364C">
            <w:pPr>
              <w:jc w:val="left"/>
              <w:rPr>
                <w:rFonts w:cs="Times New Roman"/>
                <w:sz w:val="18"/>
                <w:szCs w:val="18"/>
              </w:rPr>
            </w:pPr>
            <w:r>
              <w:rPr>
                <w:rFonts w:cs="Times New Roman"/>
                <w:sz w:val="18"/>
                <w:szCs w:val="18"/>
              </w:rPr>
              <w:t>Mutuas de Accidentes de Trabajo y Enfermedades Profesionales</w:t>
            </w:r>
          </w:p>
          <w:p w:rsidR="002F4D73" w:rsidRPr="003256DE" w:rsidRDefault="002F4D73" w:rsidP="001D364C">
            <w:pPr>
              <w:jc w:val="left"/>
              <w:rPr>
                <w:rFonts w:cs="Times New Roman"/>
                <w:sz w:val="18"/>
                <w:szCs w:val="18"/>
              </w:rPr>
            </w:pPr>
          </w:p>
          <w:p w:rsidR="002F4D73" w:rsidRPr="003256DE" w:rsidRDefault="002F4D73" w:rsidP="001D364C">
            <w:pPr>
              <w:jc w:val="left"/>
              <w:rPr>
                <w:rFonts w:cs="Times New Roman"/>
                <w:sz w:val="18"/>
                <w:szCs w:val="18"/>
              </w:rPr>
            </w:pPr>
            <w:r w:rsidRPr="003256DE">
              <w:rPr>
                <w:rFonts w:cs="Times New Roman"/>
                <w:sz w:val="18"/>
                <w:szCs w:val="18"/>
              </w:rPr>
              <w:t>Fundaciones Públicas</w:t>
            </w:r>
          </w:p>
          <w:p w:rsidR="00196E57" w:rsidRDefault="00196E57" w:rsidP="001D364C">
            <w:pPr>
              <w:jc w:val="left"/>
              <w:rPr>
                <w:rFonts w:cs="Times New Roman"/>
                <w:sz w:val="18"/>
                <w:szCs w:val="18"/>
              </w:rPr>
            </w:pPr>
            <w:r w:rsidRPr="003256DE">
              <w:rPr>
                <w:rFonts w:cs="Times New Roman"/>
                <w:sz w:val="18"/>
                <w:szCs w:val="18"/>
              </w:rPr>
              <w:t>Sociedades Mercantiles</w:t>
            </w:r>
          </w:p>
          <w:p w:rsidR="00D24B74" w:rsidRPr="003256DE" w:rsidRDefault="00D24B74" w:rsidP="001D364C">
            <w:pPr>
              <w:jc w:val="left"/>
              <w:rPr>
                <w:rFonts w:cs="Times New Roman"/>
                <w:sz w:val="18"/>
                <w:szCs w:val="18"/>
              </w:rPr>
            </w:pPr>
            <w:r w:rsidRPr="00D24B74">
              <w:rPr>
                <w:rFonts w:cs="Times New Roman"/>
                <w:sz w:val="18"/>
                <w:szCs w:val="18"/>
              </w:rPr>
              <w:t>Mutuas de Accidentes de Trabajo y Enfermedades Profesionales</w:t>
            </w:r>
          </w:p>
        </w:tc>
      </w:tr>
      <w:tr w:rsidR="00141DBA" w:rsidRPr="003256DE" w:rsidTr="00141DBA">
        <w:tc>
          <w:tcPr>
            <w:tcW w:w="1535" w:type="dxa"/>
            <w:vMerge w:val="restart"/>
            <w:tcBorders>
              <w:top w:val="nil"/>
              <w:bottom w:val="single" w:sz="4" w:space="0" w:color="F2F2F2" w:themeColor="background1" w:themeShade="F2"/>
            </w:tcBorders>
            <w:shd w:val="clear" w:color="auto" w:fill="438086" w:themeFill="accent2"/>
            <w:textDirection w:val="btLr"/>
          </w:tcPr>
          <w:p w:rsidR="00141DBA" w:rsidRPr="003256DE" w:rsidRDefault="00141DBA" w:rsidP="001D364C">
            <w:pPr>
              <w:ind w:left="113" w:right="113"/>
              <w:jc w:val="center"/>
              <w:rPr>
                <w:rFonts w:cs="Times New Roman"/>
                <w:b/>
                <w:color w:val="FFFFFF"/>
                <w:sz w:val="18"/>
                <w:szCs w:val="18"/>
              </w:rPr>
            </w:pPr>
            <w:r w:rsidRPr="003256DE">
              <w:rPr>
                <w:rFonts w:cs="Times New Roman"/>
                <w:b/>
                <w:color w:val="FFFFFF"/>
                <w:sz w:val="18"/>
                <w:szCs w:val="18"/>
              </w:rPr>
              <w:t>Económica, Presupuestaria y Estadística</w:t>
            </w:r>
          </w:p>
        </w:tc>
        <w:tc>
          <w:tcPr>
            <w:tcW w:w="4368" w:type="dxa"/>
            <w:tcBorders>
              <w:top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Contratos </w:t>
            </w:r>
          </w:p>
        </w:tc>
        <w:tc>
          <w:tcPr>
            <w:tcW w:w="3384" w:type="dxa"/>
            <w:tcBorders>
              <w:top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Modificaciones  de contratos </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Desistimientos y Renuncias </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Datos estadísticos sobre contratos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Contratos Menores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9417A3" w:rsidP="001D364C">
            <w:pPr>
              <w:jc w:val="left"/>
              <w:rPr>
                <w:rFonts w:cs="Times New Roman"/>
                <w:sz w:val="18"/>
                <w:szCs w:val="18"/>
              </w:rPr>
            </w:pPr>
            <w:r w:rsidRPr="003256DE">
              <w:rPr>
                <w:rFonts w:cs="Times New Roman"/>
                <w:noProof/>
                <w:sz w:val="18"/>
                <w:szCs w:val="18"/>
              </w:rPr>
              <mc:AlternateContent>
                <mc:Choice Requires="wps">
                  <w:drawing>
                    <wp:anchor distT="0" distB="0" distL="114300" distR="114300" simplePos="0" relativeHeight="251661312" behindDoc="0" locked="0" layoutInCell="1" allowOverlap="1" wp14:anchorId="39A223BC" wp14:editId="1C41C6CE">
                      <wp:simplePos x="0" y="0"/>
                      <wp:positionH relativeFrom="column">
                        <wp:posOffset>2696845</wp:posOffset>
                      </wp:positionH>
                      <wp:positionV relativeFrom="paragraph">
                        <wp:posOffset>61595</wp:posOffset>
                      </wp:positionV>
                      <wp:extent cx="76200" cy="495300"/>
                      <wp:effectExtent l="0" t="0" r="19050" b="19050"/>
                      <wp:wrapNone/>
                      <wp:docPr id="7" name="7 Abrir llave"/>
                      <wp:cNvGraphicFramePr/>
                      <a:graphic xmlns:a="http://schemas.openxmlformats.org/drawingml/2006/main">
                        <a:graphicData uri="http://schemas.microsoft.com/office/word/2010/wordprocessingShape">
                          <wps:wsp>
                            <wps:cNvSpPr/>
                            <wps:spPr>
                              <a:xfrm>
                                <a:off x="0" y="0"/>
                                <a:ext cx="76200" cy="495300"/>
                              </a:xfrm>
                              <a:prstGeom prst="leftBrac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Abrir llave" o:spid="_x0000_s1026" type="#_x0000_t87" style="position:absolute;margin-left:212.35pt;margin-top:4.85pt;width:6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" adj="277" strokecolor="#406e8c [2409]"/>
                  </w:pict>
                </mc:Fallback>
              </mc:AlternateContent>
            </w:r>
            <w:r w:rsidR="00141DBA" w:rsidRPr="003256DE">
              <w:rPr>
                <w:rFonts w:cs="Times New Roman"/>
                <w:sz w:val="18"/>
                <w:szCs w:val="18"/>
              </w:rPr>
              <w:t>Relación de los convenios suscritos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Encomiendas y Encargos</w:t>
            </w:r>
          </w:p>
        </w:tc>
        <w:tc>
          <w:tcPr>
            <w:tcW w:w="3384" w:type="dxa"/>
            <w:tcBorders>
              <w:top w:val="nil"/>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Fundaciones Públicas</w:t>
            </w:r>
            <w:r w:rsidR="00196E57" w:rsidRPr="003256DE">
              <w:rPr>
                <w:rFonts w:cs="Times New Roman"/>
                <w:sz w:val="18"/>
                <w:szCs w:val="18"/>
              </w:rPr>
              <w:t>; Sociedades Mercantiles</w:t>
            </w: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Subcontrataciones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Subvenciones y ayudas públicas </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Presupuestos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Ejecución presupuestaria</w:t>
            </w:r>
          </w:p>
        </w:tc>
        <w:tc>
          <w:tcPr>
            <w:tcW w:w="3384" w:type="dxa"/>
            <w:tcBorders>
              <w:top w:val="nil"/>
              <w:right w:val="single" w:sz="4" w:space="0" w:color="406E8C" w:themeColor="accent6" w:themeShade="BF"/>
            </w:tcBorders>
          </w:tcPr>
          <w:p w:rsidR="00141DBA" w:rsidRPr="003256DE" w:rsidRDefault="002F4D73" w:rsidP="00196E57">
            <w:pPr>
              <w:jc w:val="left"/>
              <w:rPr>
                <w:rFonts w:cs="Times New Roman"/>
                <w:sz w:val="18"/>
                <w:szCs w:val="18"/>
              </w:rPr>
            </w:pPr>
            <w:r w:rsidRPr="003256DE">
              <w:rPr>
                <w:rFonts w:cs="Times New Roman"/>
                <w:sz w:val="18"/>
                <w:szCs w:val="18"/>
              </w:rPr>
              <w:t>Entidades de derecho público (art. 2.1.d LTAIBG</w:t>
            </w:r>
            <w:r w:rsidR="009417A3" w:rsidRPr="003256DE">
              <w:rPr>
                <w:rFonts w:cs="Times New Roman"/>
                <w:sz w:val="18"/>
                <w:szCs w:val="18"/>
              </w:rPr>
              <w:t>)</w:t>
            </w:r>
            <w:r w:rsidRPr="003256DE">
              <w:rPr>
                <w:rFonts w:cs="Times New Roman"/>
                <w:sz w:val="18"/>
                <w:szCs w:val="18"/>
              </w:rPr>
              <w:t>; Fundaciones Públicas</w:t>
            </w:r>
            <w:r w:rsidR="00196E57" w:rsidRPr="003256DE">
              <w:rPr>
                <w:rFonts w:cs="Times New Roman"/>
                <w:sz w:val="18"/>
                <w:szCs w:val="18"/>
              </w:rPr>
              <w:t>; Sociedades Mercantiles</w:t>
            </w:r>
            <w:r w:rsidR="00D24B74">
              <w:rPr>
                <w:rFonts w:cs="Times New Roman"/>
                <w:sz w:val="18"/>
                <w:szCs w:val="18"/>
              </w:rPr>
              <w:t>; Organismos públicos con presupuestos estimativos</w:t>
            </w: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Cuentas anuales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Informes de auditoría de cuentas y de fiscalización por órganos de control externo</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Retribuciones anuales Altos Cargos y máximos responsables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Indemnizaciones percibidas por Altos Cargos con ocasión del abandono del cargo</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Resoluciones de autorización o reconocimiento de compatibilidad de empleados.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bottom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Autorización para actividad privada al cese de altos cargos en la AGE, CCAA o EELL</w:t>
            </w:r>
          </w:p>
        </w:tc>
        <w:tc>
          <w:tcPr>
            <w:tcW w:w="3384" w:type="dxa"/>
            <w:tcBorders>
              <w:top w:val="nil"/>
              <w:bottom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bottom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Información estadística necesaria para valorar el grado de cumplimiento y calidad de los servicios públicos de su competencia</w:t>
            </w:r>
          </w:p>
        </w:tc>
        <w:tc>
          <w:tcPr>
            <w:tcW w:w="3384" w:type="dxa"/>
            <w:tcBorders>
              <w:top w:val="nil"/>
              <w:bottom w:val="single" w:sz="4" w:space="0" w:color="406E8C" w:themeColor="accent6" w:themeShade="BF"/>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Fundaciones Públicas</w:t>
            </w:r>
          </w:p>
          <w:p w:rsidR="00196E57" w:rsidRPr="003256DE" w:rsidRDefault="00196E57" w:rsidP="001D364C">
            <w:pPr>
              <w:jc w:val="left"/>
              <w:rPr>
                <w:rFonts w:cs="Times New Roman"/>
                <w:sz w:val="18"/>
                <w:szCs w:val="18"/>
              </w:rPr>
            </w:pPr>
            <w:r w:rsidRPr="003256DE">
              <w:rPr>
                <w:rFonts w:cs="Times New Roman"/>
                <w:sz w:val="18"/>
                <w:szCs w:val="18"/>
              </w:rPr>
              <w:t>Sociedades Mercantiles</w:t>
            </w:r>
          </w:p>
        </w:tc>
      </w:tr>
      <w:tr w:rsidR="00141DBA" w:rsidRPr="003256DE" w:rsidTr="00141DBA">
        <w:tc>
          <w:tcPr>
            <w:tcW w:w="1535" w:type="dxa"/>
            <w:tcBorders>
              <w:top w:val="single" w:sz="4" w:space="0" w:color="F2F2F2" w:themeColor="background1" w:themeShade="F2"/>
              <w:bottom w:val="single" w:sz="4" w:space="0" w:color="325F64" w:themeColor="accent2" w:themeShade="BF"/>
            </w:tcBorders>
            <w:shd w:val="clear" w:color="auto" w:fill="438086" w:themeFill="accent2"/>
          </w:tcPr>
          <w:p w:rsidR="00141DBA" w:rsidRPr="003256DE" w:rsidRDefault="00141DBA" w:rsidP="001D364C">
            <w:pPr>
              <w:jc w:val="left"/>
              <w:rPr>
                <w:rFonts w:cs="Times New Roman"/>
                <w:b/>
                <w:color w:val="FFFFFF"/>
                <w:sz w:val="18"/>
                <w:szCs w:val="18"/>
              </w:rPr>
            </w:pPr>
            <w:r w:rsidRPr="003256DE">
              <w:rPr>
                <w:rFonts w:cs="Times New Roman"/>
                <w:b/>
                <w:color w:val="FFFFFF"/>
                <w:sz w:val="18"/>
                <w:szCs w:val="18"/>
              </w:rPr>
              <w:t>Información Patrimonial</w:t>
            </w:r>
          </w:p>
        </w:tc>
        <w:tc>
          <w:tcPr>
            <w:tcW w:w="4368" w:type="dxa"/>
            <w:tcBorders>
              <w:top w:val="single" w:sz="4" w:space="0" w:color="406E8C" w:themeColor="accent6" w:themeShade="BF"/>
              <w:bottom w:val="single" w:sz="4" w:space="0" w:color="325F64" w:themeColor="accent2" w:themeShade="BF"/>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Relación de los bienes inmuebles que sean de su propiedad o sobre los que ostenten algún derecho real.</w:t>
            </w:r>
          </w:p>
        </w:tc>
        <w:tc>
          <w:tcPr>
            <w:tcW w:w="3384" w:type="dxa"/>
            <w:tcBorders>
              <w:top w:val="single" w:sz="4" w:space="0" w:color="406E8C" w:themeColor="accent6" w:themeShade="BF"/>
              <w:bottom w:val="single" w:sz="4" w:space="0" w:color="325F64" w:themeColor="accent2" w:themeShade="BF"/>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Fundaciones Públicas</w:t>
            </w:r>
          </w:p>
          <w:p w:rsidR="00196E57" w:rsidRPr="003256DE" w:rsidRDefault="00196E57" w:rsidP="001D364C">
            <w:pPr>
              <w:jc w:val="left"/>
              <w:rPr>
                <w:rFonts w:cs="Times New Roman"/>
                <w:sz w:val="18"/>
                <w:szCs w:val="18"/>
              </w:rPr>
            </w:pPr>
            <w:r w:rsidRPr="003256DE">
              <w:rPr>
                <w:rFonts w:cs="Times New Roman"/>
                <w:sz w:val="18"/>
                <w:szCs w:val="18"/>
              </w:rPr>
              <w:t>Sociedades Mercantiles</w:t>
            </w:r>
          </w:p>
        </w:tc>
      </w:tr>
    </w:tbl>
    <w:p w:rsidR="001D364C" w:rsidRDefault="001D364C" w:rsidP="00CE43A8"/>
    <w:p w:rsidR="00E719EF" w:rsidRDefault="00F07996" w:rsidP="00E719EF">
      <w:r w:rsidRPr="00F07996">
        <w:t>Además</w:t>
      </w:r>
      <w:r w:rsidR="00F30A2C">
        <w:t>,</w:t>
      </w:r>
      <w:r w:rsidRPr="00F07996">
        <w:t xml:space="preserve"> pueden existir ámbitos en los que </w:t>
      </w:r>
      <w:r w:rsidR="009417A3">
        <w:t>una</w:t>
      </w:r>
      <w:r w:rsidRPr="00F07996">
        <w:t xml:space="preserve"> </w:t>
      </w:r>
      <w:r w:rsidR="009417A3">
        <w:t>entidad concreta</w:t>
      </w:r>
      <w:r w:rsidRPr="00F07996">
        <w:t xml:space="preserve"> carezca de competencias para desarrollar las actividades a las que se refiere una determinada obligación de publicidad activa o en un ámbito concreto no haya existido actividad –por ejemplo, que no se haya celebrado ningún convenio de colaboración – o que la información no sea publicable por existir algún tipo de restricción legal.</w:t>
      </w:r>
    </w:p>
    <w:p w:rsidR="00E719EF" w:rsidRDefault="00E719EF" w:rsidP="00E719EF"/>
    <w:p w:rsidR="005F586A" w:rsidRPr="00077CDF" w:rsidRDefault="000B5A54" w:rsidP="00E719EF">
      <w:pPr>
        <w:pStyle w:val="Ttulo1"/>
      </w:pPr>
      <w:bookmarkStart w:id="4" w:name="_Toc113366610"/>
      <w:r w:rsidRPr="00E719EF">
        <w:rPr>
          <w:rStyle w:val="Ttulo1Car"/>
        </w:rPr>
        <w:t xml:space="preserve">III. </w:t>
      </w:r>
      <w:r w:rsidR="005F586A" w:rsidRPr="00E719EF">
        <w:rPr>
          <w:rStyle w:val="Ttulo1Car"/>
        </w:rPr>
        <w:t>Evaluación del cumplimiento de las obligaciones de publicidad activa</w:t>
      </w:r>
      <w:r w:rsidR="00090A3E" w:rsidRPr="00E719EF">
        <w:rPr>
          <w:rStyle w:val="Ttulo1Car"/>
        </w:rPr>
        <w:t xml:space="preserve"> por parte de las </w:t>
      </w:r>
      <w:r w:rsidR="00196E57" w:rsidRPr="00E719EF">
        <w:rPr>
          <w:rStyle w:val="Ttulo1Car"/>
        </w:rPr>
        <w:t>entidades del Sector Público Institucional</w:t>
      </w:r>
      <w:r w:rsidR="00090A3E" w:rsidRPr="00077CDF">
        <w:t>.</w:t>
      </w:r>
      <w:bookmarkEnd w:id="4"/>
    </w:p>
    <w:p w:rsidR="009505E3" w:rsidRDefault="009505E3" w:rsidP="00077CDF">
      <w:pPr>
        <w:pStyle w:val="Ttulo2"/>
      </w:pPr>
    </w:p>
    <w:p w:rsidR="005F586A" w:rsidRDefault="000B5A54" w:rsidP="00077CDF">
      <w:pPr>
        <w:pStyle w:val="Ttulo2"/>
      </w:pPr>
      <w:bookmarkStart w:id="5" w:name="_Toc113366611"/>
      <w:r>
        <w:t>III.</w:t>
      </w:r>
      <w:r w:rsidR="009505E3">
        <w:t>1</w:t>
      </w:r>
      <w:r>
        <w:t xml:space="preserve"> </w:t>
      </w:r>
      <w:r w:rsidR="00513EC7">
        <w:t>Localización y estructuración de la información</w:t>
      </w:r>
      <w:bookmarkEnd w:id="5"/>
    </w:p>
    <w:p w:rsidR="00513EC7" w:rsidRDefault="00513EC7" w:rsidP="00513EC7"/>
    <w:p w:rsidR="00235A5B" w:rsidRDefault="00AC7031" w:rsidP="00235A5B">
      <w:r>
        <w:t>El 78,6%</w:t>
      </w:r>
      <w:r w:rsidR="00144DA6">
        <w:t xml:space="preserve"> de las</w:t>
      </w:r>
      <w:r w:rsidR="00235A5B">
        <w:t xml:space="preserve"> entidades evaluadas </w:t>
      </w:r>
      <w:r w:rsidR="00144DA6">
        <w:t>dispone de un</w:t>
      </w:r>
      <w:r w:rsidR="00235A5B">
        <w:t xml:space="preserve"> Portal de Transparencia</w:t>
      </w:r>
      <w:r w:rsidR="00144DA6">
        <w:t xml:space="preserve"> en su web institucional</w:t>
      </w:r>
      <w:r w:rsidR="00235A5B">
        <w:t>.</w:t>
      </w:r>
      <w:r w:rsidR="00144DA6">
        <w:t xml:space="preserve"> De ellas</w:t>
      </w:r>
      <w:r w:rsidR="00F30A2C">
        <w:t>,</w:t>
      </w:r>
      <w:r w:rsidR="00144DA6">
        <w:t xml:space="preserve"> un </w:t>
      </w:r>
      <w:r>
        <w:t>67,8</w:t>
      </w:r>
      <w:r w:rsidR="00144DA6">
        <w:t>% da acceso a este Portal mediante un banner ubicado en un lugar visible de la página principal</w:t>
      </w:r>
      <w:r w:rsidR="00F30A2C">
        <w:t>,</w:t>
      </w:r>
      <w:r w:rsidR="00144DA6">
        <w:t xml:space="preserve"> mientras que el </w:t>
      </w:r>
      <w:r>
        <w:t>32,2</w:t>
      </w:r>
      <w:r w:rsidR="00144DA6">
        <w:t>% restante enlaza a</w:t>
      </w:r>
      <w:r w:rsidR="004856CF">
        <w:t xml:space="preserve"> su</w:t>
      </w:r>
      <w:r w:rsidR="00144DA6">
        <w:t xml:space="preserve"> Portal a través de un link dependiente de alguno de los accesos principales de la página de inicio.  </w:t>
      </w:r>
    </w:p>
    <w:p w:rsidR="00AC7031" w:rsidRDefault="00AC7031" w:rsidP="00235A5B"/>
    <w:p w:rsidR="00900909" w:rsidRDefault="00AC7031" w:rsidP="00235A5B">
      <w:r>
        <w:lastRenderedPageBreak/>
        <w:t xml:space="preserve">Más de una quinta parte de las entidades evaluadas carece de un espacio específico para la publicación de las informaciones obligatorias, lo que obliga a recorrer los distintos accesos y apartados de sus webs institucionales para localizar esta información. </w:t>
      </w:r>
    </w:p>
    <w:p w:rsidR="00144DA6" w:rsidRDefault="00235A5B" w:rsidP="00235A5B">
      <w:r>
        <w:t>La información se estructura conforme a los bloques de obligaciones en materia de publicidad activa que establece la LTAIBG</w:t>
      </w:r>
      <w:r w:rsidR="00144DA6">
        <w:t xml:space="preserve"> en el </w:t>
      </w:r>
      <w:r w:rsidR="00900909">
        <w:t>45,3</w:t>
      </w:r>
      <w:r w:rsidR="00144DA6">
        <w:t xml:space="preserve">% de los casos. Un </w:t>
      </w:r>
      <w:r w:rsidR="00900909">
        <w:t>26,7</w:t>
      </w:r>
      <w:r w:rsidR="00144DA6">
        <w:t>% adicional presenta la información obligatoria organizada</w:t>
      </w:r>
      <w:r w:rsidR="00F30A2C">
        <w:t>,</w:t>
      </w:r>
      <w:r w:rsidR="00144DA6">
        <w:t xml:space="preserve"> pero siguiendo un patrón diferente del establecido por la LTAIBG. En un </w:t>
      </w:r>
      <w:r w:rsidR="00900909">
        <w:t>28</w:t>
      </w:r>
      <w:r w:rsidR="00144DA6">
        <w:t xml:space="preserve">% de los casos la información está dispersa y se localiza en diferentes lugares de la web institucional. </w:t>
      </w:r>
    </w:p>
    <w:p w:rsidR="00152FBA" w:rsidRDefault="00900909" w:rsidP="00235A5B">
      <w:r>
        <w:t xml:space="preserve">Más de la mitad – el 53,4% - de los organismos que disponen de Portal de Transparencias, </w:t>
      </w:r>
      <w:r w:rsidR="00144DA6">
        <w:t xml:space="preserve">publica </w:t>
      </w:r>
      <w:r w:rsidR="00152FBA">
        <w:t xml:space="preserve">informaciones sujetas a obligaciones de publicidad activa en otros apartados de su web institucional distintos del </w:t>
      </w:r>
      <w:r w:rsidR="004856CF">
        <w:t>P</w:t>
      </w:r>
      <w:r w:rsidR="00152FBA">
        <w:t>ortal de Transparencia.</w:t>
      </w:r>
    </w:p>
    <w:p w:rsidR="009005BB" w:rsidRDefault="009005BB" w:rsidP="00235A5B"/>
    <w:p w:rsidR="00513EC7" w:rsidRDefault="00984881" w:rsidP="00984881">
      <w:pPr>
        <w:pStyle w:val="Ttulo2"/>
      </w:pPr>
      <w:bookmarkStart w:id="6" w:name="_Toc113366612"/>
      <w:r>
        <w:t>III</w:t>
      </w:r>
      <w:r w:rsidR="000B5A54">
        <w:t>.</w:t>
      </w:r>
      <w:r w:rsidR="00D24B74">
        <w:t>3</w:t>
      </w:r>
      <w:r w:rsidR="000B5A54">
        <w:t xml:space="preserve">. </w:t>
      </w:r>
      <w:r w:rsidR="00E924EF">
        <w:t>Cumplimiento de las o</w:t>
      </w:r>
      <w:r w:rsidR="00513EC7">
        <w:t>bligaciones de publicidad activa</w:t>
      </w:r>
      <w:bookmarkEnd w:id="6"/>
    </w:p>
    <w:p w:rsidR="00513EC7" w:rsidRDefault="00513EC7" w:rsidP="00513EC7"/>
    <w:p w:rsidR="00900909" w:rsidRDefault="00900909" w:rsidP="00900909">
      <w:pPr>
        <w:pStyle w:val="Ttulo3"/>
      </w:pPr>
      <w:bookmarkStart w:id="7" w:name="_Toc113366613"/>
      <w:r>
        <w:t>III.3.1 Grado de aplicación de las recomendaciones derivadas de la evaluación 2021.</w:t>
      </w:r>
      <w:bookmarkEnd w:id="7"/>
      <w:r>
        <w:t xml:space="preserve"> </w:t>
      </w:r>
    </w:p>
    <w:p w:rsidR="00900909" w:rsidRDefault="00900909" w:rsidP="00900909">
      <w:pPr>
        <w:pStyle w:val="Ttulo3"/>
      </w:pPr>
    </w:p>
    <w:p w:rsidR="00900909" w:rsidRDefault="00900909" w:rsidP="00900909">
      <w:r>
        <w:t>En 2021 se efectuaron un total de 863 recomendaciones a partir de las evidencias obtenidas en la evaluación correspondiente a dicho año. De estas 863 recomendaciones</w:t>
      </w:r>
      <w:r w:rsidR="00A25618">
        <w:t>,</w:t>
      </w:r>
      <w:r>
        <w:t xml:space="preserve"> se han aplicado 339, lo que representa un 39,3% del total.</w:t>
      </w:r>
    </w:p>
    <w:p w:rsidR="009A0015" w:rsidRPr="009A0015" w:rsidRDefault="009A0015" w:rsidP="009A0015">
      <w:pPr>
        <w:pStyle w:val="Epgrafe"/>
        <w:keepNext/>
        <w:rPr>
          <w:bCs w:val="0"/>
          <w:color w:val="438086" w:themeColor="accent2"/>
          <w:sz w:val="22"/>
          <w:szCs w:val="22"/>
        </w:rPr>
      </w:pPr>
      <w:r w:rsidRPr="009A0015">
        <w:rPr>
          <w:bCs w:val="0"/>
          <w:color w:val="438086" w:themeColor="accent2"/>
          <w:sz w:val="22"/>
          <w:szCs w:val="22"/>
        </w:rPr>
        <w:t xml:space="preserve">Gráfico </w:t>
      </w:r>
      <w:r w:rsidRPr="009A0015">
        <w:rPr>
          <w:bCs w:val="0"/>
          <w:color w:val="438086" w:themeColor="accent2"/>
          <w:sz w:val="22"/>
          <w:szCs w:val="22"/>
        </w:rPr>
        <w:fldChar w:fldCharType="begin"/>
      </w:r>
      <w:r w:rsidRPr="009A0015">
        <w:rPr>
          <w:bCs w:val="0"/>
          <w:color w:val="438086" w:themeColor="accent2"/>
          <w:sz w:val="22"/>
          <w:szCs w:val="22"/>
        </w:rPr>
        <w:instrText xml:space="preserve"> SEQ Gráfico \* ARABIC </w:instrText>
      </w:r>
      <w:r w:rsidRPr="009A0015">
        <w:rPr>
          <w:bCs w:val="0"/>
          <w:color w:val="438086" w:themeColor="accent2"/>
          <w:sz w:val="22"/>
          <w:szCs w:val="22"/>
        </w:rPr>
        <w:fldChar w:fldCharType="separate"/>
      </w:r>
      <w:r w:rsidRPr="009A0015">
        <w:rPr>
          <w:bCs w:val="0"/>
          <w:color w:val="438086" w:themeColor="accent2"/>
          <w:sz w:val="22"/>
          <w:szCs w:val="22"/>
        </w:rPr>
        <w:t>1</w:t>
      </w:r>
      <w:r w:rsidRPr="009A0015">
        <w:rPr>
          <w:bCs w:val="0"/>
          <w:color w:val="438086" w:themeColor="accent2"/>
          <w:sz w:val="22"/>
          <w:szCs w:val="22"/>
        </w:rPr>
        <w:fldChar w:fldCharType="end"/>
      </w:r>
      <w:r w:rsidRPr="009A0015">
        <w:rPr>
          <w:bCs w:val="0"/>
          <w:color w:val="438086" w:themeColor="accent2"/>
          <w:sz w:val="22"/>
          <w:szCs w:val="22"/>
        </w:rPr>
        <w:t>: Grado de aplicación de las recomendaciones derivadas de la evaluación 2021.</w:t>
      </w:r>
    </w:p>
    <w:p w:rsidR="009A0015" w:rsidRDefault="009A0015" w:rsidP="00900909">
      <w:r>
        <w:rPr>
          <w:noProof/>
        </w:rPr>
        <w:drawing>
          <wp:inline distT="0" distB="0" distL="0" distR="0" wp14:anchorId="2A249C5D" wp14:editId="598F563A">
            <wp:extent cx="56769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0909" w:rsidRDefault="009A0015" w:rsidP="00900909">
      <w:r>
        <w:lastRenderedPageBreak/>
        <w:t>El 2</w:t>
      </w:r>
      <w:r w:rsidR="00C46EF1">
        <w:t>2</w:t>
      </w:r>
      <w:r w:rsidR="00900909">
        <w:t xml:space="preserve">% de </w:t>
      </w:r>
      <w:r>
        <w:t>las entidades evaluadas por primera vez en 2021, ha aplicado el 8</w:t>
      </w:r>
      <w:r w:rsidR="00900909">
        <w:t xml:space="preserve">0% </w:t>
      </w:r>
      <w:r>
        <w:t xml:space="preserve">o más </w:t>
      </w:r>
      <w:r w:rsidR="00900909">
        <w:t xml:space="preserve">de las recomendaciones efectuadas. En estas instituciones, el incremento medio del Índice de Cumplimiento de la Información Obligatoria asciende a </w:t>
      </w:r>
      <w:r>
        <w:t>34</w:t>
      </w:r>
      <w:r w:rsidR="00900909">
        <w:t xml:space="preserve"> puntos porcentuales</w:t>
      </w:r>
      <w:r w:rsidR="00F30A2C">
        <w:t>,</w:t>
      </w:r>
      <w:r w:rsidR="00900909">
        <w:t xml:space="preserve"> con un rango de variación que oscila entre </w:t>
      </w:r>
      <w:r>
        <w:t>14,4</w:t>
      </w:r>
      <w:r w:rsidR="00900909">
        <w:t xml:space="preserve"> y </w:t>
      </w:r>
      <w:r>
        <w:t>55,3</w:t>
      </w:r>
      <w:r w:rsidR="00900909">
        <w:t xml:space="preserve"> puntos porcentuales.</w:t>
      </w:r>
    </w:p>
    <w:p w:rsidR="00900909" w:rsidRDefault="00900909" w:rsidP="00984881">
      <w:pPr>
        <w:pStyle w:val="Ttulo3"/>
      </w:pPr>
    </w:p>
    <w:p w:rsidR="00513EC7" w:rsidRDefault="000B5A54" w:rsidP="00984881">
      <w:pPr>
        <w:pStyle w:val="Ttulo3"/>
      </w:pPr>
      <w:bookmarkStart w:id="8" w:name="_Toc113366614"/>
      <w:r>
        <w:t>III.</w:t>
      </w:r>
      <w:r w:rsidR="00D24B74">
        <w:t>3</w:t>
      </w:r>
      <w:r>
        <w:t>.</w:t>
      </w:r>
      <w:r w:rsidR="009A0015">
        <w:t>2</w:t>
      </w:r>
      <w:r>
        <w:t xml:space="preserve">.  </w:t>
      </w:r>
      <w:r w:rsidR="00513EC7">
        <w:t>Información Institucional, Organizativa y de Planificación</w:t>
      </w:r>
      <w:bookmarkEnd w:id="8"/>
    </w:p>
    <w:p w:rsidR="00513EC7" w:rsidRDefault="00513EC7" w:rsidP="00513EC7">
      <w:pPr>
        <w:pStyle w:val="Ttulo4"/>
        <w:rPr>
          <w:i w:val="0"/>
        </w:rPr>
      </w:pPr>
    </w:p>
    <w:p w:rsidR="00152FBA" w:rsidRDefault="00F23B80" w:rsidP="00152FBA">
      <w:r>
        <w:t>En promedio</w:t>
      </w:r>
      <w:r w:rsidR="00A25618">
        <w:t>,</w:t>
      </w:r>
      <w:r>
        <w:t xml:space="preserve"> se publica</w:t>
      </w:r>
      <w:r w:rsidR="00984881">
        <w:t xml:space="preserve"> </w:t>
      </w:r>
      <w:r w:rsidR="00100FDC">
        <w:t xml:space="preserve">el </w:t>
      </w:r>
      <w:r w:rsidR="009A1DDA">
        <w:t>74</w:t>
      </w:r>
      <w:r w:rsidR="00BB5FFF">
        <w:t>,4</w:t>
      </w:r>
      <w:r w:rsidR="00100FDC">
        <w:t>%</w:t>
      </w:r>
      <w:r>
        <w:t xml:space="preserve"> de las informaciones obligatorias</w:t>
      </w:r>
      <w:r w:rsidR="005C658E">
        <w:t xml:space="preserve"> de este bloque</w:t>
      </w:r>
      <w:r>
        <w:t xml:space="preserve">, con un rango de variación de entre el </w:t>
      </w:r>
      <w:r w:rsidR="009A1DDA">
        <w:t xml:space="preserve">20 </w:t>
      </w:r>
      <w:r>
        <w:t xml:space="preserve"> y el </w:t>
      </w:r>
      <w:r w:rsidR="00BB5FFF">
        <w:t>100</w:t>
      </w:r>
      <w:r>
        <w:t>%.</w:t>
      </w:r>
    </w:p>
    <w:p w:rsidR="00144DA6" w:rsidRDefault="00DB52E9" w:rsidP="00152FBA">
      <w:r>
        <w:t>Existen diferencias en cuanto a la proporción de contenidos obligatorios que publican unas entidades u otras. Las sociedades mercantiles</w:t>
      </w:r>
      <w:r w:rsidR="00D33380">
        <w:t xml:space="preserve">, como ya ocurría en 2021, </w:t>
      </w:r>
      <w:r>
        <w:t>son las que presentan un mejor desempeño</w:t>
      </w:r>
      <w:r w:rsidR="00F30A2C">
        <w:t>,</w:t>
      </w:r>
      <w:r>
        <w:t xml:space="preserve"> mientras que las Mutuas </w:t>
      </w:r>
      <w:r w:rsidR="00EA1027">
        <w:t xml:space="preserve">de Accidentes de Trabajo y Enfermedades Profesionales de la Seguridad Social (en adelante, MATEPSS) </w:t>
      </w:r>
      <w:r>
        <w:t>alcanzan valores muy inferiores a la media del grupo.</w:t>
      </w:r>
    </w:p>
    <w:p w:rsidR="00DB52E9" w:rsidRDefault="00DB52E9" w:rsidP="00DB52E9">
      <w:pPr>
        <w:pStyle w:val="Epgrafe"/>
        <w:keepNext/>
        <w:rPr>
          <w:bCs w:val="0"/>
          <w:color w:val="438086" w:themeColor="accent2"/>
          <w:sz w:val="22"/>
          <w:szCs w:val="22"/>
        </w:rPr>
      </w:pPr>
      <w:r w:rsidRPr="00DB52E9">
        <w:rPr>
          <w:bCs w:val="0"/>
          <w:color w:val="438086" w:themeColor="accent2"/>
          <w:sz w:val="22"/>
          <w:szCs w:val="22"/>
        </w:rPr>
        <w:t xml:space="preserve">Gráfico </w:t>
      </w:r>
      <w:r w:rsidRPr="00DB52E9">
        <w:rPr>
          <w:bCs w:val="0"/>
          <w:color w:val="438086" w:themeColor="accent2"/>
          <w:sz w:val="22"/>
          <w:szCs w:val="22"/>
        </w:rPr>
        <w:fldChar w:fldCharType="begin"/>
      </w:r>
      <w:r w:rsidRPr="00DB52E9">
        <w:rPr>
          <w:bCs w:val="0"/>
          <w:color w:val="438086" w:themeColor="accent2"/>
          <w:sz w:val="22"/>
          <w:szCs w:val="22"/>
        </w:rPr>
        <w:instrText xml:space="preserve"> SEQ Gráfico \* ARABIC </w:instrText>
      </w:r>
      <w:r w:rsidRPr="00DB52E9">
        <w:rPr>
          <w:bCs w:val="0"/>
          <w:color w:val="438086" w:themeColor="accent2"/>
          <w:sz w:val="22"/>
          <w:szCs w:val="22"/>
        </w:rPr>
        <w:fldChar w:fldCharType="separate"/>
      </w:r>
      <w:r w:rsidR="009A0015">
        <w:rPr>
          <w:bCs w:val="0"/>
          <w:noProof/>
          <w:color w:val="438086" w:themeColor="accent2"/>
          <w:sz w:val="22"/>
          <w:szCs w:val="22"/>
        </w:rPr>
        <w:t>2</w:t>
      </w:r>
      <w:r w:rsidRPr="00DB52E9">
        <w:rPr>
          <w:bCs w:val="0"/>
          <w:color w:val="438086" w:themeColor="accent2"/>
          <w:sz w:val="22"/>
          <w:szCs w:val="22"/>
        </w:rPr>
        <w:fldChar w:fldCharType="end"/>
      </w:r>
      <w:r w:rsidRPr="00DB52E9">
        <w:rPr>
          <w:bCs w:val="0"/>
          <w:color w:val="438086" w:themeColor="accent2"/>
          <w:sz w:val="22"/>
          <w:szCs w:val="22"/>
        </w:rPr>
        <w:t>: Porcentaje de contenidos obligatorios publicados según tipología de entidad evaluada</w:t>
      </w:r>
      <w:r w:rsidR="00757000">
        <w:rPr>
          <w:bCs w:val="0"/>
          <w:color w:val="438086" w:themeColor="accent2"/>
          <w:sz w:val="22"/>
          <w:szCs w:val="22"/>
        </w:rPr>
        <w:t xml:space="preserve"> (Información Institucional, Organizativa y de Planificación).</w:t>
      </w:r>
    </w:p>
    <w:p w:rsidR="009A1DDA" w:rsidRDefault="009A1DDA" w:rsidP="009A1DDA">
      <w:r>
        <w:rPr>
          <w:noProof/>
        </w:rPr>
        <w:drawing>
          <wp:inline distT="0" distB="0" distL="0" distR="0" wp14:anchorId="606C1D16" wp14:editId="0188B3E3">
            <wp:extent cx="6029325" cy="300990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1717" w:rsidRDefault="00841717" w:rsidP="009A1DDA"/>
    <w:p w:rsidR="009A1DDA" w:rsidRDefault="00841717" w:rsidP="009A1DDA">
      <w:r>
        <w:t>Respecto de 2021,</w:t>
      </w:r>
      <w:r w:rsidR="00EA1027">
        <w:t xml:space="preserve"> se produce un incremento de 12 puntos porcentuales en la proporción de contenidos obligatorios publicados. Las MATEPSS son las entidades de este grupo que presentan una mejor evolución en cuanto a la publicación de contenidos (+ 21,3 p.p</w:t>
      </w:r>
      <w:r w:rsidR="00901E5F">
        <w:t>.</w:t>
      </w:r>
      <w:r w:rsidR="00EA1027">
        <w:t>), seguidas de las entidades de derecho público (+ 15,9 p.p</w:t>
      </w:r>
      <w:r w:rsidR="00901E5F">
        <w:t>.</w:t>
      </w:r>
      <w:r w:rsidR="00EA1027">
        <w:t xml:space="preserve">). </w:t>
      </w:r>
      <w:r w:rsidR="00901E5F">
        <w:t>Sin embargo, las Fundaciones han permanecido prácticamente estables respecto de 2021: + 1,6 p.p.</w:t>
      </w:r>
    </w:p>
    <w:p w:rsidR="00901E5F" w:rsidRPr="009A1DDA" w:rsidRDefault="00901E5F" w:rsidP="009A1DDA">
      <w:r>
        <w:lastRenderedPageBreak/>
        <w:t xml:space="preserve">Existen diferencias estadísticamente significativas en la proporción de contenidos obligatorios publicados según se trate de entidades </w:t>
      </w:r>
      <w:r w:rsidR="00765F43">
        <w:t>evaluadas por primera vez en 2022 o evaluadas en 2021. Las entidades que se evaluaron en 2021 publican en promedio el 80,3</w:t>
      </w:r>
      <w:r w:rsidR="00841717">
        <w:t>%</w:t>
      </w:r>
      <w:r w:rsidR="00765F43">
        <w:t xml:space="preserve"> de las informaciones obligatorias</w:t>
      </w:r>
      <w:r w:rsidR="00E74D60">
        <w:t>,</w:t>
      </w:r>
      <w:r w:rsidR="00765F43">
        <w:t xml:space="preserve"> frente al 68% de las entidades evaluadas por primera vez en 2022. </w:t>
      </w:r>
    </w:p>
    <w:p w:rsidR="00195B99" w:rsidRDefault="008F03C4" w:rsidP="00152FBA">
      <w:r>
        <w:t>Como en 2021, e</w:t>
      </w:r>
      <w:r w:rsidR="00F23B80" w:rsidRPr="00841717">
        <w:t>l principal déficit de publicación de contenidos obligatorios se localiza en el grupo de obligaciones relativas a planificación</w:t>
      </w:r>
      <w:r w:rsidR="008176A6" w:rsidRPr="00841717">
        <w:t xml:space="preserve"> </w:t>
      </w:r>
      <w:r w:rsidR="00195B99" w:rsidRPr="00841717">
        <w:t xml:space="preserve">y </w:t>
      </w:r>
      <w:r w:rsidR="00247E8E" w:rsidRPr="00841717">
        <w:t>en el</w:t>
      </w:r>
      <w:r w:rsidR="00195B99" w:rsidRPr="00841717">
        <w:t xml:space="preserve"> Registr</w:t>
      </w:r>
      <w:r w:rsidR="008176A6" w:rsidRPr="00841717">
        <w:t>o</w:t>
      </w:r>
      <w:r w:rsidR="00984881" w:rsidRPr="00841717">
        <w:t xml:space="preserve"> de Actividades de Tratamiento</w:t>
      </w:r>
      <w:r w:rsidR="00F20DF6" w:rsidRPr="00841717">
        <w:t>. En cuanto a las obligaciones relativas al grupo planificación</w:t>
      </w:r>
      <w:r w:rsidR="00F20DF6" w:rsidRPr="00841717">
        <w:rPr>
          <w:rStyle w:val="Refdenotaalpie"/>
        </w:rPr>
        <w:footnoteReference w:id="1"/>
      </w:r>
      <w:r w:rsidR="006831C1">
        <w:t>,</w:t>
      </w:r>
      <w:r w:rsidR="00E74D60">
        <w:t xml:space="preserve"> 1</w:t>
      </w:r>
      <w:r w:rsidR="00F20DF6" w:rsidRPr="00841717">
        <w:t xml:space="preserve">2 de las </w:t>
      </w:r>
      <w:r w:rsidR="000D5243">
        <w:t>3</w:t>
      </w:r>
      <w:r w:rsidR="006831C1">
        <w:t>8</w:t>
      </w:r>
      <w:r w:rsidR="00F20DF6" w:rsidRPr="00841717">
        <w:t xml:space="preserve"> entidades a las que </w:t>
      </w:r>
      <w:r w:rsidR="00BB55B0" w:rsidRPr="00841717">
        <w:t>es aplicable la obligación</w:t>
      </w:r>
      <w:r w:rsidR="00F20DF6" w:rsidRPr="00841717">
        <w:t xml:space="preserve"> no publican sus planes o programas</w:t>
      </w:r>
      <w:r w:rsidR="006831C1">
        <w:t xml:space="preserve"> y otras 10 publican información parcial</w:t>
      </w:r>
      <w:r w:rsidR="00F20DF6" w:rsidRPr="00841717">
        <w:t xml:space="preserve">, </w:t>
      </w:r>
      <w:r w:rsidR="006831C1">
        <w:t>24</w:t>
      </w:r>
      <w:r w:rsidR="00BB55B0" w:rsidRPr="00841717">
        <w:t xml:space="preserve"> de las</w:t>
      </w:r>
      <w:r w:rsidR="006831C1">
        <w:t xml:space="preserve"> 37</w:t>
      </w:r>
      <w:r w:rsidR="004856CF" w:rsidRPr="00841717">
        <w:rPr>
          <w:rStyle w:val="Refdenotaalpie"/>
        </w:rPr>
        <w:footnoteReference w:id="2"/>
      </w:r>
      <w:r w:rsidR="00BB55B0" w:rsidRPr="00841717">
        <w:t xml:space="preserve"> a las que es aplicable la obligación,</w:t>
      </w:r>
      <w:r w:rsidR="00F20DF6" w:rsidRPr="00841717">
        <w:t xml:space="preserve"> no publican los informes de seguimiento o evaluación de sus planes o programas y </w:t>
      </w:r>
      <w:r w:rsidR="006831C1">
        <w:t>18</w:t>
      </w:r>
      <w:r w:rsidR="00BB55B0" w:rsidRPr="00841717">
        <w:t xml:space="preserve"> de las </w:t>
      </w:r>
      <w:r w:rsidR="006831C1">
        <w:t>38</w:t>
      </w:r>
      <w:r w:rsidR="00BB55B0" w:rsidRPr="00841717">
        <w:t xml:space="preserve"> a las que es aplicable la obligación</w:t>
      </w:r>
      <w:r w:rsidR="00F20DF6" w:rsidRPr="00841717">
        <w:t xml:space="preserve"> no publican los indicadores de medida y valoración de</w:t>
      </w:r>
      <w:r w:rsidR="009D7EB3">
        <w:t>l grado de cumplimiento de</w:t>
      </w:r>
      <w:r w:rsidR="00F20DF6" w:rsidRPr="00841717">
        <w:t xml:space="preserve"> los planes y programas. En cuanto al Registro de Actividades de Tratamiento</w:t>
      </w:r>
      <w:r w:rsidR="00F20DF6" w:rsidRPr="00841717">
        <w:rPr>
          <w:rStyle w:val="Refdenotaalpie"/>
        </w:rPr>
        <w:footnoteReference w:id="3"/>
      </w:r>
      <w:r w:rsidR="00F20DF6" w:rsidRPr="00841717">
        <w:t xml:space="preserve">, </w:t>
      </w:r>
      <w:r w:rsidR="00F245CD" w:rsidRPr="00841717">
        <w:t xml:space="preserve"> </w:t>
      </w:r>
      <w:r w:rsidR="00656CBC">
        <w:t>17</w:t>
      </w:r>
      <w:r w:rsidR="00BB55B0" w:rsidRPr="00841717">
        <w:t xml:space="preserve"> de las </w:t>
      </w:r>
      <w:r w:rsidR="00656CBC">
        <w:t>34</w:t>
      </w:r>
      <w:r w:rsidR="00BB55B0" w:rsidRPr="00841717">
        <w:t xml:space="preserve"> entidades a la que aplica esta</w:t>
      </w:r>
      <w:r w:rsidR="00BB55B0">
        <w:t xml:space="preserve"> obligación</w:t>
      </w:r>
      <w:r w:rsidR="00656CBC">
        <w:t>,</w:t>
      </w:r>
      <w:r w:rsidR="00BB55B0">
        <w:t xml:space="preserve"> </w:t>
      </w:r>
      <w:r w:rsidR="00E74D60">
        <w:t xml:space="preserve">no lo publican, </w:t>
      </w:r>
      <w:r w:rsidR="00F245CD">
        <w:t xml:space="preserve">o </w:t>
      </w:r>
      <w:r w:rsidR="005C658E">
        <w:t xml:space="preserve">bien la publicación </w:t>
      </w:r>
      <w:r w:rsidR="00F245CD">
        <w:t xml:space="preserve">no </w:t>
      </w:r>
      <w:r w:rsidR="004856CF">
        <w:t>contempla la totalidad</w:t>
      </w:r>
      <w:r w:rsidR="00F245CD">
        <w:t xml:space="preserve"> de </w:t>
      </w:r>
      <w:r w:rsidR="004856CF">
        <w:t xml:space="preserve">los </w:t>
      </w:r>
      <w:r w:rsidR="00F245CD">
        <w:t>contenido</w:t>
      </w:r>
      <w:r w:rsidR="004856CF">
        <w:t>s</w:t>
      </w:r>
      <w:r w:rsidR="00F245CD">
        <w:t xml:space="preserve"> establecidos en el Reglamento Europeo de Protección de Datos.</w:t>
      </w:r>
    </w:p>
    <w:p w:rsidR="00F245CD" w:rsidRDefault="00F245CD" w:rsidP="00152FBA">
      <w:r>
        <w:t xml:space="preserve">Respecto del cumplimiento de los requisitos de calidad de la información que establece la LTAIBG, </w:t>
      </w:r>
      <w:r w:rsidR="003549D0">
        <w:t>el</w:t>
      </w:r>
      <w:r>
        <w:t xml:space="preserve"> principal déficit se localiza en la </w:t>
      </w:r>
      <w:r w:rsidR="00984881">
        <w:t>carencia</w:t>
      </w:r>
      <w:r>
        <w:t xml:space="preserve"> de referencias que permitan conocer si la inform</w:t>
      </w:r>
      <w:r w:rsidR="00841A00">
        <w:t xml:space="preserve">ación publicada está vigente. </w:t>
      </w:r>
      <w:r w:rsidR="003E4333">
        <w:t xml:space="preserve">Tan sólo un </w:t>
      </w:r>
      <w:r w:rsidR="00656CBC">
        <w:t>45,7</w:t>
      </w:r>
      <w:r w:rsidR="003E4333">
        <w:t>%</w:t>
      </w:r>
      <w:r>
        <w:t xml:space="preserve"> de las informaciones de este bloque de obligaciones </w:t>
      </w:r>
      <w:r w:rsidR="008220D7">
        <w:t xml:space="preserve">contiene alguna </w:t>
      </w:r>
      <w:r w:rsidR="003E4333">
        <w:t>referencia</w:t>
      </w:r>
      <w:r w:rsidR="008220D7">
        <w:t xml:space="preserve"> </w:t>
      </w:r>
      <w:r w:rsidR="009D7EB3">
        <w:t>que permita conocer</w:t>
      </w:r>
      <w:r w:rsidR="008220D7">
        <w:t xml:space="preserve"> la última fecha en que se revisó o actualizó</w:t>
      </w:r>
      <w:r w:rsidR="009D7EB3">
        <w:t xml:space="preserve"> y, por lo tanto, si la información publicada está vigente</w:t>
      </w:r>
      <w:r w:rsidR="008220D7">
        <w:t>.</w:t>
      </w:r>
    </w:p>
    <w:p w:rsidR="00656CBC" w:rsidRDefault="00656CBC" w:rsidP="00152FBA"/>
    <w:p w:rsidR="00656CBC" w:rsidRDefault="00656CBC" w:rsidP="00152FBA"/>
    <w:p w:rsidR="00656CBC" w:rsidRDefault="00656CBC" w:rsidP="00152FBA"/>
    <w:p w:rsidR="00656CBC" w:rsidRDefault="00656CBC" w:rsidP="00152FBA"/>
    <w:p w:rsidR="00656CBC" w:rsidRDefault="00656CBC" w:rsidP="00152FBA"/>
    <w:p w:rsidR="00656CBC" w:rsidRDefault="00656CBC" w:rsidP="00152FBA"/>
    <w:p w:rsidR="00656CBC" w:rsidRDefault="00656CBC" w:rsidP="00152FBA"/>
    <w:p w:rsidR="00F23B80" w:rsidRPr="003F10D6" w:rsidRDefault="00F23B80" w:rsidP="005915F6">
      <w:pPr>
        <w:rPr>
          <w:b/>
          <w:color w:val="438086" w:themeColor="accent2"/>
          <w:szCs w:val="22"/>
        </w:rPr>
      </w:pPr>
      <w:r w:rsidRPr="003F10D6">
        <w:rPr>
          <w:b/>
          <w:color w:val="438086" w:themeColor="accent2"/>
          <w:szCs w:val="22"/>
        </w:rPr>
        <w:lastRenderedPageBreak/>
        <w:t xml:space="preserve">Gráfico </w:t>
      </w:r>
      <w:r w:rsidR="005915F6" w:rsidRPr="003F10D6">
        <w:rPr>
          <w:b/>
          <w:color w:val="438086" w:themeColor="accent2"/>
          <w:szCs w:val="22"/>
        </w:rPr>
        <w:fldChar w:fldCharType="begin"/>
      </w:r>
      <w:r w:rsidR="005915F6" w:rsidRPr="003F10D6">
        <w:rPr>
          <w:b/>
          <w:color w:val="438086" w:themeColor="accent2"/>
          <w:szCs w:val="22"/>
        </w:rPr>
        <w:instrText xml:space="preserve"> SEQ Gráfico \* ARABIC </w:instrText>
      </w:r>
      <w:r w:rsidR="005915F6" w:rsidRPr="003F10D6">
        <w:rPr>
          <w:b/>
          <w:color w:val="438086" w:themeColor="accent2"/>
          <w:szCs w:val="22"/>
        </w:rPr>
        <w:fldChar w:fldCharType="separate"/>
      </w:r>
      <w:r w:rsidR="009A0015">
        <w:rPr>
          <w:b/>
          <w:noProof/>
          <w:color w:val="438086" w:themeColor="accent2"/>
          <w:szCs w:val="22"/>
        </w:rPr>
        <w:t>3</w:t>
      </w:r>
      <w:r w:rsidR="005915F6" w:rsidRPr="003F10D6">
        <w:rPr>
          <w:b/>
          <w:color w:val="438086" w:themeColor="accent2"/>
          <w:szCs w:val="22"/>
        </w:rPr>
        <w:fldChar w:fldCharType="end"/>
      </w:r>
      <w:r w:rsidRPr="003F10D6">
        <w:rPr>
          <w:b/>
          <w:color w:val="438086" w:themeColor="accent2"/>
          <w:szCs w:val="22"/>
        </w:rPr>
        <w:t>:</w:t>
      </w:r>
      <w:r w:rsidR="00AA2D83" w:rsidRPr="003F10D6">
        <w:rPr>
          <w:b/>
          <w:color w:val="438086" w:themeColor="accent2"/>
          <w:szCs w:val="22"/>
        </w:rPr>
        <w:t xml:space="preserve"> Evaluación de la publicación (contenido) y de los atributos de calidad de información Institucional, </w:t>
      </w:r>
      <w:r w:rsidR="003F10D6">
        <w:rPr>
          <w:b/>
          <w:color w:val="438086" w:themeColor="accent2"/>
          <w:szCs w:val="22"/>
        </w:rPr>
        <w:t>Organizativa y de Planificación y Registro de Actividades de Tratamiento.</w:t>
      </w:r>
      <w:r w:rsidR="00550FCC">
        <w:rPr>
          <w:b/>
          <w:color w:val="438086" w:themeColor="accent2"/>
          <w:szCs w:val="22"/>
        </w:rPr>
        <w:t xml:space="preserve"> </w:t>
      </w:r>
    </w:p>
    <w:p w:rsidR="00F23B80" w:rsidRDefault="00656CBC" w:rsidP="00841A00">
      <w:r>
        <w:rPr>
          <w:noProof/>
        </w:rPr>
        <w:drawing>
          <wp:inline distT="0" distB="0" distL="0" distR="0" wp14:anchorId="0DE5E043" wp14:editId="1442569D">
            <wp:extent cx="5818909" cy="2885704"/>
            <wp:effectExtent l="0" t="0" r="10795" b="1016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325D" w:rsidRDefault="00CF325D" w:rsidP="003549D0"/>
    <w:p w:rsidR="003549D0" w:rsidRDefault="003549D0" w:rsidP="003549D0">
      <w:r>
        <w:t xml:space="preserve">El cumplimiento medio de este bloque de obligaciones </w:t>
      </w:r>
      <w:r w:rsidR="00CC4021">
        <w:t>alcanza</w:t>
      </w:r>
      <w:r>
        <w:t xml:space="preserve"> el </w:t>
      </w:r>
      <w:r w:rsidR="00656CBC">
        <w:t>71,6</w:t>
      </w:r>
      <w:r>
        <w:t>% con un rango de variación que oscila entre el 2</w:t>
      </w:r>
      <w:r w:rsidR="00BF557E">
        <w:t>8,6</w:t>
      </w:r>
      <w:r>
        <w:t xml:space="preserve"> y el </w:t>
      </w:r>
      <w:r w:rsidR="00BF557E">
        <w:t>100</w:t>
      </w:r>
      <w:r>
        <w:t>%.</w:t>
      </w:r>
    </w:p>
    <w:p w:rsidR="003E4333" w:rsidRDefault="003E4333" w:rsidP="00E719EF">
      <w:r w:rsidRPr="003E4333">
        <w:t xml:space="preserve">Existen diferencias entre </w:t>
      </w:r>
      <w:r>
        <w:t xml:space="preserve">los distintos tipos de entidades </w:t>
      </w:r>
      <w:r w:rsidR="00A25618">
        <w:t>en</w:t>
      </w:r>
      <w:r>
        <w:t xml:space="preserve"> el nivel de cumplimiento alcanzado en este grupo de obligaciones. Las Sociedades Mercantiles</w:t>
      </w:r>
      <w:r w:rsidR="003549D0">
        <w:t xml:space="preserve"> y las </w:t>
      </w:r>
      <w:r w:rsidR="007E1A62">
        <w:t>Agencias Estatales, Organismos Autónomos y Entidades Públicas Empresariales pr</w:t>
      </w:r>
      <w:r>
        <w:t xml:space="preserve">esentan un desempeño más elevado. </w:t>
      </w:r>
      <w:r w:rsidR="00CC4021">
        <w:t xml:space="preserve">Estas diferencias son estadísticamente significativas si la comparación se efectúa según la entidad haya sido evaluada por primera vez en 2021 o 2022. En el </w:t>
      </w:r>
      <w:r w:rsidR="00A25618">
        <w:t>segundo</w:t>
      </w:r>
      <w:r w:rsidR="00CC4021">
        <w:t xml:space="preserve"> caso</w:t>
      </w:r>
      <w:r w:rsidR="00E1247F">
        <w:t>,</w:t>
      </w:r>
      <w:r w:rsidR="00CC4021">
        <w:t xml:space="preserve"> el Índice de Cumplimiento promedio se sitúa en el 72,8% frente 58,7%.</w:t>
      </w:r>
    </w:p>
    <w:p w:rsidR="00381193" w:rsidRPr="00381193" w:rsidRDefault="00381193" w:rsidP="00381193">
      <w:pPr>
        <w:pStyle w:val="Epgrafe"/>
        <w:keepNext/>
        <w:rPr>
          <w:color w:val="438086" w:themeColor="accent2"/>
          <w:sz w:val="22"/>
          <w:szCs w:val="22"/>
        </w:rPr>
      </w:pPr>
      <w:r w:rsidRPr="00381193">
        <w:rPr>
          <w:color w:val="438086" w:themeColor="accent2"/>
          <w:sz w:val="22"/>
          <w:szCs w:val="22"/>
        </w:rPr>
        <w:lastRenderedPageBreak/>
        <w:t xml:space="preserve">Gráfico </w:t>
      </w:r>
      <w:r w:rsidRPr="00381193">
        <w:rPr>
          <w:color w:val="438086" w:themeColor="accent2"/>
          <w:sz w:val="22"/>
          <w:szCs w:val="22"/>
        </w:rPr>
        <w:fldChar w:fldCharType="begin"/>
      </w:r>
      <w:r w:rsidRPr="00381193">
        <w:rPr>
          <w:color w:val="438086" w:themeColor="accent2"/>
          <w:sz w:val="22"/>
          <w:szCs w:val="22"/>
        </w:rPr>
        <w:instrText xml:space="preserve"> SEQ Gráfico \* ARABIC </w:instrText>
      </w:r>
      <w:r w:rsidRPr="00381193">
        <w:rPr>
          <w:color w:val="438086" w:themeColor="accent2"/>
          <w:sz w:val="22"/>
          <w:szCs w:val="22"/>
        </w:rPr>
        <w:fldChar w:fldCharType="separate"/>
      </w:r>
      <w:r w:rsidR="009A0015">
        <w:rPr>
          <w:noProof/>
          <w:color w:val="438086" w:themeColor="accent2"/>
          <w:sz w:val="22"/>
          <w:szCs w:val="22"/>
        </w:rPr>
        <w:t>4</w:t>
      </w:r>
      <w:r w:rsidRPr="00381193">
        <w:rPr>
          <w:color w:val="438086" w:themeColor="accent2"/>
          <w:sz w:val="22"/>
          <w:szCs w:val="22"/>
        </w:rPr>
        <w:fldChar w:fldCharType="end"/>
      </w:r>
      <w:r w:rsidRPr="00381193">
        <w:rPr>
          <w:color w:val="438086" w:themeColor="accent2"/>
          <w:sz w:val="22"/>
          <w:szCs w:val="22"/>
        </w:rPr>
        <w:t>: Cumplimiento global en el bloque de informaciones Institucional, Organizativa y de Planificación según tipología de organismo evaluado</w:t>
      </w:r>
      <w:r>
        <w:rPr>
          <w:color w:val="438086" w:themeColor="accent2"/>
          <w:sz w:val="22"/>
          <w:szCs w:val="22"/>
        </w:rPr>
        <w:t>.</w:t>
      </w:r>
    </w:p>
    <w:p w:rsidR="003E4333" w:rsidRPr="003E4333" w:rsidRDefault="007E1A62" w:rsidP="003E4333">
      <w:r>
        <w:rPr>
          <w:noProof/>
        </w:rPr>
        <w:drawing>
          <wp:inline distT="0" distB="0" distL="0" distR="0" wp14:anchorId="01131460" wp14:editId="509187D5">
            <wp:extent cx="6460176" cy="2707574"/>
            <wp:effectExtent l="0" t="0" r="17145" b="1714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E4333" w:rsidRDefault="008072B3" w:rsidP="00BF557E">
      <w:r>
        <w:t>Respecto de 2021</w:t>
      </w:r>
      <w:r w:rsidR="00E1247F">
        <w:t>,</w:t>
      </w:r>
      <w:r>
        <w:t xml:space="preserve"> el Índice de Cumplimiento de este bloque  de obligaciones aumenta en 8,1 p.p. La mejor evolución se localiza en las MATEPSS (+ 17,4 p.p.) mientras que, por el contrario, las Fundaciones Públicas evolucionan negativamente (- 4,7 p.p.)</w:t>
      </w:r>
    </w:p>
    <w:p w:rsidR="003E4333" w:rsidRDefault="003E4333" w:rsidP="00984881">
      <w:pPr>
        <w:pStyle w:val="Ttulo3"/>
      </w:pPr>
    </w:p>
    <w:p w:rsidR="00513EC7" w:rsidRDefault="00F23BD7" w:rsidP="00984881">
      <w:pPr>
        <w:pStyle w:val="Ttulo3"/>
      </w:pPr>
      <w:bookmarkStart w:id="9" w:name="_Toc113366615"/>
      <w:r>
        <w:t>III.</w:t>
      </w:r>
      <w:r w:rsidR="00D24B74">
        <w:t>3</w:t>
      </w:r>
      <w:r>
        <w:t xml:space="preserve">.2. </w:t>
      </w:r>
      <w:r w:rsidR="00513EC7">
        <w:t>Información de Relevancia Jurídica</w:t>
      </w:r>
      <w:bookmarkEnd w:id="9"/>
    </w:p>
    <w:p w:rsidR="008220D7" w:rsidRDefault="008220D7" w:rsidP="008220D7"/>
    <w:p w:rsidR="000C0689" w:rsidRDefault="000F22B5" w:rsidP="008220D7">
      <w:r>
        <w:t>Poc</w:t>
      </w:r>
      <w:r w:rsidR="0034357D">
        <w:t>o</w:t>
      </w:r>
      <w:r>
        <w:t xml:space="preserve"> más</w:t>
      </w:r>
      <w:r w:rsidR="000C0689">
        <w:t xml:space="preserve"> de un tercio de los organismos evaluados</w:t>
      </w:r>
      <w:r w:rsidR="008220D7">
        <w:t xml:space="preserve"> </w:t>
      </w:r>
      <w:r w:rsidR="000C0689">
        <w:t>a los que es aplicable</w:t>
      </w:r>
      <w:r w:rsidR="0025449D">
        <w:rPr>
          <w:rStyle w:val="Refdenotaalpie"/>
        </w:rPr>
        <w:footnoteReference w:id="4"/>
      </w:r>
      <w:r w:rsidR="000C0689">
        <w:t xml:space="preserve"> este tipo de obligaciones</w:t>
      </w:r>
      <w:r w:rsidR="0034357D">
        <w:t>,</w:t>
      </w:r>
      <w:r w:rsidR="000C0689">
        <w:t xml:space="preserve"> </w:t>
      </w:r>
      <w:r w:rsidR="008220D7">
        <w:t xml:space="preserve">publica </w:t>
      </w:r>
      <w:r w:rsidR="000C0689">
        <w:t>información</w:t>
      </w:r>
      <w:r w:rsidR="008220D7">
        <w:t xml:space="preserve">. </w:t>
      </w:r>
      <w:r w:rsidR="005E6AD8">
        <w:t>Once</w:t>
      </w:r>
      <w:r w:rsidR="00026A1D">
        <w:t xml:space="preserve"> de los 1</w:t>
      </w:r>
      <w:r>
        <w:t>7</w:t>
      </w:r>
      <w:r w:rsidR="00026A1D">
        <w:t xml:space="preserve"> organismos a los que resulta de aplicación </w:t>
      </w:r>
      <w:r w:rsidR="005E6AD8">
        <w:t xml:space="preserve">la obligación, </w:t>
      </w:r>
      <w:r w:rsidR="00026A1D">
        <w:t xml:space="preserve">publican las directrices, </w:t>
      </w:r>
      <w:r w:rsidR="00026A1D" w:rsidRPr="00026A1D">
        <w:t>instrucciones, acuerdos, circulares o respuestas a consultas</w:t>
      </w:r>
      <w:r w:rsidR="00026A1D">
        <w:t xml:space="preserve"> </w:t>
      </w:r>
      <w:r w:rsidR="00026A1D" w:rsidRPr="00026A1D">
        <w:t>u otros órganos en la medida en que supongan una interpretación del Derecho o tengan efectos jurídicos</w:t>
      </w:r>
      <w:r w:rsidR="00026A1D">
        <w:t xml:space="preserve"> y tan s</w:t>
      </w:r>
      <w:r w:rsidR="00570F7A">
        <w:t>o</w:t>
      </w:r>
      <w:r w:rsidR="00026A1D">
        <w:t xml:space="preserve">lo </w:t>
      </w:r>
      <w:r w:rsidR="005E6AD8">
        <w:t>5</w:t>
      </w:r>
      <w:r w:rsidR="00026A1D">
        <w:t xml:space="preserve"> de los </w:t>
      </w:r>
      <w:r w:rsidR="005E6AD8">
        <w:t>9</w:t>
      </w:r>
      <w:r w:rsidR="00026A1D">
        <w:t xml:space="preserve"> </w:t>
      </w:r>
      <w:r>
        <w:t>a quienes resulta de aplicación</w:t>
      </w:r>
      <w:r w:rsidR="005E6AD8">
        <w:t>,</w:t>
      </w:r>
      <w:r w:rsidR="00026A1D">
        <w:t xml:space="preserve"> publican los d</w:t>
      </w:r>
      <w:r w:rsidR="00026A1D" w:rsidRPr="00026A1D">
        <w:t xml:space="preserve">ocumentos </w:t>
      </w:r>
      <w:r w:rsidR="00026A1D">
        <w:t>que hayan de someterse</w:t>
      </w:r>
      <w:r w:rsidR="00026A1D" w:rsidRPr="00026A1D">
        <w:t xml:space="preserve"> a información pública durante su tramitación </w:t>
      </w:r>
      <w:r w:rsidR="00026A1D">
        <w:t>en aplicación de normativa</w:t>
      </w:r>
      <w:r w:rsidR="00026A1D" w:rsidRPr="00026A1D">
        <w:t xml:space="preserve"> sectorial</w:t>
      </w:r>
      <w:r w:rsidR="00026A1D">
        <w:t>.</w:t>
      </w:r>
    </w:p>
    <w:p w:rsidR="008220D7" w:rsidRDefault="00026A1D" w:rsidP="008220D7">
      <w:r>
        <w:t>De nuevo</w:t>
      </w:r>
      <w:r w:rsidR="00570F7A">
        <w:t>,</w:t>
      </w:r>
      <w:r>
        <w:t xml:space="preserve"> la falta de referencias a la fecha en que se revisó o actualizó la información publicada es el aspecto que presenta una menor valoración </w:t>
      </w:r>
      <w:r w:rsidR="008220D7">
        <w:t xml:space="preserve"> </w:t>
      </w:r>
      <w:r>
        <w:t xml:space="preserve">desde el punto de vista de la calidad de la información. </w:t>
      </w:r>
    </w:p>
    <w:p w:rsidR="000F22B5" w:rsidRDefault="000F22B5" w:rsidP="000F22B5">
      <w:r>
        <w:lastRenderedPageBreak/>
        <w:t xml:space="preserve">El Índice de cumplimiento de este bloque de obligaciones se sitúa en el </w:t>
      </w:r>
      <w:r w:rsidR="005E6AD8">
        <w:t>57,1%</w:t>
      </w:r>
      <w:r w:rsidR="00570F7A">
        <w:t>,</w:t>
      </w:r>
      <w:r>
        <w:t xml:space="preserve"> con un rango de variación que oscila entre 0 y 100%.</w:t>
      </w:r>
    </w:p>
    <w:p w:rsidR="005E6AD8" w:rsidRDefault="005E6AD8" w:rsidP="000F22B5">
      <w:pPr>
        <w:rPr>
          <w:color w:val="438086" w:themeColor="accent2"/>
          <w:szCs w:val="22"/>
        </w:rPr>
      </w:pPr>
      <w:r>
        <w:t>Respecto de 202</w:t>
      </w:r>
      <w:r w:rsidR="00D46714">
        <w:t>1</w:t>
      </w:r>
      <w:r>
        <w:t xml:space="preserve">, el Índice de Cumplimiento ha aumentado en 31 p.p. </w:t>
      </w:r>
    </w:p>
    <w:p w:rsidR="00D631CC" w:rsidRPr="00355F1A" w:rsidRDefault="00D631CC" w:rsidP="00D631CC">
      <w:pPr>
        <w:pStyle w:val="Epgrafe"/>
        <w:keepNext/>
        <w:rPr>
          <w:color w:val="438086" w:themeColor="accent2"/>
          <w:sz w:val="22"/>
          <w:szCs w:val="22"/>
        </w:rPr>
      </w:pPr>
      <w:r w:rsidRPr="009E5841">
        <w:rPr>
          <w:color w:val="438086" w:themeColor="accent2"/>
          <w:sz w:val="22"/>
          <w:szCs w:val="22"/>
        </w:rPr>
        <w:t xml:space="preserve">Gráfico </w:t>
      </w:r>
      <w:r w:rsidR="005915F6" w:rsidRPr="009E5841">
        <w:rPr>
          <w:color w:val="438086" w:themeColor="accent2"/>
          <w:sz w:val="22"/>
          <w:szCs w:val="22"/>
        </w:rPr>
        <w:fldChar w:fldCharType="begin"/>
      </w:r>
      <w:r w:rsidR="005915F6" w:rsidRPr="009E5841">
        <w:rPr>
          <w:color w:val="438086" w:themeColor="accent2"/>
          <w:sz w:val="22"/>
          <w:szCs w:val="22"/>
        </w:rPr>
        <w:instrText xml:space="preserve"> SEQ Gráfico \* ARABIC </w:instrText>
      </w:r>
      <w:r w:rsidR="005915F6" w:rsidRPr="009E5841">
        <w:rPr>
          <w:color w:val="438086" w:themeColor="accent2"/>
          <w:sz w:val="22"/>
          <w:szCs w:val="22"/>
        </w:rPr>
        <w:fldChar w:fldCharType="separate"/>
      </w:r>
      <w:r w:rsidR="009A0015">
        <w:rPr>
          <w:noProof/>
          <w:color w:val="438086" w:themeColor="accent2"/>
          <w:sz w:val="22"/>
          <w:szCs w:val="22"/>
        </w:rPr>
        <w:t>5</w:t>
      </w:r>
      <w:r w:rsidR="005915F6" w:rsidRPr="009E5841">
        <w:rPr>
          <w:color w:val="438086" w:themeColor="accent2"/>
          <w:sz w:val="22"/>
          <w:szCs w:val="22"/>
        </w:rPr>
        <w:fldChar w:fldCharType="end"/>
      </w:r>
      <w:r w:rsidRPr="009E5841">
        <w:rPr>
          <w:color w:val="438086" w:themeColor="accent2"/>
          <w:sz w:val="22"/>
          <w:szCs w:val="22"/>
        </w:rPr>
        <w:t>: Evaluación de la publicación (contenido) y de los atributos de calidad de información de Relevancia Jurídica.</w:t>
      </w:r>
      <w:r w:rsidR="00550FCC" w:rsidRPr="00355F1A">
        <w:rPr>
          <w:color w:val="438086" w:themeColor="accent2"/>
          <w:sz w:val="22"/>
          <w:szCs w:val="22"/>
        </w:rPr>
        <w:t xml:space="preserve"> </w:t>
      </w:r>
    </w:p>
    <w:p w:rsidR="008220D7" w:rsidRPr="008220D7" w:rsidRDefault="005E6AD8" w:rsidP="0026153E">
      <w:r>
        <w:rPr>
          <w:noProof/>
        </w:rPr>
        <w:drawing>
          <wp:inline distT="0" distB="0" distL="0" distR="0" wp14:anchorId="2D76E247" wp14:editId="0489B23C">
            <wp:extent cx="5735781" cy="2576945"/>
            <wp:effectExtent l="0" t="0" r="17780" b="139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3EC7" w:rsidRDefault="00513EC7" w:rsidP="00513EC7">
      <w:pPr>
        <w:pStyle w:val="Ttulo4"/>
      </w:pPr>
    </w:p>
    <w:p w:rsidR="00513EC7" w:rsidRDefault="00F23BD7" w:rsidP="00AF02EB">
      <w:pPr>
        <w:pStyle w:val="Ttulo3"/>
      </w:pPr>
      <w:bookmarkStart w:id="10" w:name="_Toc113366616"/>
      <w:r>
        <w:t>III.</w:t>
      </w:r>
      <w:r w:rsidR="00D24B74">
        <w:t>3</w:t>
      </w:r>
      <w:r>
        <w:t xml:space="preserve">.3.  </w:t>
      </w:r>
      <w:r w:rsidR="00513EC7">
        <w:t>Información Económica, Presupuestaria y Estadística</w:t>
      </w:r>
      <w:bookmarkEnd w:id="10"/>
    </w:p>
    <w:p w:rsidR="00513EC7" w:rsidRDefault="00513EC7" w:rsidP="00513EC7"/>
    <w:p w:rsidR="00DF7C00" w:rsidRDefault="00DF7C00" w:rsidP="00513EC7">
      <w:r>
        <w:t>La proporción de informaciones obligatorias publicadas en este grupo disminuye respecto de</w:t>
      </w:r>
      <w:r w:rsidR="00416CC3">
        <w:t xml:space="preserve"> </w:t>
      </w:r>
      <w:r w:rsidR="004C740B">
        <w:t>l</w:t>
      </w:r>
      <w:r w:rsidR="00416CC3">
        <w:t xml:space="preserve">os </w:t>
      </w:r>
      <w:r>
        <w:t xml:space="preserve"> bloque</w:t>
      </w:r>
      <w:r w:rsidR="00416CC3">
        <w:t>s anteriores</w:t>
      </w:r>
      <w:r w:rsidR="00A25618">
        <w:t>,</w:t>
      </w:r>
      <w:r w:rsidR="00416CC3">
        <w:t xml:space="preserve"> 41,3</w:t>
      </w:r>
      <w:r w:rsidR="00E1322B">
        <w:t>% en promedio</w:t>
      </w:r>
      <w:r w:rsidR="00463BE8">
        <w:t>,</w:t>
      </w:r>
      <w:r w:rsidR="00E1322B">
        <w:t xml:space="preserve"> con un rango de variación de entre el </w:t>
      </w:r>
      <w:r w:rsidR="00033C6B">
        <w:t>0</w:t>
      </w:r>
      <w:r w:rsidR="00E1322B">
        <w:t xml:space="preserve"> y el </w:t>
      </w:r>
      <w:r w:rsidR="00416CC3">
        <w:t>100</w:t>
      </w:r>
      <w:r w:rsidR="00E1322B">
        <w:t>%.</w:t>
      </w:r>
      <w:r w:rsidR="00416CC3">
        <w:t xml:space="preserve"> Cinco de las entidades evaluadas no publican ninguna de</w:t>
      </w:r>
      <w:r w:rsidR="00095E18">
        <w:t xml:space="preserve"> </w:t>
      </w:r>
      <w:r w:rsidR="00416CC3">
        <w:t>las informaciones obligatorias que les resultan de aplicación</w:t>
      </w:r>
      <w:r w:rsidR="00570F7A">
        <w:t>,</w:t>
      </w:r>
      <w:r w:rsidR="00416CC3">
        <w:t xml:space="preserve"> o bien la información publicada presenta tal desfase temporal, que no es posible considerar cumplida la obligación</w:t>
      </w:r>
      <w:r w:rsidR="00095E18">
        <w:t xml:space="preserve"> a la que se vincula</w:t>
      </w:r>
      <w:r w:rsidR="00416CC3">
        <w:t xml:space="preserve">. </w:t>
      </w:r>
    </w:p>
    <w:p w:rsidR="00F2504E" w:rsidRDefault="00F2504E" w:rsidP="00F2504E">
      <w:r>
        <w:t>Al analizar</w:t>
      </w:r>
      <w:r w:rsidR="00570F7A">
        <w:t>,</w:t>
      </w:r>
      <w:r>
        <w:t xml:space="preserve"> según tipología de entidad evaluada, </w:t>
      </w:r>
      <w:r w:rsidR="00A25618">
        <w:t>las sociedades m</w:t>
      </w:r>
      <w:r>
        <w:t xml:space="preserve">ercantiles publican </w:t>
      </w:r>
      <w:r w:rsidR="00124108">
        <w:t>casi el 52</w:t>
      </w:r>
      <w:r>
        <w:t>% de las informaciones obligatorias</w:t>
      </w:r>
      <w:r w:rsidR="00570F7A">
        <w:t>,</w:t>
      </w:r>
      <w:r>
        <w:t xml:space="preserve"> mientras que en el extremo contrario se sitúan las fundaciones públicas que no alcanzan el </w:t>
      </w:r>
      <w:r w:rsidR="00124108">
        <w:t>26</w:t>
      </w:r>
      <w:r>
        <w:t xml:space="preserve">% de informaciones obligatorias publicadas. </w:t>
      </w:r>
    </w:p>
    <w:p w:rsidR="00F2504E" w:rsidRDefault="00F2504E" w:rsidP="00513EC7"/>
    <w:p w:rsidR="00757000" w:rsidRPr="00757000" w:rsidRDefault="00757000" w:rsidP="00757000">
      <w:pPr>
        <w:pStyle w:val="Epgrafe"/>
        <w:keepNext/>
        <w:rPr>
          <w:bCs w:val="0"/>
          <w:color w:val="438086" w:themeColor="accent2"/>
          <w:sz w:val="22"/>
          <w:szCs w:val="22"/>
        </w:rPr>
      </w:pPr>
      <w:r w:rsidRPr="00757000">
        <w:rPr>
          <w:bCs w:val="0"/>
          <w:color w:val="438086" w:themeColor="accent2"/>
          <w:sz w:val="22"/>
          <w:szCs w:val="22"/>
        </w:rPr>
        <w:lastRenderedPageBreak/>
        <w:t xml:space="preserve">Gráfico </w:t>
      </w:r>
      <w:r w:rsidRPr="00757000">
        <w:rPr>
          <w:bCs w:val="0"/>
          <w:color w:val="438086" w:themeColor="accent2"/>
          <w:sz w:val="22"/>
          <w:szCs w:val="22"/>
        </w:rPr>
        <w:fldChar w:fldCharType="begin"/>
      </w:r>
      <w:r w:rsidRPr="00757000">
        <w:rPr>
          <w:bCs w:val="0"/>
          <w:color w:val="438086" w:themeColor="accent2"/>
          <w:sz w:val="22"/>
          <w:szCs w:val="22"/>
        </w:rPr>
        <w:instrText xml:space="preserve"> SEQ Gráfico \* ARABIC </w:instrText>
      </w:r>
      <w:r w:rsidRPr="00757000">
        <w:rPr>
          <w:bCs w:val="0"/>
          <w:color w:val="438086" w:themeColor="accent2"/>
          <w:sz w:val="22"/>
          <w:szCs w:val="22"/>
        </w:rPr>
        <w:fldChar w:fldCharType="separate"/>
      </w:r>
      <w:r w:rsidR="009A0015">
        <w:rPr>
          <w:bCs w:val="0"/>
          <w:noProof/>
          <w:color w:val="438086" w:themeColor="accent2"/>
          <w:sz w:val="22"/>
          <w:szCs w:val="22"/>
        </w:rPr>
        <w:t>6</w:t>
      </w:r>
      <w:r w:rsidRPr="00757000">
        <w:rPr>
          <w:bCs w:val="0"/>
          <w:color w:val="438086" w:themeColor="accent2"/>
          <w:sz w:val="22"/>
          <w:szCs w:val="22"/>
        </w:rPr>
        <w:fldChar w:fldCharType="end"/>
      </w:r>
      <w:r w:rsidRPr="00757000">
        <w:rPr>
          <w:bCs w:val="0"/>
          <w:color w:val="438086" w:themeColor="accent2"/>
          <w:sz w:val="22"/>
          <w:szCs w:val="22"/>
        </w:rPr>
        <w:t>: Porcentaje de contenidos obligatorios publicados según tipología de entidad evaluada</w:t>
      </w:r>
      <w:r>
        <w:rPr>
          <w:bCs w:val="0"/>
          <w:color w:val="438086" w:themeColor="accent2"/>
          <w:sz w:val="22"/>
          <w:szCs w:val="22"/>
        </w:rPr>
        <w:t xml:space="preserve"> (Información Económica, Presupuestaria y Estadística)</w:t>
      </w:r>
    </w:p>
    <w:p w:rsidR="00255EC4" w:rsidRDefault="00124108" w:rsidP="00513EC7">
      <w:r>
        <w:rPr>
          <w:noProof/>
        </w:rPr>
        <w:drawing>
          <wp:inline distT="0" distB="0" distL="0" distR="0" wp14:anchorId="1E4A4E53" wp14:editId="0562DBC9">
            <wp:extent cx="5735781" cy="2897579"/>
            <wp:effectExtent l="0" t="0" r="17780" b="1714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3BE8" w:rsidRDefault="00124108" w:rsidP="00513EC7">
      <w:r>
        <w:t>Respecto de 2021, la proporción de informaciones obligatorias que se publican ha aumentado en más de 30 p.p. Nuevamente las MATEPSS, presentan la mejor evolución.</w:t>
      </w:r>
    </w:p>
    <w:p w:rsidR="00EA0FD2" w:rsidRDefault="00EA0FD2" w:rsidP="00513EC7">
      <w:r>
        <w:t xml:space="preserve">La siguiente tabla muestra las informaciones correspondientes a este bloque de obligaciones que presentan un menor cumplimiento en cuanto a su publicación. </w:t>
      </w:r>
    </w:p>
    <w:p w:rsidR="00BA54C2" w:rsidRPr="00BA54C2" w:rsidRDefault="00BA54C2" w:rsidP="00BA54C2">
      <w:pPr>
        <w:pStyle w:val="Epgrafe"/>
        <w:keepNext/>
        <w:rPr>
          <w:color w:val="438086" w:themeColor="accent2"/>
          <w:sz w:val="22"/>
          <w:szCs w:val="22"/>
        </w:rPr>
      </w:pPr>
      <w:r w:rsidRPr="00BA54C2">
        <w:rPr>
          <w:color w:val="438086" w:themeColor="accent2"/>
          <w:sz w:val="22"/>
          <w:szCs w:val="22"/>
        </w:rPr>
        <w:t xml:space="preserve">Tabla </w:t>
      </w:r>
      <w:r w:rsidRPr="00BA54C2">
        <w:rPr>
          <w:color w:val="438086" w:themeColor="accent2"/>
          <w:sz w:val="22"/>
          <w:szCs w:val="22"/>
        </w:rPr>
        <w:fldChar w:fldCharType="begin"/>
      </w:r>
      <w:r w:rsidRPr="00BA54C2">
        <w:rPr>
          <w:color w:val="438086" w:themeColor="accent2"/>
          <w:sz w:val="22"/>
          <w:szCs w:val="22"/>
        </w:rPr>
        <w:instrText xml:space="preserve"> SEQ Tabla \* ARABIC </w:instrText>
      </w:r>
      <w:r w:rsidRPr="00BA54C2">
        <w:rPr>
          <w:color w:val="438086" w:themeColor="accent2"/>
          <w:sz w:val="22"/>
          <w:szCs w:val="22"/>
        </w:rPr>
        <w:fldChar w:fldCharType="separate"/>
      </w:r>
      <w:r>
        <w:rPr>
          <w:noProof/>
          <w:color w:val="438086" w:themeColor="accent2"/>
          <w:sz w:val="22"/>
          <w:szCs w:val="22"/>
        </w:rPr>
        <w:t>1</w:t>
      </w:r>
      <w:r w:rsidRPr="00BA54C2">
        <w:rPr>
          <w:color w:val="438086" w:themeColor="accent2"/>
          <w:sz w:val="22"/>
          <w:szCs w:val="22"/>
        </w:rPr>
        <w:fldChar w:fldCharType="end"/>
      </w:r>
      <w:r w:rsidRPr="00BA54C2">
        <w:rPr>
          <w:color w:val="438086" w:themeColor="accent2"/>
          <w:sz w:val="22"/>
          <w:szCs w:val="22"/>
        </w:rPr>
        <w:t>: Proporción de entidades que publican determinadas informaciones obligatorias del bloque de información Económica, Presupuestaria y Estadística</w:t>
      </w:r>
    </w:p>
    <w:tbl>
      <w:tblPr>
        <w:tblStyle w:val="Listaclara-nfasis2"/>
        <w:tblW w:w="0" w:type="auto"/>
        <w:tblLook w:val="04A0" w:firstRow="1" w:lastRow="0" w:firstColumn="1" w:lastColumn="0" w:noHBand="0" w:noVBand="1"/>
      </w:tblPr>
      <w:tblGrid>
        <w:gridCol w:w="4605"/>
        <w:gridCol w:w="4606"/>
      </w:tblGrid>
      <w:tr w:rsidR="00EA0FD2" w:rsidRPr="00277C4C" w:rsidTr="001C0ECE">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4605" w:type="dxa"/>
          </w:tcPr>
          <w:p w:rsidR="00EA0FD2" w:rsidRPr="00277C4C" w:rsidRDefault="00EA0FD2" w:rsidP="00EA0FD2">
            <w:pPr>
              <w:jc w:val="center"/>
              <w:rPr>
                <w:sz w:val="20"/>
              </w:rPr>
            </w:pPr>
            <w:r w:rsidRPr="00277C4C">
              <w:rPr>
                <w:sz w:val="20"/>
              </w:rPr>
              <w:t>Obligación</w:t>
            </w:r>
          </w:p>
        </w:tc>
        <w:tc>
          <w:tcPr>
            <w:tcW w:w="4606" w:type="dxa"/>
          </w:tcPr>
          <w:p w:rsidR="00EA0FD2" w:rsidRPr="00277C4C" w:rsidRDefault="00EA0FD2" w:rsidP="00EA0FD2">
            <w:pPr>
              <w:jc w:val="center"/>
              <w:cnfStyle w:val="100000000000" w:firstRow="1" w:lastRow="0" w:firstColumn="0" w:lastColumn="0" w:oddVBand="0" w:evenVBand="0" w:oddHBand="0" w:evenHBand="0" w:firstRowFirstColumn="0" w:firstRowLastColumn="0" w:lastRowFirstColumn="0" w:lastRowLastColumn="0"/>
              <w:rPr>
                <w:sz w:val="20"/>
              </w:rPr>
            </w:pPr>
            <w:r w:rsidRPr="00277C4C">
              <w:rPr>
                <w:sz w:val="20"/>
              </w:rPr>
              <w:t>Proporción de organismos a los que es de aplicación la obligación que publican contenidos</w:t>
            </w:r>
          </w:p>
        </w:tc>
      </w:tr>
      <w:tr w:rsidR="00A36403"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A36403" w:rsidP="00A36403">
            <w:pPr>
              <w:rPr>
                <w:sz w:val="20"/>
              </w:rPr>
            </w:pPr>
            <w:r w:rsidRPr="00277C4C">
              <w:rPr>
                <w:sz w:val="20"/>
              </w:rPr>
              <w:t>Autorizaciones para actividad privada al cese de altos cargos</w:t>
            </w:r>
          </w:p>
        </w:tc>
        <w:tc>
          <w:tcPr>
            <w:tcW w:w="4606" w:type="dxa"/>
            <w:vAlign w:val="center"/>
          </w:tcPr>
          <w:p w:rsidR="00A36403" w:rsidRPr="00277C4C" w:rsidRDefault="00A36403" w:rsidP="00277C4C">
            <w:pPr>
              <w:jc w:val="center"/>
              <w:cnfStyle w:val="000000100000" w:firstRow="0" w:lastRow="0" w:firstColumn="0" w:lastColumn="0" w:oddVBand="0" w:evenVBand="0" w:oddHBand="1" w:evenHBand="0" w:firstRowFirstColumn="0" w:firstRowLastColumn="0" w:lastRowFirstColumn="0" w:lastRowLastColumn="0"/>
              <w:rPr>
                <w:sz w:val="20"/>
              </w:rPr>
            </w:pPr>
            <w:r w:rsidRPr="00277C4C">
              <w:rPr>
                <w:sz w:val="20"/>
              </w:rPr>
              <w:t>0%</w:t>
            </w:r>
          </w:p>
        </w:tc>
      </w:tr>
      <w:tr w:rsidR="00A36403" w:rsidRPr="00277C4C" w:rsidTr="00277C4C">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A36403" w:rsidP="00A36403">
            <w:pPr>
              <w:rPr>
                <w:sz w:val="20"/>
              </w:rPr>
            </w:pPr>
            <w:r w:rsidRPr="00277C4C">
              <w:rPr>
                <w:sz w:val="20"/>
              </w:rPr>
              <w:t>Indemnizaciones percibidas con ocasión del abandono del cargo</w:t>
            </w:r>
          </w:p>
        </w:tc>
        <w:tc>
          <w:tcPr>
            <w:tcW w:w="4606" w:type="dxa"/>
            <w:vAlign w:val="center"/>
          </w:tcPr>
          <w:p w:rsidR="00A36403" w:rsidRPr="00277C4C" w:rsidRDefault="00962B08" w:rsidP="00277C4C">
            <w:pPr>
              <w:jc w:val="center"/>
              <w:cnfStyle w:val="000000000000" w:firstRow="0" w:lastRow="0" w:firstColumn="0" w:lastColumn="0" w:oddVBand="0" w:evenVBand="0" w:oddHBand="0" w:evenHBand="0" w:firstRowFirstColumn="0" w:firstRowLastColumn="0" w:lastRowFirstColumn="0" w:lastRowLastColumn="0"/>
              <w:rPr>
                <w:sz w:val="20"/>
              </w:rPr>
            </w:pPr>
            <w:r>
              <w:rPr>
                <w:sz w:val="20"/>
              </w:rPr>
              <w:t>5,6</w:t>
            </w:r>
            <w:r w:rsidR="00A36403" w:rsidRPr="00277C4C">
              <w:rPr>
                <w:sz w:val="20"/>
              </w:rPr>
              <w:t>%</w:t>
            </w:r>
          </w:p>
        </w:tc>
      </w:tr>
      <w:tr w:rsidR="00A36403"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A36403" w:rsidP="00A36403">
            <w:pPr>
              <w:rPr>
                <w:sz w:val="20"/>
              </w:rPr>
            </w:pPr>
            <w:r w:rsidRPr="00277C4C">
              <w:rPr>
                <w:sz w:val="20"/>
              </w:rPr>
              <w:t>Autorizaciones compatibilidad empleados</w:t>
            </w:r>
          </w:p>
        </w:tc>
        <w:tc>
          <w:tcPr>
            <w:tcW w:w="4606" w:type="dxa"/>
            <w:vAlign w:val="center"/>
          </w:tcPr>
          <w:p w:rsidR="00A36403" w:rsidRPr="00277C4C" w:rsidRDefault="00962B08" w:rsidP="00277C4C">
            <w:pPr>
              <w:jc w:val="center"/>
              <w:cnfStyle w:val="000000100000" w:firstRow="0" w:lastRow="0" w:firstColumn="0" w:lastColumn="0" w:oddVBand="0" w:evenVBand="0" w:oddHBand="1" w:evenHBand="0" w:firstRowFirstColumn="0" w:firstRowLastColumn="0" w:lastRowFirstColumn="0" w:lastRowLastColumn="0"/>
              <w:rPr>
                <w:sz w:val="20"/>
              </w:rPr>
            </w:pPr>
            <w:r>
              <w:rPr>
                <w:sz w:val="20"/>
              </w:rPr>
              <w:t>1</w:t>
            </w:r>
            <w:r w:rsidR="00A36403" w:rsidRPr="00277C4C">
              <w:rPr>
                <w:sz w:val="20"/>
              </w:rPr>
              <w:t>7,5%</w:t>
            </w:r>
          </w:p>
        </w:tc>
      </w:tr>
      <w:tr w:rsidR="00962B08" w:rsidRPr="00962B08" w:rsidTr="00962B08">
        <w:tc>
          <w:tcPr>
            <w:cnfStyle w:val="001000000000" w:firstRow="0" w:lastRow="0" w:firstColumn="1" w:lastColumn="0" w:oddVBand="0" w:evenVBand="0" w:oddHBand="0" w:evenHBand="0" w:firstRowFirstColumn="0" w:firstRowLastColumn="0" w:lastRowFirstColumn="0" w:lastRowLastColumn="0"/>
            <w:tcW w:w="4605" w:type="dxa"/>
          </w:tcPr>
          <w:p w:rsidR="00962B08" w:rsidRPr="00962B08" w:rsidRDefault="00962B08" w:rsidP="00962B08">
            <w:pPr>
              <w:rPr>
                <w:sz w:val="20"/>
              </w:rPr>
            </w:pPr>
            <w:r w:rsidRPr="00962B08">
              <w:rPr>
                <w:sz w:val="20"/>
              </w:rPr>
              <w:t>Modificaciones de contratos</w:t>
            </w:r>
          </w:p>
        </w:tc>
        <w:tc>
          <w:tcPr>
            <w:tcW w:w="4606" w:type="dxa"/>
          </w:tcPr>
          <w:p w:rsidR="00962B08" w:rsidRPr="00962B08" w:rsidRDefault="00962B08" w:rsidP="00962B08">
            <w:pPr>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r w:rsidRPr="00962B08">
              <w:rPr>
                <w:sz w:val="20"/>
              </w:rPr>
              <w:t>1,</w:t>
            </w:r>
            <w:r>
              <w:rPr>
                <w:sz w:val="20"/>
              </w:rPr>
              <w:t>9</w:t>
            </w:r>
            <w:r w:rsidRPr="00962B08">
              <w:rPr>
                <w:sz w:val="20"/>
              </w:rPr>
              <w:t>%</w:t>
            </w:r>
          </w:p>
        </w:tc>
      </w:tr>
      <w:tr w:rsidR="00962B08"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962B08" w:rsidRPr="00277C4C" w:rsidRDefault="00962B08" w:rsidP="00A36403">
            <w:pPr>
              <w:rPr>
                <w:sz w:val="20"/>
              </w:rPr>
            </w:pPr>
            <w:r>
              <w:rPr>
                <w:sz w:val="20"/>
              </w:rPr>
              <w:t>Desistimientos de contratos</w:t>
            </w:r>
          </w:p>
        </w:tc>
        <w:tc>
          <w:tcPr>
            <w:tcW w:w="4606" w:type="dxa"/>
            <w:vAlign w:val="center"/>
          </w:tcPr>
          <w:p w:rsidR="00962B08" w:rsidRPr="00277C4C" w:rsidRDefault="00962B08" w:rsidP="00277C4C">
            <w:pPr>
              <w:jc w:val="center"/>
              <w:cnfStyle w:val="000000100000" w:firstRow="0" w:lastRow="0" w:firstColumn="0" w:lastColumn="0" w:oddVBand="0" w:evenVBand="0" w:oddHBand="1" w:evenHBand="0" w:firstRowFirstColumn="0" w:firstRowLastColumn="0" w:lastRowFirstColumn="0" w:lastRowLastColumn="0"/>
              <w:rPr>
                <w:sz w:val="20"/>
              </w:rPr>
            </w:pPr>
            <w:r>
              <w:rPr>
                <w:sz w:val="20"/>
              </w:rPr>
              <w:t>25,0%</w:t>
            </w:r>
          </w:p>
        </w:tc>
      </w:tr>
      <w:tr w:rsidR="00962B08" w:rsidRPr="00962B08" w:rsidTr="00962B08">
        <w:tc>
          <w:tcPr>
            <w:cnfStyle w:val="001000000000" w:firstRow="0" w:lastRow="0" w:firstColumn="1" w:lastColumn="0" w:oddVBand="0" w:evenVBand="0" w:oddHBand="0" w:evenHBand="0" w:firstRowFirstColumn="0" w:firstRowLastColumn="0" w:lastRowFirstColumn="0" w:lastRowLastColumn="0"/>
            <w:tcW w:w="4605" w:type="dxa"/>
          </w:tcPr>
          <w:p w:rsidR="00962B08" w:rsidRPr="00962B08" w:rsidRDefault="00962B08" w:rsidP="00962B08">
            <w:pPr>
              <w:rPr>
                <w:sz w:val="20"/>
              </w:rPr>
            </w:pPr>
            <w:r w:rsidRPr="00962B08">
              <w:rPr>
                <w:sz w:val="20"/>
              </w:rPr>
              <w:t>Ejecución presupuestaria</w:t>
            </w:r>
          </w:p>
        </w:tc>
        <w:tc>
          <w:tcPr>
            <w:tcW w:w="4606" w:type="dxa"/>
          </w:tcPr>
          <w:p w:rsidR="00962B08" w:rsidRPr="00962B08" w:rsidRDefault="00962B08" w:rsidP="00962B08">
            <w:pPr>
              <w:jc w:val="center"/>
              <w:cnfStyle w:val="000000000000" w:firstRow="0" w:lastRow="0" w:firstColumn="0" w:lastColumn="0" w:oddVBand="0" w:evenVBand="0" w:oddHBand="0" w:evenHBand="0" w:firstRowFirstColumn="0" w:firstRowLastColumn="0" w:lastRowFirstColumn="0" w:lastRowLastColumn="0"/>
              <w:rPr>
                <w:sz w:val="20"/>
              </w:rPr>
            </w:pPr>
            <w:r>
              <w:rPr>
                <w:sz w:val="20"/>
              </w:rPr>
              <w:t>25,0</w:t>
            </w:r>
            <w:r w:rsidRPr="00962B08">
              <w:rPr>
                <w:sz w:val="20"/>
              </w:rPr>
              <w:t>%</w:t>
            </w:r>
          </w:p>
        </w:tc>
      </w:tr>
      <w:tr w:rsidR="00A36403"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A36403" w:rsidP="00A36403">
            <w:pPr>
              <w:rPr>
                <w:sz w:val="20"/>
              </w:rPr>
            </w:pPr>
            <w:r w:rsidRPr="00277C4C">
              <w:rPr>
                <w:sz w:val="20"/>
              </w:rPr>
              <w:t>Subvenciones</w:t>
            </w:r>
          </w:p>
        </w:tc>
        <w:tc>
          <w:tcPr>
            <w:tcW w:w="4606" w:type="dxa"/>
            <w:vAlign w:val="center"/>
          </w:tcPr>
          <w:p w:rsidR="00A36403" w:rsidRPr="00277C4C" w:rsidRDefault="00962B08" w:rsidP="00277C4C">
            <w:pPr>
              <w:jc w:val="center"/>
              <w:cnfStyle w:val="000000100000" w:firstRow="0" w:lastRow="0" w:firstColumn="0" w:lastColumn="0" w:oddVBand="0" w:evenVBand="0" w:oddHBand="1" w:evenHBand="0" w:firstRowFirstColumn="0" w:firstRowLastColumn="0" w:lastRowFirstColumn="0" w:lastRowLastColumn="0"/>
              <w:rPr>
                <w:sz w:val="20"/>
              </w:rPr>
            </w:pPr>
            <w:r>
              <w:rPr>
                <w:sz w:val="20"/>
              </w:rPr>
              <w:t>26,3</w:t>
            </w:r>
            <w:r w:rsidR="00A36403" w:rsidRPr="00277C4C">
              <w:rPr>
                <w:sz w:val="20"/>
              </w:rPr>
              <w:t>%</w:t>
            </w:r>
          </w:p>
        </w:tc>
      </w:tr>
      <w:tr w:rsidR="00A36403" w:rsidRPr="00277C4C" w:rsidTr="00277C4C">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962B08" w:rsidP="00A36403">
            <w:pPr>
              <w:rPr>
                <w:sz w:val="20"/>
              </w:rPr>
            </w:pPr>
            <w:r>
              <w:rPr>
                <w:sz w:val="20"/>
              </w:rPr>
              <w:t>Informes de Auditoría y Fiscalización</w:t>
            </w:r>
          </w:p>
        </w:tc>
        <w:tc>
          <w:tcPr>
            <w:tcW w:w="4606" w:type="dxa"/>
            <w:vAlign w:val="center"/>
          </w:tcPr>
          <w:p w:rsidR="00A36403" w:rsidRPr="00277C4C" w:rsidRDefault="00962B08" w:rsidP="00277C4C">
            <w:pPr>
              <w:jc w:val="center"/>
              <w:cnfStyle w:val="000000000000" w:firstRow="0" w:lastRow="0" w:firstColumn="0" w:lastColumn="0" w:oddVBand="0" w:evenVBand="0" w:oddHBand="0" w:evenHBand="0" w:firstRowFirstColumn="0" w:firstRowLastColumn="0" w:lastRowFirstColumn="0" w:lastRowLastColumn="0"/>
              <w:rPr>
                <w:sz w:val="20"/>
              </w:rPr>
            </w:pPr>
            <w:r>
              <w:rPr>
                <w:sz w:val="20"/>
              </w:rPr>
              <w:t>32,0</w:t>
            </w:r>
            <w:r w:rsidR="00A36403" w:rsidRPr="00277C4C">
              <w:rPr>
                <w:sz w:val="20"/>
              </w:rPr>
              <w:t>%</w:t>
            </w:r>
          </w:p>
        </w:tc>
      </w:tr>
      <w:tr w:rsidR="00962B08" w:rsidRPr="00962B08" w:rsidTr="00962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962B08" w:rsidRPr="00962B08" w:rsidRDefault="00962B08" w:rsidP="00962B08">
            <w:pPr>
              <w:rPr>
                <w:sz w:val="20"/>
              </w:rPr>
            </w:pPr>
            <w:r w:rsidRPr="00962B08">
              <w:rPr>
                <w:sz w:val="20"/>
              </w:rPr>
              <w:t xml:space="preserve">Encomiendas </w:t>
            </w:r>
          </w:p>
        </w:tc>
        <w:tc>
          <w:tcPr>
            <w:tcW w:w="4606" w:type="dxa"/>
          </w:tcPr>
          <w:p w:rsidR="00962B08" w:rsidRPr="00962B08" w:rsidRDefault="00962B08" w:rsidP="00962B08">
            <w:pPr>
              <w:jc w:val="center"/>
              <w:cnfStyle w:val="000000100000" w:firstRow="0" w:lastRow="0" w:firstColumn="0" w:lastColumn="0" w:oddVBand="0" w:evenVBand="0" w:oddHBand="1" w:evenHBand="0" w:firstRowFirstColumn="0" w:firstRowLastColumn="0" w:lastRowFirstColumn="0" w:lastRowLastColumn="0"/>
              <w:rPr>
                <w:sz w:val="20"/>
              </w:rPr>
            </w:pPr>
            <w:r>
              <w:rPr>
                <w:sz w:val="20"/>
              </w:rPr>
              <w:t>35,5</w:t>
            </w:r>
            <w:r w:rsidRPr="00962B08">
              <w:rPr>
                <w:sz w:val="20"/>
              </w:rPr>
              <w:t>% (0% en el caso de las subcontrataciones)</w:t>
            </w:r>
          </w:p>
        </w:tc>
      </w:tr>
      <w:tr w:rsidR="00EA0FD2" w:rsidRPr="00277C4C" w:rsidTr="00EA0FD2">
        <w:tc>
          <w:tcPr>
            <w:cnfStyle w:val="001000000000" w:firstRow="0" w:lastRow="0" w:firstColumn="1" w:lastColumn="0" w:oddVBand="0" w:evenVBand="0" w:oddHBand="0" w:evenHBand="0" w:firstRowFirstColumn="0" w:firstRowLastColumn="0" w:lastRowFirstColumn="0" w:lastRowLastColumn="0"/>
            <w:tcW w:w="4605" w:type="dxa"/>
          </w:tcPr>
          <w:p w:rsidR="00EA0FD2" w:rsidRPr="00277C4C" w:rsidRDefault="00EA0FD2" w:rsidP="00513EC7">
            <w:pPr>
              <w:rPr>
                <w:sz w:val="20"/>
              </w:rPr>
            </w:pPr>
            <w:r w:rsidRPr="00277C4C">
              <w:rPr>
                <w:sz w:val="20"/>
              </w:rPr>
              <w:t>Datos estadísticos sobre contratación</w:t>
            </w:r>
          </w:p>
        </w:tc>
        <w:tc>
          <w:tcPr>
            <w:tcW w:w="4606" w:type="dxa"/>
          </w:tcPr>
          <w:p w:rsidR="00EA0FD2" w:rsidRPr="00277C4C" w:rsidRDefault="00962B08" w:rsidP="00EA0FD2">
            <w:pPr>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r w:rsidR="001C0ECE" w:rsidRPr="00277C4C">
              <w:rPr>
                <w:sz w:val="20"/>
              </w:rPr>
              <w:t>8,2</w:t>
            </w:r>
            <w:r w:rsidR="00EA0FD2" w:rsidRPr="00277C4C">
              <w:rPr>
                <w:sz w:val="20"/>
              </w:rPr>
              <w:t>%</w:t>
            </w:r>
          </w:p>
        </w:tc>
      </w:tr>
      <w:tr w:rsidR="00EA0FD2" w:rsidRPr="00277C4C" w:rsidTr="00EA0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EA0FD2" w:rsidRPr="00277C4C" w:rsidRDefault="00962B08" w:rsidP="00513EC7">
            <w:pPr>
              <w:rPr>
                <w:sz w:val="20"/>
              </w:rPr>
            </w:pPr>
            <w:r>
              <w:rPr>
                <w:sz w:val="20"/>
              </w:rPr>
              <w:t>Presupuestos</w:t>
            </w:r>
          </w:p>
        </w:tc>
        <w:tc>
          <w:tcPr>
            <w:tcW w:w="4606" w:type="dxa"/>
          </w:tcPr>
          <w:p w:rsidR="00EA0FD2" w:rsidRPr="00277C4C" w:rsidRDefault="00962B08" w:rsidP="001C0ECE">
            <w:pPr>
              <w:jc w:val="center"/>
              <w:cnfStyle w:val="000000100000" w:firstRow="0" w:lastRow="0" w:firstColumn="0" w:lastColumn="0" w:oddVBand="0" w:evenVBand="0" w:oddHBand="1" w:evenHBand="0" w:firstRowFirstColumn="0" w:firstRowLastColumn="0" w:lastRowFirstColumn="0" w:lastRowLastColumn="0"/>
              <w:rPr>
                <w:sz w:val="20"/>
              </w:rPr>
            </w:pPr>
            <w:r>
              <w:rPr>
                <w:sz w:val="20"/>
              </w:rPr>
              <w:t>42,9%</w:t>
            </w:r>
          </w:p>
        </w:tc>
      </w:tr>
    </w:tbl>
    <w:p w:rsidR="00CB65E7" w:rsidRDefault="00CB65E7" w:rsidP="006E749A">
      <w:r>
        <w:lastRenderedPageBreak/>
        <w:t xml:space="preserve">En cuanto al cumplimiento de los requisitos de calidad de la información, además de las dificultades para conocer si la información está actualizada, en este caso el problema </w:t>
      </w:r>
      <w:r w:rsidR="00A25618">
        <w:t>es la accesibilidad a la información, por</w:t>
      </w:r>
      <w:r>
        <w:t xml:space="preserve"> el uso de fuentes de datos centralizadas para publicarla. </w:t>
      </w:r>
      <w:r w:rsidR="00033C6B">
        <w:t>E</w:t>
      </w:r>
      <w:r>
        <w:t xml:space="preserve">n muchos casos se deriva a la Plataforma de Contratación del Sector Público o a la Base de Datos Nacional de Subvenciones. </w:t>
      </w:r>
      <w:r w:rsidR="00D631CC">
        <w:t xml:space="preserve">Por otra parte, en ocasiones se redirige al Portal de Transparencia de la Administración General del Estado, lo que obliga a efectuar una nueva búsqueda para localizar la información. </w:t>
      </w:r>
      <w:r>
        <w:t xml:space="preserve">    </w:t>
      </w:r>
    </w:p>
    <w:p w:rsidR="00D001DB" w:rsidRDefault="00D001DB" w:rsidP="00D001DB">
      <w:r>
        <w:t xml:space="preserve">El índice medio de cumplimiento de este bloque de obligaciones es del </w:t>
      </w:r>
      <w:r w:rsidR="00C227BE">
        <w:t>39,7</w:t>
      </w:r>
      <w:r>
        <w:t xml:space="preserve">%, con un rango que oscila entre el 0 y el </w:t>
      </w:r>
      <w:r w:rsidR="00C227BE">
        <w:t>100</w:t>
      </w:r>
      <w:r>
        <w:t>%.</w:t>
      </w:r>
    </w:p>
    <w:p w:rsidR="00D631CC" w:rsidRPr="009E5841" w:rsidRDefault="00D631CC" w:rsidP="00D631CC">
      <w:pPr>
        <w:pStyle w:val="Epgrafe"/>
        <w:keepNext/>
        <w:rPr>
          <w:color w:val="438086" w:themeColor="accent2"/>
          <w:sz w:val="22"/>
          <w:szCs w:val="22"/>
        </w:rPr>
      </w:pPr>
      <w:r w:rsidRPr="009E5841">
        <w:rPr>
          <w:color w:val="438086" w:themeColor="accent2"/>
          <w:sz w:val="22"/>
          <w:szCs w:val="22"/>
        </w:rPr>
        <w:t xml:space="preserve">Gráfico </w:t>
      </w:r>
      <w:r w:rsidR="005915F6" w:rsidRPr="009E5841">
        <w:rPr>
          <w:color w:val="438086" w:themeColor="accent2"/>
          <w:sz w:val="22"/>
          <w:szCs w:val="22"/>
        </w:rPr>
        <w:fldChar w:fldCharType="begin"/>
      </w:r>
      <w:r w:rsidR="005915F6" w:rsidRPr="009E5841">
        <w:rPr>
          <w:color w:val="438086" w:themeColor="accent2"/>
          <w:sz w:val="22"/>
          <w:szCs w:val="22"/>
        </w:rPr>
        <w:instrText xml:space="preserve"> SEQ Gráfico \* ARABIC </w:instrText>
      </w:r>
      <w:r w:rsidR="005915F6" w:rsidRPr="009E5841">
        <w:rPr>
          <w:color w:val="438086" w:themeColor="accent2"/>
          <w:sz w:val="22"/>
          <w:szCs w:val="22"/>
        </w:rPr>
        <w:fldChar w:fldCharType="separate"/>
      </w:r>
      <w:r w:rsidR="009A0015">
        <w:rPr>
          <w:noProof/>
          <w:color w:val="438086" w:themeColor="accent2"/>
          <w:sz w:val="22"/>
          <w:szCs w:val="22"/>
        </w:rPr>
        <w:t>7</w:t>
      </w:r>
      <w:r w:rsidR="005915F6" w:rsidRPr="009E5841">
        <w:rPr>
          <w:color w:val="438086" w:themeColor="accent2"/>
          <w:sz w:val="22"/>
          <w:szCs w:val="22"/>
        </w:rPr>
        <w:fldChar w:fldCharType="end"/>
      </w:r>
      <w:r w:rsidRPr="009E5841">
        <w:rPr>
          <w:color w:val="438086" w:themeColor="accent2"/>
          <w:sz w:val="22"/>
          <w:szCs w:val="22"/>
        </w:rPr>
        <w:t>: Evaluación de la publicación (contenido) y de los atributos de calidad de información Económica, Presupuestaria y Estadística.</w:t>
      </w:r>
      <w:r w:rsidR="00550FCC" w:rsidRPr="009E5841">
        <w:rPr>
          <w:sz w:val="22"/>
          <w:szCs w:val="22"/>
        </w:rPr>
        <w:t xml:space="preserve"> </w:t>
      </w:r>
    </w:p>
    <w:p w:rsidR="00CB65E7" w:rsidRDefault="00C227BE" w:rsidP="00841A00">
      <w:r>
        <w:rPr>
          <w:noProof/>
        </w:rPr>
        <w:drawing>
          <wp:inline distT="0" distB="0" distL="0" distR="0" wp14:anchorId="5189FF3C" wp14:editId="5A9CEE3A">
            <wp:extent cx="5759532" cy="2945081"/>
            <wp:effectExtent l="0" t="0" r="12700" b="273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631CC" w:rsidRDefault="00D631CC" w:rsidP="00D631CC">
      <w:pPr>
        <w:pStyle w:val="Ttulo4"/>
      </w:pPr>
    </w:p>
    <w:p w:rsidR="00D001DB" w:rsidRDefault="00D001DB" w:rsidP="00D001DB">
      <w:r>
        <w:t>Las sociedades mercantiles son las organizaciones que presentan un mejor desempeño en el cumplimiento global de este bloque de obligaciones</w:t>
      </w:r>
      <w:r w:rsidR="006E749A">
        <w:t>, siendo esta diferencia estadísticamente significativa</w:t>
      </w:r>
      <w:r>
        <w:t xml:space="preserve">. En la posición contraria se sitúan las fundaciones públicas y </w:t>
      </w:r>
      <w:r w:rsidR="00C227BE">
        <w:t>agencias estatales, organismos autónomos y entidades públicas empresariales</w:t>
      </w:r>
      <w:r>
        <w:t>.</w:t>
      </w:r>
      <w:r w:rsidR="006E749A">
        <w:t xml:space="preserve"> </w:t>
      </w:r>
    </w:p>
    <w:p w:rsidR="006E749A" w:rsidRDefault="006E749A" w:rsidP="00D001DB">
      <w:r>
        <w:t>Por otra parte, también es significativamente más elevado el Índice de Cumplimiento de las entidades evaluadas en 2021: el 46,6% frente al 28% de las evaluadas por primera vez en 2022.</w:t>
      </w:r>
    </w:p>
    <w:p w:rsidR="00D001DB" w:rsidRPr="00D001DB" w:rsidRDefault="00D001DB" w:rsidP="00D001DB">
      <w:pPr>
        <w:pStyle w:val="Epgrafe"/>
        <w:keepNext/>
        <w:rPr>
          <w:color w:val="438086" w:themeColor="accent2"/>
          <w:sz w:val="22"/>
          <w:szCs w:val="22"/>
        </w:rPr>
      </w:pPr>
      <w:r w:rsidRPr="00D001DB">
        <w:rPr>
          <w:color w:val="438086" w:themeColor="accent2"/>
          <w:sz w:val="22"/>
          <w:szCs w:val="22"/>
        </w:rPr>
        <w:lastRenderedPageBreak/>
        <w:t xml:space="preserve">Gráfico </w:t>
      </w:r>
      <w:r w:rsidRPr="00D001DB">
        <w:rPr>
          <w:color w:val="438086" w:themeColor="accent2"/>
          <w:sz w:val="22"/>
          <w:szCs w:val="22"/>
        </w:rPr>
        <w:fldChar w:fldCharType="begin"/>
      </w:r>
      <w:r w:rsidRPr="00D001DB">
        <w:rPr>
          <w:color w:val="438086" w:themeColor="accent2"/>
          <w:sz w:val="22"/>
          <w:szCs w:val="22"/>
        </w:rPr>
        <w:instrText xml:space="preserve"> SEQ Gráfico \* ARABIC </w:instrText>
      </w:r>
      <w:r w:rsidRPr="00D001DB">
        <w:rPr>
          <w:color w:val="438086" w:themeColor="accent2"/>
          <w:sz w:val="22"/>
          <w:szCs w:val="22"/>
        </w:rPr>
        <w:fldChar w:fldCharType="separate"/>
      </w:r>
      <w:r w:rsidR="009A0015">
        <w:rPr>
          <w:noProof/>
          <w:color w:val="438086" w:themeColor="accent2"/>
          <w:sz w:val="22"/>
          <w:szCs w:val="22"/>
        </w:rPr>
        <w:t>8</w:t>
      </w:r>
      <w:r w:rsidRPr="00D001DB">
        <w:rPr>
          <w:color w:val="438086" w:themeColor="accent2"/>
          <w:sz w:val="22"/>
          <w:szCs w:val="22"/>
        </w:rPr>
        <w:fldChar w:fldCharType="end"/>
      </w:r>
      <w:r w:rsidRPr="00D001DB">
        <w:rPr>
          <w:color w:val="438086" w:themeColor="accent2"/>
          <w:sz w:val="22"/>
          <w:szCs w:val="22"/>
        </w:rPr>
        <w:t>: Cumplimiento global en el bloque de informaciones Económica, Presupuestaria y Estadística según tipología de organismo evaluado.</w:t>
      </w:r>
    </w:p>
    <w:p w:rsidR="00D001DB" w:rsidRDefault="00C227BE" w:rsidP="00AF02EB">
      <w:pPr>
        <w:pStyle w:val="Ttulo3"/>
      </w:pPr>
      <w:bookmarkStart w:id="11" w:name="_Toc113366617"/>
      <w:r>
        <w:rPr>
          <w:noProof/>
        </w:rPr>
        <w:drawing>
          <wp:inline distT="0" distB="0" distL="0" distR="0" wp14:anchorId="4343C7A0" wp14:editId="41B35F27">
            <wp:extent cx="5783283" cy="2945080"/>
            <wp:effectExtent l="0" t="0" r="27305" b="273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1"/>
    </w:p>
    <w:p w:rsidR="00D001DB" w:rsidRDefault="00D001DB" w:rsidP="00AF02EB">
      <w:pPr>
        <w:pStyle w:val="Ttulo3"/>
      </w:pPr>
    </w:p>
    <w:p w:rsidR="008234D9" w:rsidRDefault="006E749A" w:rsidP="006E749A">
      <w:r>
        <w:t>Respecto de 2021</w:t>
      </w:r>
      <w:r w:rsidR="00570F7A">
        <w:t>,</w:t>
      </w:r>
      <w:r>
        <w:t xml:space="preserve"> el Índice de Cumplimiento en este bloque de obligaciones, ha aumentado en 9,2 p.p</w:t>
      </w:r>
      <w:r w:rsidR="00A25618">
        <w:t>. Las MATEPSS seguidas  de las s</w:t>
      </w:r>
      <w:r>
        <w:t xml:space="preserve">ociedades </w:t>
      </w:r>
      <w:r w:rsidR="00A25618">
        <w:t>m</w:t>
      </w:r>
      <w:r>
        <w:t xml:space="preserve">ercantiles, presentan la mejor evolución: + 16,3 y +12 p.p., respectivamente. </w:t>
      </w:r>
    </w:p>
    <w:p w:rsidR="00095E18" w:rsidRDefault="00095E18" w:rsidP="00AF02EB">
      <w:pPr>
        <w:pStyle w:val="Ttulo3"/>
      </w:pPr>
    </w:p>
    <w:p w:rsidR="00D631CC" w:rsidRDefault="00F23BD7" w:rsidP="00AF02EB">
      <w:pPr>
        <w:pStyle w:val="Ttulo3"/>
      </w:pPr>
      <w:bookmarkStart w:id="12" w:name="_Toc113366618"/>
      <w:r>
        <w:t>III.</w:t>
      </w:r>
      <w:r w:rsidR="00D24B74">
        <w:t>3</w:t>
      </w:r>
      <w:r>
        <w:t xml:space="preserve">.4.  </w:t>
      </w:r>
      <w:r w:rsidR="00D631CC">
        <w:t>Información Patrimonial</w:t>
      </w:r>
      <w:bookmarkEnd w:id="12"/>
    </w:p>
    <w:p w:rsidR="00D631CC" w:rsidRDefault="00D631CC" w:rsidP="00513EC7"/>
    <w:p w:rsidR="00D631CC" w:rsidRDefault="008234D9" w:rsidP="00513EC7">
      <w:r>
        <w:t xml:space="preserve">El </w:t>
      </w:r>
      <w:r w:rsidR="00095E18">
        <w:t>46,1</w:t>
      </w:r>
      <w:r>
        <w:t xml:space="preserve">% de las organizaciones a las que es aplicable esta </w:t>
      </w:r>
      <w:r w:rsidR="00702E60">
        <w:t>obligación</w:t>
      </w:r>
      <w:r>
        <w:rPr>
          <w:rStyle w:val="Refdenotaalpie"/>
        </w:rPr>
        <w:footnoteReference w:id="5"/>
      </w:r>
      <w:r w:rsidR="00702E60">
        <w:t xml:space="preserve">, </w:t>
      </w:r>
      <w:r w:rsidR="00D631CC">
        <w:t xml:space="preserve">publica información sobre sus bienes patrimoniales. </w:t>
      </w:r>
      <w:r w:rsidR="00BA54C2">
        <w:t>De nuevo,</w:t>
      </w:r>
      <w:r w:rsidR="00D631CC">
        <w:t xml:space="preserve"> la falta de referencias a  la última fecha en que se revisó o actualizó la información es el principal déficit que presenta este bloque de obligaciones. El índice de cumplimiento global se sitúa </w:t>
      </w:r>
      <w:r w:rsidR="005915F6">
        <w:t xml:space="preserve">en el  </w:t>
      </w:r>
      <w:r w:rsidR="00095E18">
        <w:t>44,5</w:t>
      </w:r>
      <w:r w:rsidR="005915F6">
        <w:t xml:space="preserve">%, con una variabilidad </w:t>
      </w:r>
      <w:r w:rsidR="003F10D6">
        <w:t>de</w:t>
      </w:r>
      <w:r w:rsidR="005915F6">
        <w:t xml:space="preserve"> entre el </w:t>
      </w:r>
      <w:r>
        <w:t>0</w:t>
      </w:r>
      <w:r w:rsidR="005915F6">
        <w:t xml:space="preserve"> y el </w:t>
      </w:r>
      <w:r>
        <w:t>100</w:t>
      </w:r>
      <w:r w:rsidR="005915F6">
        <w:t>%.</w:t>
      </w:r>
      <w:r w:rsidR="00095E18">
        <w:t xml:space="preserve"> Respecto de 202</w:t>
      </w:r>
      <w:r w:rsidR="00BA54C2">
        <w:t>1</w:t>
      </w:r>
      <w:r w:rsidR="00095E18">
        <w:t>, el Índice de Cumplimiento ha aumentado en 18,2 p.p.</w:t>
      </w:r>
    </w:p>
    <w:p w:rsidR="005915F6" w:rsidRDefault="005915F6" w:rsidP="005915F6">
      <w:pPr>
        <w:pStyle w:val="Epgrafe"/>
        <w:keepNext/>
      </w:pPr>
      <w:r w:rsidRPr="005915F6">
        <w:rPr>
          <w:color w:val="438086" w:themeColor="accent2"/>
          <w:sz w:val="22"/>
          <w:szCs w:val="22"/>
        </w:rPr>
        <w:lastRenderedPageBreak/>
        <w:t xml:space="preserve">Gráfico </w:t>
      </w:r>
      <w:r w:rsidRPr="005915F6">
        <w:rPr>
          <w:color w:val="438086" w:themeColor="accent2"/>
          <w:sz w:val="22"/>
          <w:szCs w:val="22"/>
        </w:rPr>
        <w:fldChar w:fldCharType="begin"/>
      </w:r>
      <w:r w:rsidRPr="005915F6">
        <w:rPr>
          <w:color w:val="438086" w:themeColor="accent2"/>
          <w:sz w:val="22"/>
          <w:szCs w:val="22"/>
        </w:rPr>
        <w:instrText xml:space="preserve"> SEQ Gráfico \* ARABIC </w:instrText>
      </w:r>
      <w:r w:rsidRPr="005915F6">
        <w:rPr>
          <w:color w:val="438086" w:themeColor="accent2"/>
          <w:sz w:val="22"/>
          <w:szCs w:val="22"/>
        </w:rPr>
        <w:fldChar w:fldCharType="separate"/>
      </w:r>
      <w:r w:rsidR="009A0015">
        <w:rPr>
          <w:noProof/>
          <w:color w:val="438086" w:themeColor="accent2"/>
          <w:sz w:val="22"/>
          <w:szCs w:val="22"/>
        </w:rPr>
        <w:t>9</w:t>
      </w:r>
      <w:r w:rsidRPr="005915F6">
        <w:rPr>
          <w:color w:val="438086" w:themeColor="accent2"/>
          <w:sz w:val="22"/>
          <w:szCs w:val="22"/>
        </w:rPr>
        <w:fldChar w:fldCharType="end"/>
      </w:r>
      <w:r w:rsidRPr="005915F6">
        <w:rPr>
          <w:color w:val="438086" w:themeColor="accent2"/>
          <w:sz w:val="22"/>
          <w:szCs w:val="22"/>
        </w:rPr>
        <w:t xml:space="preserve">: </w:t>
      </w:r>
      <w:r w:rsidRPr="00D631CC">
        <w:rPr>
          <w:color w:val="438086" w:themeColor="accent2"/>
          <w:sz w:val="22"/>
          <w:szCs w:val="22"/>
        </w:rPr>
        <w:t xml:space="preserve">Evaluación de la publicación (contenido) y de los atributos de calidad de información </w:t>
      </w:r>
      <w:r>
        <w:rPr>
          <w:color w:val="438086" w:themeColor="accent2"/>
          <w:sz w:val="22"/>
          <w:szCs w:val="22"/>
        </w:rPr>
        <w:t>Patrimonial</w:t>
      </w:r>
      <w:r w:rsidRPr="00D631CC">
        <w:rPr>
          <w:color w:val="438086" w:themeColor="accent2"/>
          <w:sz w:val="22"/>
          <w:szCs w:val="22"/>
        </w:rPr>
        <w:t>.</w:t>
      </w:r>
      <w:r w:rsidR="00550FCC" w:rsidRPr="00550FCC">
        <w:t xml:space="preserve"> </w:t>
      </w:r>
    </w:p>
    <w:p w:rsidR="00D631CC" w:rsidRPr="00513EC7" w:rsidRDefault="00095E18" w:rsidP="00D23563">
      <w:r>
        <w:rPr>
          <w:noProof/>
        </w:rPr>
        <w:drawing>
          <wp:inline distT="0" distB="0" distL="0" distR="0" wp14:anchorId="2ABDDF9C" wp14:editId="71808B98">
            <wp:extent cx="5818909" cy="2541319"/>
            <wp:effectExtent l="0" t="0" r="10795" b="1143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5AAA" w:rsidRDefault="009F5AAA" w:rsidP="00513EC7">
      <w:pPr>
        <w:pStyle w:val="Ttulo3"/>
      </w:pPr>
    </w:p>
    <w:p w:rsidR="00513EC7" w:rsidRDefault="00F23BD7" w:rsidP="00513EC7">
      <w:pPr>
        <w:pStyle w:val="Ttulo3"/>
      </w:pPr>
      <w:bookmarkStart w:id="13" w:name="_Toc113366619"/>
      <w:r>
        <w:t>III.</w:t>
      </w:r>
      <w:r w:rsidR="00D24B74">
        <w:t>3</w:t>
      </w:r>
      <w:r>
        <w:t>.</w:t>
      </w:r>
      <w:r w:rsidR="00E719EF">
        <w:t>5</w:t>
      </w:r>
      <w:r>
        <w:t xml:space="preserve">. </w:t>
      </w:r>
      <w:r w:rsidR="00513EC7">
        <w:t>Índice de Cumplimiento de la Información Obligatoria</w:t>
      </w:r>
      <w:r w:rsidR="00520912">
        <w:t xml:space="preserve"> (ICIO)</w:t>
      </w:r>
      <w:bookmarkEnd w:id="13"/>
    </w:p>
    <w:p w:rsidR="00513EC7" w:rsidRDefault="00513EC7" w:rsidP="00513EC7"/>
    <w:p w:rsidR="00520912" w:rsidRDefault="00520912" w:rsidP="00513EC7">
      <w:r>
        <w:t xml:space="preserve">El ICIO </w:t>
      </w:r>
      <w:r w:rsidR="0052794A">
        <w:t>de</w:t>
      </w:r>
      <w:r>
        <w:t xml:space="preserve"> este grupo de sujetos obligados </w:t>
      </w:r>
      <w:r w:rsidR="0052794A">
        <w:t xml:space="preserve">alcanza </w:t>
      </w:r>
      <w:r w:rsidR="00FF5F43">
        <w:t xml:space="preserve">un </w:t>
      </w:r>
      <w:r w:rsidR="00095E18">
        <w:t>51,6</w:t>
      </w:r>
      <w:r w:rsidR="009E5841">
        <w:t>%</w:t>
      </w:r>
      <w:r w:rsidR="00FF5F43">
        <w:t>.</w:t>
      </w:r>
      <w:r w:rsidR="007009D5">
        <w:t xml:space="preserve"> El rango de variación oscila entre el 9 y el </w:t>
      </w:r>
      <w:r w:rsidR="00095E18">
        <w:t>100</w:t>
      </w:r>
      <w:r w:rsidR="007009D5">
        <w:t>%.</w:t>
      </w:r>
      <w:r w:rsidR="0054337E">
        <w:t xml:space="preserve"> Respecto de 2021 se produce un incremento de casi 11 p.p. </w:t>
      </w:r>
    </w:p>
    <w:p w:rsidR="00FF5F43" w:rsidRDefault="00FF5F43" w:rsidP="00513EC7">
      <w:r>
        <w:t xml:space="preserve">La falta de publicación de informaciones obligatorias – no se publica </w:t>
      </w:r>
      <w:r w:rsidR="007009D5">
        <w:t xml:space="preserve">el </w:t>
      </w:r>
      <w:r w:rsidR="00095E18">
        <w:t>46,3</w:t>
      </w:r>
      <w:r>
        <w:t>%</w:t>
      </w:r>
      <w:r w:rsidR="003F10D6">
        <w:t xml:space="preserve"> de ellas</w:t>
      </w:r>
      <w:r>
        <w:t xml:space="preserve"> - el recurso a fuentes centralizadas o la derivación al Portal de Transparencia de la AGE, y sobre todo, la carencia de referencias que permitan conocer a los usuarios el grado de actualización de la información publicada, son los factores que explican el</w:t>
      </w:r>
      <w:r w:rsidR="005F0168">
        <w:t xml:space="preserve"> </w:t>
      </w:r>
      <w:r>
        <w:t>nivel de cumplimiento global alcanzado.</w:t>
      </w:r>
    </w:p>
    <w:p w:rsidR="00513EC7" w:rsidRDefault="005915F6" w:rsidP="0052794A">
      <w:pPr>
        <w:pStyle w:val="Epgrafe"/>
        <w:keepNext/>
      </w:pPr>
      <w:r w:rsidRPr="002136D7">
        <w:rPr>
          <w:color w:val="438086" w:themeColor="accent2"/>
          <w:sz w:val="22"/>
          <w:szCs w:val="22"/>
        </w:rPr>
        <w:lastRenderedPageBreak/>
        <w:t xml:space="preserve">Gráfico </w:t>
      </w:r>
      <w:r w:rsidRPr="002136D7">
        <w:rPr>
          <w:color w:val="438086" w:themeColor="accent2"/>
          <w:sz w:val="22"/>
          <w:szCs w:val="22"/>
        </w:rPr>
        <w:fldChar w:fldCharType="begin"/>
      </w:r>
      <w:r w:rsidRPr="002136D7">
        <w:rPr>
          <w:color w:val="438086" w:themeColor="accent2"/>
          <w:sz w:val="22"/>
          <w:szCs w:val="22"/>
        </w:rPr>
        <w:instrText xml:space="preserve"> SEQ Gráfico \* ARABIC </w:instrText>
      </w:r>
      <w:r w:rsidRPr="002136D7">
        <w:rPr>
          <w:color w:val="438086" w:themeColor="accent2"/>
          <w:sz w:val="22"/>
          <w:szCs w:val="22"/>
        </w:rPr>
        <w:fldChar w:fldCharType="separate"/>
      </w:r>
      <w:r w:rsidR="009A0015">
        <w:rPr>
          <w:noProof/>
          <w:color w:val="438086" w:themeColor="accent2"/>
          <w:sz w:val="22"/>
          <w:szCs w:val="22"/>
        </w:rPr>
        <w:t>10</w:t>
      </w:r>
      <w:r w:rsidRPr="002136D7">
        <w:rPr>
          <w:color w:val="438086" w:themeColor="accent2"/>
          <w:sz w:val="22"/>
          <w:szCs w:val="22"/>
        </w:rPr>
        <w:fldChar w:fldCharType="end"/>
      </w:r>
      <w:r w:rsidRPr="002136D7">
        <w:rPr>
          <w:color w:val="438086" w:themeColor="accent2"/>
          <w:sz w:val="22"/>
          <w:szCs w:val="22"/>
        </w:rPr>
        <w:t>: Índice de Cumplimiento de la</w:t>
      </w:r>
      <w:r w:rsidR="0052794A">
        <w:rPr>
          <w:color w:val="438086" w:themeColor="accent2"/>
          <w:sz w:val="22"/>
          <w:szCs w:val="22"/>
        </w:rPr>
        <w:t xml:space="preserve"> Información Obligatoria (ICIO). </w:t>
      </w:r>
    </w:p>
    <w:p w:rsidR="002136D7" w:rsidRDefault="00CF325D" w:rsidP="00513EC7">
      <w:pPr>
        <w:pStyle w:val="Ttulo3"/>
      </w:pPr>
      <w:bookmarkStart w:id="14" w:name="_Toc113366620"/>
      <w:r>
        <w:rPr>
          <w:noProof/>
        </w:rPr>
        <w:drawing>
          <wp:inline distT="0" distB="0" distL="0" distR="0" wp14:anchorId="561B2A88" wp14:editId="64D06517">
            <wp:extent cx="5688280" cy="2636322"/>
            <wp:effectExtent l="0" t="0" r="27305" b="1206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14"/>
    </w:p>
    <w:p w:rsidR="00702E60" w:rsidRDefault="00702E60" w:rsidP="006219DA"/>
    <w:p w:rsidR="00BF3F82" w:rsidRDefault="00BF3F82" w:rsidP="006219DA">
      <w:r>
        <w:t>Al igual que lo sucedido en los distintos bloques de información obligatoria, el índice de cumplimiento global más elevado se observa en las sociedades mercantiles</w:t>
      </w:r>
      <w:r w:rsidR="00651737">
        <w:t>,</w:t>
      </w:r>
      <w:r>
        <w:t xml:space="preserve"> con un </w:t>
      </w:r>
      <w:r w:rsidR="0026084F">
        <w:t>63,6</w:t>
      </w:r>
      <w:r>
        <w:t>%.</w:t>
      </w:r>
    </w:p>
    <w:p w:rsidR="00BF3F82" w:rsidRPr="00BF3F82" w:rsidRDefault="00BF3F82" w:rsidP="00BF3F82">
      <w:pPr>
        <w:pStyle w:val="Epgrafe"/>
        <w:keepNext/>
        <w:rPr>
          <w:color w:val="438086" w:themeColor="accent2"/>
          <w:sz w:val="22"/>
          <w:szCs w:val="22"/>
        </w:rPr>
      </w:pPr>
      <w:r w:rsidRPr="00BF3F82">
        <w:rPr>
          <w:color w:val="438086" w:themeColor="accent2"/>
          <w:sz w:val="22"/>
          <w:szCs w:val="22"/>
        </w:rPr>
        <w:t xml:space="preserve">Gráfico </w:t>
      </w:r>
      <w:r w:rsidRPr="00BF3F82">
        <w:rPr>
          <w:color w:val="438086" w:themeColor="accent2"/>
          <w:sz w:val="22"/>
          <w:szCs w:val="22"/>
        </w:rPr>
        <w:fldChar w:fldCharType="begin"/>
      </w:r>
      <w:r w:rsidRPr="00BF3F82">
        <w:rPr>
          <w:color w:val="438086" w:themeColor="accent2"/>
          <w:sz w:val="22"/>
          <w:szCs w:val="22"/>
        </w:rPr>
        <w:instrText xml:space="preserve"> SEQ Gráfico \* ARABIC </w:instrText>
      </w:r>
      <w:r w:rsidRPr="00BF3F82">
        <w:rPr>
          <w:color w:val="438086" w:themeColor="accent2"/>
          <w:sz w:val="22"/>
          <w:szCs w:val="22"/>
        </w:rPr>
        <w:fldChar w:fldCharType="separate"/>
      </w:r>
      <w:r w:rsidR="009A0015">
        <w:rPr>
          <w:noProof/>
          <w:color w:val="438086" w:themeColor="accent2"/>
          <w:sz w:val="22"/>
          <w:szCs w:val="22"/>
        </w:rPr>
        <w:t>11</w:t>
      </w:r>
      <w:r w:rsidRPr="00BF3F82">
        <w:rPr>
          <w:color w:val="438086" w:themeColor="accent2"/>
          <w:sz w:val="22"/>
          <w:szCs w:val="22"/>
        </w:rPr>
        <w:fldChar w:fldCharType="end"/>
      </w:r>
      <w:r w:rsidRPr="00BF3F82">
        <w:rPr>
          <w:color w:val="438086" w:themeColor="accent2"/>
          <w:sz w:val="22"/>
          <w:szCs w:val="22"/>
        </w:rPr>
        <w:t>: Índice de Cumplimiento de la Información Obligatoria (ICIO) según tipología de organismo evaluado</w:t>
      </w:r>
    </w:p>
    <w:p w:rsidR="00BF3F82" w:rsidRDefault="00CF325D" w:rsidP="006219DA">
      <w:r>
        <w:rPr>
          <w:noProof/>
        </w:rPr>
        <w:drawing>
          <wp:inline distT="0" distB="0" distL="0" distR="0" wp14:anchorId="7184EC34" wp14:editId="5C62979B">
            <wp:extent cx="5747657" cy="2814452"/>
            <wp:effectExtent l="0" t="0" r="24765" b="2413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7D3B" w:rsidRDefault="006C216F" w:rsidP="006C216F">
      <w:r>
        <w:t xml:space="preserve">También el ÍCIO varía significativamente en función del año en que se realizó la primera evaluación: las entidades evaluadas por primera vez en 2021 alcanzan el 61,8% frente al 40,7% obtenido por las entidades evaluadas por primera vez en 2022.   </w:t>
      </w:r>
    </w:p>
    <w:p w:rsidR="00AB5A48" w:rsidRPr="004D777E" w:rsidRDefault="00702E60" w:rsidP="00AB5A48">
      <w:pPr>
        <w:pStyle w:val="Ttulo3"/>
        <w:rPr>
          <w:rFonts w:ascii="Century Gothic" w:hAnsi="Century Gothic"/>
          <w:b w:val="0"/>
          <w:color w:val="auto"/>
          <w:szCs w:val="20"/>
        </w:rPr>
      </w:pPr>
      <w:bookmarkStart w:id="15" w:name="_Toc98321561"/>
      <w:bookmarkStart w:id="16" w:name="_Toc113366621"/>
      <w:r>
        <w:rPr>
          <w:rFonts w:ascii="Century Gothic" w:hAnsi="Century Gothic"/>
          <w:b w:val="0"/>
          <w:color w:val="auto"/>
          <w:szCs w:val="20"/>
        </w:rPr>
        <w:lastRenderedPageBreak/>
        <w:t>La siguiente tabla</w:t>
      </w:r>
      <w:r w:rsidR="00AB5A48">
        <w:rPr>
          <w:rFonts w:ascii="Century Gothic" w:hAnsi="Century Gothic"/>
          <w:b w:val="0"/>
          <w:color w:val="auto"/>
          <w:szCs w:val="20"/>
        </w:rPr>
        <w:t xml:space="preserve"> muestra los Índices de Cumplimiento individuales alcanzados por las entidades </w:t>
      </w:r>
      <w:r>
        <w:rPr>
          <w:rFonts w:ascii="Century Gothic" w:hAnsi="Century Gothic"/>
          <w:b w:val="0"/>
          <w:color w:val="auto"/>
          <w:szCs w:val="20"/>
        </w:rPr>
        <w:t>evaluadas</w:t>
      </w:r>
      <w:r w:rsidR="00AB5A48">
        <w:rPr>
          <w:rFonts w:ascii="Century Gothic" w:hAnsi="Century Gothic"/>
          <w:b w:val="0"/>
          <w:color w:val="auto"/>
          <w:szCs w:val="20"/>
        </w:rPr>
        <w:t>, junto a la evolución de estos índices respecto de 2021, a las recomendaciones</w:t>
      </w:r>
      <w:r>
        <w:rPr>
          <w:rFonts w:ascii="Century Gothic" w:hAnsi="Century Gothic"/>
          <w:b w:val="0"/>
          <w:color w:val="auto"/>
          <w:szCs w:val="20"/>
        </w:rPr>
        <w:t xml:space="preserve"> derivadas de la evaluación 2021</w:t>
      </w:r>
      <w:r w:rsidR="00AB5A48">
        <w:rPr>
          <w:rFonts w:ascii="Century Gothic" w:hAnsi="Century Gothic"/>
          <w:b w:val="0"/>
          <w:color w:val="auto"/>
          <w:szCs w:val="20"/>
        </w:rPr>
        <w:t xml:space="preserve"> implantadas</w:t>
      </w:r>
      <w:r w:rsidR="00651737">
        <w:rPr>
          <w:rFonts w:ascii="Century Gothic" w:hAnsi="Century Gothic"/>
          <w:b w:val="0"/>
          <w:color w:val="auto"/>
          <w:szCs w:val="20"/>
        </w:rPr>
        <w:t>,</w:t>
      </w:r>
      <w:r w:rsidR="00AB5A48">
        <w:rPr>
          <w:rFonts w:ascii="Century Gothic" w:hAnsi="Century Gothic"/>
          <w:b w:val="0"/>
          <w:color w:val="auto"/>
          <w:szCs w:val="20"/>
        </w:rPr>
        <w:t xml:space="preserve"> así como las recomendaciones y mejoras que se han aplicado durante el periodo de observaciones.</w:t>
      </w:r>
      <w:bookmarkEnd w:id="15"/>
      <w:bookmarkEnd w:id="16"/>
    </w:p>
    <w:p w:rsidR="00702E60" w:rsidRDefault="00702E60" w:rsidP="00BA54C2">
      <w:pPr>
        <w:pStyle w:val="Epgrafe"/>
        <w:keepNext/>
        <w:rPr>
          <w:color w:val="438086" w:themeColor="accent2"/>
          <w:sz w:val="22"/>
          <w:szCs w:val="22"/>
        </w:rPr>
      </w:pPr>
    </w:p>
    <w:p w:rsidR="00BA54C2" w:rsidRPr="00BA54C2" w:rsidRDefault="00BA54C2" w:rsidP="00BA54C2">
      <w:pPr>
        <w:pStyle w:val="Epgrafe"/>
        <w:keepNext/>
        <w:rPr>
          <w:color w:val="438086" w:themeColor="accent2"/>
          <w:sz w:val="22"/>
          <w:szCs w:val="22"/>
        </w:rPr>
      </w:pPr>
      <w:r w:rsidRPr="00BA54C2">
        <w:rPr>
          <w:color w:val="438086" w:themeColor="accent2"/>
          <w:sz w:val="22"/>
          <w:szCs w:val="22"/>
        </w:rPr>
        <w:t xml:space="preserve">Tabla </w:t>
      </w:r>
      <w:r w:rsidRPr="00BA54C2">
        <w:rPr>
          <w:color w:val="438086" w:themeColor="accent2"/>
          <w:sz w:val="22"/>
          <w:szCs w:val="22"/>
        </w:rPr>
        <w:fldChar w:fldCharType="begin"/>
      </w:r>
      <w:r w:rsidRPr="00BA54C2">
        <w:rPr>
          <w:color w:val="438086" w:themeColor="accent2"/>
          <w:sz w:val="22"/>
          <w:szCs w:val="22"/>
        </w:rPr>
        <w:instrText xml:space="preserve"> SEQ Tabla \* ARABIC </w:instrText>
      </w:r>
      <w:r w:rsidRPr="00BA54C2">
        <w:rPr>
          <w:color w:val="438086" w:themeColor="accent2"/>
          <w:sz w:val="22"/>
          <w:szCs w:val="22"/>
        </w:rPr>
        <w:fldChar w:fldCharType="separate"/>
      </w:r>
      <w:r w:rsidRPr="00BA54C2">
        <w:rPr>
          <w:color w:val="438086" w:themeColor="accent2"/>
          <w:sz w:val="22"/>
          <w:szCs w:val="22"/>
        </w:rPr>
        <w:t>2</w:t>
      </w:r>
      <w:r w:rsidRPr="00BA54C2">
        <w:rPr>
          <w:color w:val="438086" w:themeColor="accent2"/>
          <w:sz w:val="22"/>
          <w:szCs w:val="22"/>
        </w:rPr>
        <w:fldChar w:fldCharType="end"/>
      </w:r>
      <w:r w:rsidRPr="00BA54C2">
        <w:rPr>
          <w:color w:val="438086" w:themeColor="accent2"/>
          <w:sz w:val="22"/>
          <w:szCs w:val="22"/>
        </w:rPr>
        <w:t>: Índices de Cumplimiento de la Información Obligatoria en 2022, evolución y grado de aplicación de las recomendaciones derivadas de la evaluación 2021.</w:t>
      </w:r>
    </w:p>
    <w:tbl>
      <w:tblPr>
        <w:tblStyle w:val="Cuadrculamedia3-nfasis2"/>
        <w:tblW w:w="10490" w:type="dxa"/>
        <w:tblInd w:w="-601" w:type="dxa"/>
        <w:tblLayout w:type="fixed"/>
        <w:tblLook w:val="04A0" w:firstRow="1" w:lastRow="0" w:firstColumn="1" w:lastColumn="0" w:noHBand="0" w:noVBand="1"/>
      </w:tblPr>
      <w:tblGrid>
        <w:gridCol w:w="2552"/>
        <w:gridCol w:w="1418"/>
        <w:gridCol w:w="1417"/>
        <w:gridCol w:w="1701"/>
        <w:gridCol w:w="1701"/>
        <w:gridCol w:w="1701"/>
      </w:tblGrid>
      <w:tr w:rsidR="00AB5A48" w:rsidRPr="00AB5A48" w:rsidTr="00216D63">
        <w:trPr>
          <w:cnfStyle w:val="100000000000" w:firstRow="1" w:lastRow="0" w:firstColumn="0" w:lastColumn="0" w:oddVBand="0" w:evenVBand="0" w:oddHBand="0" w:evenHBand="0" w:firstRowFirstColumn="0" w:firstRowLastColumn="0" w:lastRowFirstColumn="0" w:lastRowLastColumn="0"/>
          <w:trHeight w:val="1701"/>
          <w:tblHeader/>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rsidR="00AB5A48" w:rsidRPr="00AB5A48" w:rsidRDefault="00AB5A48" w:rsidP="00AB5A48">
            <w:pPr>
              <w:jc w:val="center"/>
              <w:rPr>
                <w:rFonts w:eastAsia="Times New Roman" w:cs="Calibri"/>
                <w:sz w:val="16"/>
                <w:szCs w:val="16"/>
              </w:rPr>
            </w:pPr>
          </w:p>
        </w:tc>
        <w:tc>
          <w:tcPr>
            <w:tcW w:w="1418" w:type="dxa"/>
            <w:noWrap/>
            <w:vAlign w:val="center"/>
            <w:hideMark/>
          </w:tcPr>
          <w:p w:rsidR="00AB5A48" w:rsidRPr="00AB5A48" w:rsidRDefault="00AB5A48" w:rsidP="00AB5A48">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6"/>
                <w:szCs w:val="16"/>
              </w:rPr>
            </w:pPr>
            <w:r w:rsidRPr="00AB5A48">
              <w:rPr>
                <w:rFonts w:eastAsia="Times New Roman" w:cs="Calibri"/>
                <w:sz w:val="16"/>
                <w:szCs w:val="16"/>
              </w:rPr>
              <w:t>Cumplimiento</w:t>
            </w:r>
          </w:p>
        </w:tc>
        <w:tc>
          <w:tcPr>
            <w:tcW w:w="1417" w:type="dxa"/>
            <w:vAlign w:val="center"/>
            <w:hideMark/>
          </w:tcPr>
          <w:p w:rsidR="00AB5A48" w:rsidRPr="00AB5A48" w:rsidRDefault="00AB5A48" w:rsidP="00AB5A48">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6"/>
                <w:szCs w:val="16"/>
              </w:rPr>
            </w:pPr>
            <w:r w:rsidRPr="00AB5A48">
              <w:rPr>
                <w:rFonts w:eastAsia="Times New Roman" w:cs="Calibri"/>
                <w:sz w:val="16"/>
                <w:szCs w:val="16"/>
              </w:rPr>
              <w:t>Diferencia respecto de 2021 (puntos porcentuales)</w:t>
            </w:r>
          </w:p>
        </w:tc>
        <w:tc>
          <w:tcPr>
            <w:tcW w:w="1701" w:type="dxa"/>
            <w:vAlign w:val="center"/>
            <w:hideMark/>
          </w:tcPr>
          <w:p w:rsidR="00AB5A48" w:rsidRPr="00AB5A48" w:rsidRDefault="00AB5A48" w:rsidP="00AB5A48">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6"/>
                <w:szCs w:val="16"/>
              </w:rPr>
            </w:pPr>
            <w:r w:rsidRPr="00AB5A48">
              <w:rPr>
                <w:rFonts w:eastAsia="Times New Roman" w:cs="Calibri"/>
                <w:sz w:val="16"/>
                <w:szCs w:val="16"/>
              </w:rPr>
              <w:t>Recomendaciones efectuadas</w:t>
            </w:r>
          </w:p>
        </w:tc>
        <w:tc>
          <w:tcPr>
            <w:tcW w:w="1701" w:type="dxa"/>
            <w:vAlign w:val="center"/>
            <w:hideMark/>
          </w:tcPr>
          <w:p w:rsidR="00AB5A48" w:rsidRPr="00AB5A48" w:rsidRDefault="00AB5A48" w:rsidP="00AB5A48">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6"/>
                <w:szCs w:val="16"/>
              </w:rPr>
            </w:pPr>
            <w:r w:rsidRPr="00AB5A48">
              <w:rPr>
                <w:rFonts w:eastAsia="Times New Roman" w:cs="Calibri"/>
                <w:sz w:val="16"/>
                <w:szCs w:val="16"/>
              </w:rPr>
              <w:t>Recomendaciones aplicadas</w:t>
            </w:r>
          </w:p>
        </w:tc>
        <w:tc>
          <w:tcPr>
            <w:tcW w:w="1701" w:type="dxa"/>
            <w:vAlign w:val="center"/>
            <w:hideMark/>
          </w:tcPr>
          <w:p w:rsidR="00AB5A48" w:rsidRPr="00AB5A48" w:rsidRDefault="00AB5A48" w:rsidP="00AB5A48">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6"/>
                <w:szCs w:val="16"/>
              </w:rPr>
            </w:pPr>
            <w:r w:rsidRPr="00AB5A48">
              <w:rPr>
                <w:rFonts w:eastAsia="Times New Roman" w:cs="Calibri"/>
                <w:sz w:val="16"/>
                <w:szCs w:val="16"/>
              </w:rPr>
              <w:t>Recomendaciones o Mejoras implantadas durante el periodo de observaciones</w:t>
            </w: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SEPES</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100</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14,4</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IMBISA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98,2</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35,7</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14</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13</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Alimentos y Aceites</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97,6</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55,3</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12</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11</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w:t>
            </w: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NAVANTIA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96,7</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36,2</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13</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11</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CENIEH</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91,4</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40,6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17</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16</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SAES Capital</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91,4</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33,4</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10</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SEGIPSA</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89,5</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33,6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11</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CUD Madrid</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89,1</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50,4</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18</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17</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AENA</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88,7</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18,9</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12</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ACUAMED</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85,1</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40,8</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16</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12</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Fundación ICO</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83,6</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25,6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14</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12</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w:t>
            </w: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Cartagena AV</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82,2</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13,2</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10</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ISCIII</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82,1</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36,6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17</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13</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CETARSA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81,4</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13,1</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11</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Correos</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80,0</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13</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10</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ENUSA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79,9</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15,2</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13</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11</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CRTVE</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78,9</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20,6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14</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Casa África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77,7</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33,5</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21</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19</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SEITT</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75,9</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28,2</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15</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SEIASA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74,3</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31,6</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15</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w:t>
            </w: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CZF Santander</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73,1</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34,8</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21</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14</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FREMAP</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71,2</w:t>
            </w:r>
          </w:p>
        </w:tc>
        <w:tc>
          <w:tcPr>
            <w:tcW w:w="4819" w:type="dxa"/>
            <w:gridSpan w:val="3"/>
            <w:noWrap/>
            <w:hideMark/>
          </w:tcPr>
          <w:p w:rsidR="00AB5A48" w:rsidRPr="00AB5A48" w:rsidRDefault="00AB5A48" w:rsidP="00AB5A48">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FECYT</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68,9</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6,8</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13</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Paradores</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68,9</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8,6</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12</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MUFACE</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66,8</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21</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17</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B654C0"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B654C0" w:rsidRDefault="00B654C0" w:rsidP="00AB5A48">
            <w:pPr>
              <w:jc w:val="left"/>
              <w:rPr>
                <w:rFonts w:eastAsia="Times New Roman" w:cs="Calibri"/>
                <w:sz w:val="16"/>
                <w:szCs w:val="16"/>
              </w:rPr>
            </w:pPr>
            <w:r>
              <w:rPr>
                <w:rFonts w:eastAsia="Times New Roman" w:cs="Calibri"/>
                <w:sz w:val="16"/>
                <w:szCs w:val="16"/>
              </w:rPr>
              <w:t>HUNOSA</w:t>
            </w:r>
          </w:p>
        </w:tc>
        <w:tc>
          <w:tcPr>
            <w:tcW w:w="1418" w:type="dxa"/>
            <w:noWrap/>
          </w:tcPr>
          <w:p w:rsidR="00B654C0" w:rsidRPr="00AB5A48" w:rsidRDefault="00B654C0"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65,1</w:t>
            </w:r>
          </w:p>
        </w:tc>
        <w:tc>
          <w:tcPr>
            <w:tcW w:w="4819" w:type="dxa"/>
            <w:gridSpan w:val="3"/>
            <w:noWrap/>
          </w:tcPr>
          <w:p w:rsidR="00B654C0" w:rsidRPr="00AB5A48" w:rsidRDefault="00B654C0" w:rsidP="00AB5A48">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654C0">
              <w:rPr>
                <w:rFonts w:eastAsia="Times New Roman" w:cs="Calibri"/>
                <w:color w:val="000000"/>
                <w:sz w:val="16"/>
                <w:szCs w:val="16"/>
              </w:rPr>
              <w:t>Primera evaluación en 2022</w:t>
            </w:r>
          </w:p>
        </w:tc>
        <w:tc>
          <w:tcPr>
            <w:tcW w:w="1701" w:type="dxa"/>
            <w:noWrap/>
          </w:tcPr>
          <w:p w:rsidR="00B654C0" w:rsidRPr="00AB5A48" w:rsidRDefault="00B654C0"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B654C0" w:rsidP="00AB5A48">
            <w:pPr>
              <w:jc w:val="left"/>
              <w:rPr>
                <w:rFonts w:eastAsia="Times New Roman" w:cs="Calibri"/>
                <w:sz w:val="16"/>
                <w:szCs w:val="16"/>
              </w:rPr>
            </w:pPr>
            <w:r>
              <w:rPr>
                <w:rFonts w:eastAsia="Times New Roman" w:cs="Calibri"/>
                <w:sz w:val="16"/>
                <w:szCs w:val="16"/>
              </w:rPr>
              <w:t>GRUPO TRAGSA</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63,4</w:t>
            </w:r>
          </w:p>
        </w:tc>
        <w:tc>
          <w:tcPr>
            <w:tcW w:w="4819" w:type="dxa"/>
            <w:gridSpan w:val="3"/>
            <w:noWrap/>
            <w:hideMark/>
          </w:tcPr>
          <w:p w:rsidR="00AB5A48" w:rsidRPr="00AB5A48" w:rsidRDefault="00AB5A48" w:rsidP="00AB5A48">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w:t>
            </w:r>
          </w:p>
        </w:tc>
      </w:tr>
      <w:tr w:rsidR="000D057F"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0D057F" w:rsidRDefault="000D057F" w:rsidP="00AB5A48">
            <w:pPr>
              <w:jc w:val="left"/>
              <w:rPr>
                <w:rFonts w:eastAsia="Times New Roman" w:cs="Calibri"/>
                <w:sz w:val="16"/>
                <w:szCs w:val="16"/>
              </w:rPr>
            </w:pPr>
            <w:r>
              <w:rPr>
                <w:rFonts w:eastAsia="Times New Roman" w:cs="Calibri"/>
                <w:sz w:val="16"/>
                <w:szCs w:val="16"/>
              </w:rPr>
              <w:t>Acción Cultural Española</w:t>
            </w:r>
          </w:p>
        </w:tc>
        <w:tc>
          <w:tcPr>
            <w:tcW w:w="1418" w:type="dxa"/>
            <w:noWrap/>
          </w:tcPr>
          <w:p w:rsidR="000D057F" w:rsidRPr="00AB5A48" w:rsidRDefault="000D057F"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63,4</w:t>
            </w:r>
          </w:p>
        </w:tc>
        <w:tc>
          <w:tcPr>
            <w:tcW w:w="4819" w:type="dxa"/>
            <w:gridSpan w:val="3"/>
            <w:noWrap/>
          </w:tcPr>
          <w:p w:rsidR="000D057F" w:rsidRPr="00AB5A48" w:rsidRDefault="000D057F" w:rsidP="00AB5A48">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tcPr>
          <w:p w:rsidR="000D057F" w:rsidRPr="00AB5A48" w:rsidRDefault="000D057F"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lastRenderedPageBreak/>
              <w:t>CELLS</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63,0</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14,6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4F6249" w:rsidRPr="00AB5A48" w:rsidTr="00BA54C2">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4F6249" w:rsidRPr="00AB5A48" w:rsidRDefault="004F6249" w:rsidP="00AB5A48">
            <w:pPr>
              <w:jc w:val="left"/>
              <w:rPr>
                <w:rFonts w:eastAsia="Times New Roman" w:cs="Calibri"/>
                <w:sz w:val="16"/>
                <w:szCs w:val="16"/>
              </w:rPr>
            </w:pPr>
            <w:r>
              <w:rPr>
                <w:rFonts w:eastAsia="Times New Roman" w:cs="Calibri"/>
                <w:sz w:val="16"/>
                <w:szCs w:val="16"/>
              </w:rPr>
              <w:t>FIDALIA</w:t>
            </w:r>
          </w:p>
        </w:tc>
        <w:tc>
          <w:tcPr>
            <w:tcW w:w="1418" w:type="dxa"/>
            <w:noWrap/>
          </w:tcPr>
          <w:p w:rsidR="004F6249" w:rsidRPr="00AB5A48" w:rsidRDefault="004F6249"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63,0</w:t>
            </w:r>
          </w:p>
        </w:tc>
        <w:tc>
          <w:tcPr>
            <w:tcW w:w="4819" w:type="dxa"/>
            <w:gridSpan w:val="3"/>
            <w:noWrap/>
          </w:tcPr>
          <w:p w:rsidR="004F6249" w:rsidRPr="00AB5A48" w:rsidRDefault="004F6249" w:rsidP="004F624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F6249">
              <w:rPr>
                <w:rFonts w:eastAsia="Times New Roman" w:cs="Calibri"/>
                <w:color w:val="000000"/>
                <w:sz w:val="16"/>
                <w:szCs w:val="16"/>
              </w:rPr>
              <w:t>Primera evaluación en 2022</w:t>
            </w:r>
          </w:p>
        </w:tc>
        <w:tc>
          <w:tcPr>
            <w:tcW w:w="1701" w:type="dxa"/>
            <w:noWrap/>
          </w:tcPr>
          <w:p w:rsidR="004F6249" w:rsidRPr="00AB5A48" w:rsidRDefault="004F6249"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CCS</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62,4</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7,4</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15</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B654C0" w:rsidRPr="00AB5A48" w:rsidTr="000D057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B654C0" w:rsidRPr="00AB5A48" w:rsidRDefault="00B654C0" w:rsidP="00AB5A48">
            <w:pPr>
              <w:jc w:val="left"/>
              <w:rPr>
                <w:rFonts w:eastAsia="Times New Roman" w:cs="Calibri"/>
                <w:sz w:val="16"/>
                <w:szCs w:val="16"/>
              </w:rPr>
            </w:pPr>
            <w:r>
              <w:rPr>
                <w:rFonts w:eastAsia="Times New Roman" w:cs="Calibri"/>
                <w:sz w:val="16"/>
                <w:szCs w:val="16"/>
              </w:rPr>
              <w:t>ENWESA</w:t>
            </w:r>
          </w:p>
        </w:tc>
        <w:tc>
          <w:tcPr>
            <w:tcW w:w="1418" w:type="dxa"/>
            <w:noWrap/>
          </w:tcPr>
          <w:p w:rsidR="00B654C0" w:rsidRPr="00AB5A48" w:rsidRDefault="00B654C0"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58,9</w:t>
            </w:r>
          </w:p>
        </w:tc>
        <w:tc>
          <w:tcPr>
            <w:tcW w:w="4819" w:type="dxa"/>
            <w:gridSpan w:val="3"/>
            <w:noWrap/>
          </w:tcPr>
          <w:p w:rsidR="00B654C0" w:rsidRPr="00AB5A48" w:rsidRDefault="00B654C0" w:rsidP="00B654C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654C0">
              <w:rPr>
                <w:rFonts w:eastAsia="Times New Roman" w:cs="Calibri"/>
                <w:color w:val="000000"/>
                <w:sz w:val="16"/>
                <w:szCs w:val="16"/>
              </w:rPr>
              <w:t>Primera evaluación en 2022</w:t>
            </w:r>
          </w:p>
        </w:tc>
        <w:tc>
          <w:tcPr>
            <w:tcW w:w="1701" w:type="dxa"/>
            <w:noWrap/>
          </w:tcPr>
          <w:p w:rsidR="00B654C0" w:rsidRPr="00AB5A48" w:rsidRDefault="00B654C0"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4F6249" w:rsidRPr="00AB5A48" w:rsidTr="00BA5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4F6249" w:rsidRPr="00AB5A48" w:rsidRDefault="004F6249" w:rsidP="004F6249">
            <w:pPr>
              <w:jc w:val="left"/>
              <w:rPr>
                <w:rFonts w:eastAsia="Times New Roman" w:cs="Calibri"/>
                <w:sz w:val="16"/>
                <w:szCs w:val="16"/>
              </w:rPr>
            </w:pPr>
            <w:r>
              <w:rPr>
                <w:rFonts w:eastAsia="Times New Roman" w:cs="Calibri"/>
                <w:sz w:val="16"/>
                <w:szCs w:val="16"/>
              </w:rPr>
              <w:t>Centro de investigación Biomédica en red</w:t>
            </w:r>
          </w:p>
        </w:tc>
        <w:tc>
          <w:tcPr>
            <w:tcW w:w="1418" w:type="dxa"/>
            <w:noWrap/>
          </w:tcPr>
          <w:p w:rsidR="004F6249" w:rsidRPr="00AB5A48" w:rsidRDefault="004F6249"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58,2</w:t>
            </w:r>
          </w:p>
        </w:tc>
        <w:tc>
          <w:tcPr>
            <w:tcW w:w="4819" w:type="dxa"/>
            <w:gridSpan w:val="3"/>
            <w:noWrap/>
          </w:tcPr>
          <w:p w:rsidR="004F6249" w:rsidRPr="00AB5A48" w:rsidRDefault="004F6249" w:rsidP="004F624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B654C0">
              <w:rPr>
                <w:rFonts w:eastAsia="Times New Roman" w:cs="Calibri"/>
                <w:color w:val="000000"/>
                <w:sz w:val="16"/>
                <w:szCs w:val="16"/>
              </w:rPr>
              <w:t>Primera evaluación en 2022</w:t>
            </w:r>
          </w:p>
        </w:tc>
        <w:tc>
          <w:tcPr>
            <w:tcW w:w="1701" w:type="dxa"/>
            <w:noWrap/>
          </w:tcPr>
          <w:p w:rsidR="004F6249" w:rsidRPr="00AB5A48" w:rsidRDefault="004F6249"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IMIO</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57,2</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27</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24</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10</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Alta velocidad Vitoria</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56,6</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7,7</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 xml:space="preserve">Fundación </w:t>
            </w:r>
            <w:proofErr w:type="spellStart"/>
            <w:r w:rsidRPr="00AB5A48">
              <w:rPr>
                <w:rFonts w:eastAsia="Times New Roman" w:cs="Calibri"/>
                <w:sz w:val="16"/>
                <w:szCs w:val="16"/>
              </w:rPr>
              <w:t>I.Cultura</w:t>
            </w:r>
            <w:proofErr w:type="spellEnd"/>
            <w:r w:rsidRPr="00AB5A48">
              <w:rPr>
                <w:rFonts w:eastAsia="Times New Roman" w:cs="Calibri"/>
                <w:sz w:val="16"/>
                <w:szCs w:val="16"/>
              </w:rPr>
              <w:t xml:space="preserve"> Gitana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56,4</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23,9</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20</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Mutua Intercomarcal</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54,3</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44,3</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16</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MERCASA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51,9</w:t>
            </w:r>
          </w:p>
        </w:tc>
        <w:tc>
          <w:tcPr>
            <w:tcW w:w="4819" w:type="dxa"/>
            <w:gridSpan w:val="3"/>
            <w:noWrap/>
            <w:hideMark/>
          </w:tcPr>
          <w:p w:rsidR="00AB5A48" w:rsidRPr="00AB5A48" w:rsidRDefault="00AB5A48" w:rsidP="00AB5A48">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w:t>
            </w: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SEPI</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51,6</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11,6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20</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4F6249"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4F6249" w:rsidRDefault="004F6249" w:rsidP="00AB5A48">
            <w:pPr>
              <w:jc w:val="left"/>
              <w:rPr>
                <w:rFonts w:eastAsia="Times New Roman" w:cs="Calibri"/>
                <w:sz w:val="16"/>
                <w:szCs w:val="16"/>
              </w:rPr>
            </w:pPr>
            <w:r>
              <w:rPr>
                <w:rFonts w:eastAsia="Times New Roman" w:cs="Calibri"/>
                <w:sz w:val="16"/>
                <w:szCs w:val="16"/>
              </w:rPr>
              <w:t>Fundación Lázaro Galdiano</w:t>
            </w:r>
          </w:p>
        </w:tc>
        <w:tc>
          <w:tcPr>
            <w:tcW w:w="1418" w:type="dxa"/>
            <w:noWrap/>
          </w:tcPr>
          <w:p w:rsidR="004F6249" w:rsidRDefault="004F6249"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50,3</w:t>
            </w:r>
          </w:p>
        </w:tc>
        <w:tc>
          <w:tcPr>
            <w:tcW w:w="4819" w:type="dxa"/>
            <w:gridSpan w:val="3"/>
            <w:noWrap/>
          </w:tcPr>
          <w:p w:rsidR="004F6249" w:rsidRPr="00B654C0" w:rsidRDefault="004F6249" w:rsidP="00AB5A48">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F6249">
              <w:rPr>
                <w:rFonts w:eastAsia="Times New Roman" w:cs="Calibri"/>
                <w:color w:val="000000"/>
                <w:sz w:val="16"/>
                <w:szCs w:val="16"/>
              </w:rPr>
              <w:t>Primera evaluación en 2022</w:t>
            </w:r>
          </w:p>
        </w:tc>
        <w:tc>
          <w:tcPr>
            <w:tcW w:w="1701" w:type="dxa"/>
            <w:noWrap/>
          </w:tcPr>
          <w:p w:rsidR="004F6249" w:rsidRPr="00AB5A48" w:rsidRDefault="004F6249"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B654C0"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B654C0" w:rsidRPr="00AB5A48" w:rsidRDefault="00B654C0" w:rsidP="00AB5A48">
            <w:pPr>
              <w:jc w:val="left"/>
              <w:rPr>
                <w:rFonts w:eastAsia="Times New Roman" w:cs="Calibri"/>
                <w:sz w:val="16"/>
                <w:szCs w:val="16"/>
              </w:rPr>
            </w:pPr>
            <w:r>
              <w:rPr>
                <w:rFonts w:eastAsia="Times New Roman" w:cs="Calibri"/>
                <w:sz w:val="16"/>
                <w:szCs w:val="16"/>
              </w:rPr>
              <w:t>AECID</w:t>
            </w:r>
          </w:p>
        </w:tc>
        <w:tc>
          <w:tcPr>
            <w:tcW w:w="1418" w:type="dxa"/>
            <w:noWrap/>
          </w:tcPr>
          <w:p w:rsidR="00B654C0" w:rsidRPr="00AB5A48" w:rsidRDefault="00B654C0"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49,8</w:t>
            </w:r>
          </w:p>
        </w:tc>
        <w:tc>
          <w:tcPr>
            <w:tcW w:w="4819" w:type="dxa"/>
            <w:gridSpan w:val="3"/>
            <w:noWrap/>
          </w:tcPr>
          <w:p w:rsidR="00B654C0" w:rsidRPr="00AB5A48" w:rsidRDefault="00B654C0" w:rsidP="00AB5A48">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B654C0">
              <w:rPr>
                <w:rFonts w:eastAsia="Times New Roman" w:cs="Calibri"/>
                <w:color w:val="000000"/>
                <w:sz w:val="16"/>
                <w:szCs w:val="16"/>
              </w:rPr>
              <w:t>Primera evaluación en 2022</w:t>
            </w:r>
          </w:p>
        </w:tc>
        <w:tc>
          <w:tcPr>
            <w:tcW w:w="1701" w:type="dxa"/>
            <w:noWrap/>
          </w:tcPr>
          <w:p w:rsidR="00B654C0" w:rsidRPr="00AB5A48" w:rsidRDefault="00B654C0"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Centro Nacional del Hidrógeno</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48,7</w:t>
            </w:r>
          </w:p>
        </w:tc>
        <w:tc>
          <w:tcPr>
            <w:tcW w:w="4819" w:type="dxa"/>
            <w:gridSpan w:val="3"/>
            <w:noWrap/>
            <w:hideMark/>
          </w:tcPr>
          <w:p w:rsidR="00AB5A48" w:rsidRPr="00AB5A48" w:rsidRDefault="00AB5A48" w:rsidP="00AB5A48">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Autoridad Portuaria Baleares</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47,4</w:t>
            </w:r>
          </w:p>
        </w:tc>
        <w:tc>
          <w:tcPr>
            <w:tcW w:w="4819" w:type="dxa"/>
            <w:gridSpan w:val="3"/>
            <w:noWrap/>
            <w:hideMark/>
          </w:tcPr>
          <w:p w:rsidR="00AB5A48" w:rsidRPr="00AB5A48" w:rsidRDefault="00AB5A48" w:rsidP="00AB5A48">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INE</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47,2</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7</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22</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AP Gijón</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46,3</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19</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Fraternidad MUPRESPA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45,5</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-2,4</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17</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F.CM Victimas del Terrorismo</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45,1</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18</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B654C0" w:rsidRPr="00AB5A48" w:rsidTr="000D057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B654C0" w:rsidRPr="00AB5A48" w:rsidRDefault="00B654C0" w:rsidP="00AB5A48">
            <w:pPr>
              <w:jc w:val="left"/>
              <w:rPr>
                <w:rFonts w:eastAsia="Times New Roman" w:cs="Calibri"/>
                <w:sz w:val="16"/>
                <w:szCs w:val="16"/>
              </w:rPr>
            </w:pPr>
            <w:r>
              <w:rPr>
                <w:rFonts w:eastAsia="Times New Roman" w:cs="Calibri"/>
                <w:sz w:val="16"/>
                <w:szCs w:val="16"/>
              </w:rPr>
              <w:t>C.H, Tajo</w:t>
            </w:r>
          </w:p>
        </w:tc>
        <w:tc>
          <w:tcPr>
            <w:tcW w:w="1418" w:type="dxa"/>
            <w:noWrap/>
          </w:tcPr>
          <w:p w:rsidR="00B654C0" w:rsidRPr="00AB5A48" w:rsidRDefault="00B654C0"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43,3</w:t>
            </w:r>
          </w:p>
        </w:tc>
        <w:tc>
          <w:tcPr>
            <w:tcW w:w="4819" w:type="dxa"/>
            <w:gridSpan w:val="3"/>
            <w:noWrap/>
          </w:tcPr>
          <w:p w:rsidR="00B654C0" w:rsidRPr="00AB5A48" w:rsidRDefault="00B654C0" w:rsidP="00B654C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654C0">
              <w:rPr>
                <w:rFonts w:eastAsia="Times New Roman" w:cs="Calibri"/>
                <w:color w:val="000000"/>
                <w:sz w:val="16"/>
                <w:szCs w:val="16"/>
              </w:rPr>
              <w:t>Primera evaluación en 2022</w:t>
            </w:r>
          </w:p>
        </w:tc>
        <w:tc>
          <w:tcPr>
            <w:tcW w:w="1701" w:type="dxa"/>
            <w:noWrap/>
          </w:tcPr>
          <w:p w:rsidR="00B654C0" w:rsidRPr="00AB5A48" w:rsidRDefault="00B654C0"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CEM</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42,9</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9,6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22</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B654C0" w:rsidRPr="00AB5A48" w:rsidTr="000D057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B654C0" w:rsidRPr="00AB5A48" w:rsidRDefault="00B654C0" w:rsidP="00AB5A48">
            <w:pPr>
              <w:jc w:val="left"/>
              <w:rPr>
                <w:rFonts w:eastAsia="Times New Roman" w:cs="Calibri"/>
                <w:sz w:val="16"/>
                <w:szCs w:val="16"/>
              </w:rPr>
            </w:pPr>
            <w:r>
              <w:rPr>
                <w:rFonts w:eastAsia="Times New Roman" w:cs="Calibri"/>
                <w:sz w:val="16"/>
                <w:szCs w:val="16"/>
              </w:rPr>
              <w:t>EMGRISA</w:t>
            </w:r>
          </w:p>
        </w:tc>
        <w:tc>
          <w:tcPr>
            <w:tcW w:w="1418" w:type="dxa"/>
            <w:noWrap/>
          </w:tcPr>
          <w:p w:rsidR="00B654C0" w:rsidRPr="00AB5A48" w:rsidRDefault="00B654C0"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42,4</w:t>
            </w:r>
          </w:p>
        </w:tc>
        <w:tc>
          <w:tcPr>
            <w:tcW w:w="4819" w:type="dxa"/>
            <w:gridSpan w:val="3"/>
            <w:noWrap/>
          </w:tcPr>
          <w:p w:rsidR="00B654C0" w:rsidRPr="00AB5A48" w:rsidRDefault="00B654C0" w:rsidP="00B654C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654C0">
              <w:rPr>
                <w:rFonts w:eastAsia="Times New Roman" w:cs="Calibri"/>
                <w:color w:val="000000"/>
                <w:sz w:val="16"/>
                <w:szCs w:val="16"/>
              </w:rPr>
              <w:t>Primera evaluación en 2022</w:t>
            </w:r>
          </w:p>
        </w:tc>
        <w:tc>
          <w:tcPr>
            <w:tcW w:w="1701" w:type="dxa"/>
            <w:noWrap/>
          </w:tcPr>
          <w:p w:rsidR="00B654C0" w:rsidRPr="00AB5A48" w:rsidRDefault="00B654C0"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Activa Mutua</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41,5</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-3,4</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21</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DGT</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40,5</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11,9</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26</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PLOCAN</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38,6</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3,7</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23</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B654C0"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B654C0" w:rsidRPr="00AB5A48" w:rsidRDefault="00B654C0" w:rsidP="00AB5A48">
            <w:pPr>
              <w:jc w:val="left"/>
              <w:rPr>
                <w:rFonts w:eastAsia="Times New Roman" w:cs="Calibri"/>
                <w:sz w:val="16"/>
                <w:szCs w:val="16"/>
              </w:rPr>
            </w:pPr>
            <w:r>
              <w:rPr>
                <w:rFonts w:eastAsia="Times New Roman" w:cs="Calibri"/>
                <w:sz w:val="16"/>
                <w:szCs w:val="16"/>
              </w:rPr>
              <w:t>Consejo Administración Patrimonio Nacional</w:t>
            </w:r>
          </w:p>
        </w:tc>
        <w:tc>
          <w:tcPr>
            <w:tcW w:w="1418" w:type="dxa"/>
            <w:noWrap/>
          </w:tcPr>
          <w:p w:rsidR="00B654C0" w:rsidRPr="00AB5A48" w:rsidRDefault="00B654C0"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38,3</w:t>
            </w:r>
          </w:p>
        </w:tc>
        <w:tc>
          <w:tcPr>
            <w:tcW w:w="4819" w:type="dxa"/>
            <w:gridSpan w:val="3"/>
            <w:noWrap/>
          </w:tcPr>
          <w:p w:rsidR="00B654C0" w:rsidRPr="00AB5A48" w:rsidRDefault="00B654C0" w:rsidP="00AB5A48">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B654C0">
              <w:rPr>
                <w:rFonts w:eastAsia="Times New Roman" w:cs="Calibri"/>
                <w:color w:val="000000"/>
                <w:sz w:val="16"/>
                <w:szCs w:val="16"/>
              </w:rPr>
              <w:t>Primera evaluación en 2022</w:t>
            </w:r>
          </w:p>
        </w:tc>
        <w:tc>
          <w:tcPr>
            <w:tcW w:w="1701" w:type="dxa"/>
            <w:noWrap/>
          </w:tcPr>
          <w:p w:rsidR="00B654C0" w:rsidRPr="00AB5A48" w:rsidRDefault="00B654C0"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RENFE Operadora</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36,2</w:t>
            </w:r>
          </w:p>
        </w:tc>
        <w:tc>
          <w:tcPr>
            <w:tcW w:w="4819" w:type="dxa"/>
            <w:gridSpan w:val="3"/>
            <w:noWrap/>
            <w:hideMark/>
          </w:tcPr>
          <w:p w:rsidR="00AB5A48" w:rsidRPr="00AB5A48" w:rsidRDefault="00AB5A48" w:rsidP="00AB5A48">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B654C0" w:rsidRPr="00AB5A48" w:rsidTr="000D057F">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B654C0" w:rsidRPr="00AB5A48" w:rsidRDefault="00B654C0" w:rsidP="00AB5A48">
            <w:pPr>
              <w:jc w:val="left"/>
              <w:rPr>
                <w:rFonts w:eastAsia="Times New Roman" w:cs="Calibri"/>
                <w:sz w:val="16"/>
                <w:szCs w:val="16"/>
              </w:rPr>
            </w:pPr>
            <w:r w:rsidRPr="00AB5A48">
              <w:rPr>
                <w:rFonts w:eastAsia="Times New Roman" w:cs="Calibri"/>
                <w:sz w:val="16"/>
                <w:szCs w:val="16"/>
              </w:rPr>
              <w:t>Comisionado para el Mercado de Tabacos</w:t>
            </w:r>
          </w:p>
        </w:tc>
        <w:tc>
          <w:tcPr>
            <w:tcW w:w="1418" w:type="dxa"/>
            <w:noWrap/>
            <w:hideMark/>
          </w:tcPr>
          <w:p w:rsidR="00B654C0" w:rsidRPr="00AB5A48" w:rsidRDefault="00B654C0"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36</w:t>
            </w:r>
            <w:r>
              <w:rPr>
                <w:rFonts w:eastAsia="Times New Roman" w:cs="Calibri"/>
                <w:color w:val="000000"/>
                <w:sz w:val="16"/>
                <w:szCs w:val="16"/>
              </w:rPr>
              <w:t>,0</w:t>
            </w:r>
          </w:p>
        </w:tc>
        <w:tc>
          <w:tcPr>
            <w:tcW w:w="4819" w:type="dxa"/>
            <w:gridSpan w:val="3"/>
            <w:noWrap/>
            <w:hideMark/>
          </w:tcPr>
          <w:p w:rsidR="00B654C0" w:rsidRPr="00AB5A48" w:rsidRDefault="00B654C0" w:rsidP="00B654C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hideMark/>
          </w:tcPr>
          <w:p w:rsidR="00B654C0" w:rsidRPr="00AB5A48" w:rsidRDefault="00B654C0"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w:t>
            </w: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CEDEX</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35,2</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5,8</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21</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CIBERNED</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35,2</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6,3</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23</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6</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AEMET</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34,9</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1,2</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24</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0</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w:t>
            </w:r>
          </w:p>
        </w:tc>
      </w:tr>
      <w:tr w:rsidR="00B654C0" w:rsidRPr="00AB5A48" w:rsidTr="000D057F">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B654C0" w:rsidRPr="00AB5A48" w:rsidRDefault="00B654C0" w:rsidP="00AB5A48">
            <w:pPr>
              <w:jc w:val="left"/>
              <w:rPr>
                <w:rFonts w:eastAsia="Times New Roman" w:cs="Calibri"/>
                <w:sz w:val="16"/>
                <w:szCs w:val="16"/>
              </w:rPr>
            </w:pPr>
            <w:r w:rsidRPr="00AB5A48">
              <w:rPr>
                <w:rFonts w:eastAsia="Times New Roman" w:cs="Calibri"/>
                <w:sz w:val="16"/>
                <w:szCs w:val="16"/>
              </w:rPr>
              <w:t>AP Huelva</w:t>
            </w:r>
          </w:p>
        </w:tc>
        <w:tc>
          <w:tcPr>
            <w:tcW w:w="1418" w:type="dxa"/>
            <w:noWrap/>
            <w:hideMark/>
          </w:tcPr>
          <w:p w:rsidR="00B654C0" w:rsidRPr="00AB5A48" w:rsidRDefault="00B654C0"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34,5</w:t>
            </w:r>
          </w:p>
        </w:tc>
        <w:tc>
          <w:tcPr>
            <w:tcW w:w="4819" w:type="dxa"/>
            <w:gridSpan w:val="3"/>
            <w:noWrap/>
            <w:hideMark/>
          </w:tcPr>
          <w:p w:rsidR="00B654C0" w:rsidRPr="00AB5A48" w:rsidRDefault="00B654C0" w:rsidP="00B654C0">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hideMark/>
          </w:tcPr>
          <w:p w:rsidR="00B654C0" w:rsidRPr="00AB5A48" w:rsidRDefault="00B654C0"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AB5A48"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AP Coruña</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34,2</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5,1</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20</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AB5A48"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AP SC Tenerife</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33,2</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13,7</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25</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0D057F" w:rsidRPr="00AB5A48" w:rsidTr="000D0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0D057F" w:rsidRPr="00AB5A48" w:rsidRDefault="000D057F" w:rsidP="00AB5A48">
            <w:pPr>
              <w:jc w:val="left"/>
              <w:rPr>
                <w:rFonts w:eastAsia="Times New Roman" w:cs="Calibri"/>
                <w:sz w:val="16"/>
                <w:szCs w:val="16"/>
              </w:rPr>
            </w:pPr>
            <w:r>
              <w:rPr>
                <w:rFonts w:eastAsia="Times New Roman" w:cs="Calibri"/>
                <w:sz w:val="16"/>
                <w:szCs w:val="16"/>
              </w:rPr>
              <w:lastRenderedPageBreak/>
              <w:t>REDALSA</w:t>
            </w:r>
          </w:p>
        </w:tc>
        <w:tc>
          <w:tcPr>
            <w:tcW w:w="1418" w:type="dxa"/>
            <w:noWrap/>
          </w:tcPr>
          <w:p w:rsidR="000D057F" w:rsidRPr="00AB5A48" w:rsidRDefault="000D057F"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32,3</w:t>
            </w:r>
          </w:p>
        </w:tc>
        <w:tc>
          <w:tcPr>
            <w:tcW w:w="4819" w:type="dxa"/>
            <w:gridSpan w:val="3"/>
            <w:noWrap/>
          </w:tcPr>
          <w:p w:rsidR="000D057F" w:rsidRPr="00AB5A48" w:rsidRDefault="000D057F" w:rsidP="000D057F">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tcPr>
          <w:p w:rsidR="000D057F" w:rsidRPr="00AB5A48" w:rsidRDefault="000D057F"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0D057F"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AP Melilla</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31,8</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1,6</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24</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B654C0" w:rsidRPr="00AB5A48" w:rsidTr="000D0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B654C0" w:rsidRPr="00AB5A48" w:rsidRDefault="00B654C0" w:rsidP="00AB5A48">
            <w:pPr>
              <w:jc w:val="left"/>
              <w:rPr>
                <w:rFonts w:eastAsia="Times New Roman" w:cs="Calibri"/>
                <w:sz w:val="16"/>
                <w:szCs w:val="16"/>
              </w:rPr>
            </w:pPr>
            <w:r w:rsidRPr="00AB5A48">
              <w:rPr>
                <w:rFonts w:eastAsia="Times New Roman" w:cs="Calibri"/>
                <w:sz w:val="16"/>
                <w:szCs w:val="16"/>
              </w:rPr>
              <w:t>SECEGSA</w:t>
            </w:r>
          </w:p>
        </w:tc>
        <w:tc>
          <w:tcPr>
            <w:tcW w:w="1418" w:type="dxa"/>
            <w:noWrap/>
            <w:hideMark/>
          </w:tcPr>
          <w:p w:rsidR="00B654C0" w:rsidRPr="00AB5A48" w:rsidRDefault="00B654C0"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30,4</w:t>
            </w:r>
          </w:p>
        </w:tc>
        <w:tc>
          <w:tcPr>
            <w:tcW w:w="4819" w:type="dxa"/>
            <w:gridSpan w:val="3"/>
            <w:noWrap/>
            <w:hideMark/>
          </w:tcPr>
          <w:p w:rsidR="00B654C0" w:rsidRPr="00AB5A48" w:rsidRDefault="00B654C0" w:rsidP="00B654C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Primera evaluación en 2022</w:t>
            </w:r>
          </w:p>
        </w:tc>
        <w:tc>
          <w:tcPr>
            <w:tcW w:w="1701" w:type="dxa"/>
            <w:noWrap/>
            <w:hideMark/>
          </w:tcPr>
          <w:p w:rsidR="00B654C0" w:rsidRPr="00AB5A48" w:rsidRDefault="00B654C0"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11</w:t>
            </w:r>
          </w:p>
        </w:tc>
      </w:tr>
      <w:tr w:rsidR="000D057F"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Puerto Seco</w:t>
            </w:r>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29,5</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4,7</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17</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0D057F"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CSD</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29,3</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3,4</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26</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3</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4F6249" w:rsidRPr="00AB5A48" w:rsidTr="00BA54C2">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4F6249" w:rsidRPr="00AB5A48" w:rsidRDefault="004F6249" w:rsidP="00AB5A48">
            <w:pPr>
              <w:jc w:val="left"/>
              <w:rPr>
                <w:rFonts w:eastAsia="Times New Roman" w:cs="Calibri"/>
                <w:sz w:val="16"/>
                <w:szCs w:val="16"/>
              </w:rPr>
            </w:pPr>
            <w:r>
              <w:rPr>
                <w:rFonts w:eastAsia="Times New Roman" w:cs="Calibri"/>
                <w:sz w:val="16"/>
                <w:szCs w:val="16"/>
              </w:rPr>
              <w:t>Fundación del Teatro Real</w:t>
            </w:r>
          </w:p>
        </w:tc>
        <w:tc>
          <w:tcPr>
            <w:tcW w:w="1418" w:type="dxa"/>
            <w:noWrap/>
          </w:tcPr>
          <w:p w:rsidR="004F6249" w:rsidRPr="00AB5A48" w:rsidRDefault="004F6249"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26,2</w:t>
            </w:r>
          </w:p>
        </w:tc>
        <w:tc>
          <w:tcPr>
            <w:tcW w:w="4819" w:type="dxa"/>
            <w:gridSpan w:val="3"/>
            <w:noWrap/>
          </w:tcPr>
          <w:p w:rsidR="004F6249" w:rsidRPr="00AB5A48" w:rsidRDefault="004F6249" w:rsidP="004F624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F6249">
              <w:rPr>
                <w:rFonts w:eastAsia="Times New Roman" w:cs="Calibri"/>
                <w:color w:val="000000"/>
                <w:sz w:val="16"/>
                <w:szCs w:val="16"/>
              </w:rPr>
              <w:t>Primera evaluación en 2022</w:t>
            </w:r>
          </w:p>
        </w:tc>
        <w:tc>
          <w:tcPr>
            <w:tcW w:w="1701" w:type="dxa"/>
            <w:noWrap/>
          </w:tcPr>
          <w:p w:rsidR="004F6249" w:rsidRPr="00AB5A48" w:rsidRDefault="004F6249"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0D057F" w:rsidRPr="00AB5A48" w:rsidTr="00AB5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F.SIMA</w:t>
            </w:r>
          </w:p>
        </w:tc>
        <w:tc>
          <w:tcPr>
            <w:tcW w:w="1418"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25,2</w:t>
            </w:r>
          </w:p>
        </w:tc>
        <w:tc>
          <w:tcPr>
            <w:tcW w:w="1417"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-8,8</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14</w:t>
            </w:r>
          </w:p>
        </w:tc>
        <w:tc>
          <w:tcPr>
            <w:tcW w:w="1701" w:type="dxa"/>
            <w:noWrap/>
            <w:hideMark/>
          </w:tcPr>
          <w:p w:rsidR="00AB5A48" w:rsidRPr="00AB5A48" w:rsidRDefault="00AB5A48"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0</w:t>
            </w:r>
          </w:p>
        </w:tc>
        <w:tc>
          <w:tcPr>
            <w:tcW w:w="1701" w:type="dxa"/>
            <w:noWrap/>
            <w:hideMark/>
          </w:tcPr>
          <w:p w:rsidR="00AB5A48" w:rsidRPr="00AB5A48" w:rsidRDefault="00AB5A48"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0D057F"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r w:rsidRPr="00AB5A48">
              <w:rPr>
                <w:rFonts w:eastAsia="Times New Roman" w:cs="Calibri"/>
                <w:sz w:val="16"/>
                <w:szCs w:val="16"/>
              </w:rPr>
              <w:t xml:space="preserve">F. </w:t>
            </w:r>
            <w:proofErr w:type="spellStart"/>
            <w:r w:rsidRPr="00AB5A48">
              <w:rPr>
                <w:rFonts w:eastAsia="Times New Roman" w:cs="Calibri"/>
                <w:sz w:val="16"/>
                <w:szCs w:val="16"/>
              </w:rPr>
              <w:t>ValenciaPort</w:t>
            </w:r>
            <w:proofErr w:type="spellEnd"/>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23,1</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0</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21</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0</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4F6249" w:rsidRPr="00AB5A48" w:rsidTr="00BA5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4F6249" w:rsidRPr="00AB5A48" w:rsidRDefault="004F6249" w:rsidP="00AB5A48">
            <w:pPr>
              <w:jc w:val="left"/>
              <w:rPr>
                <w:rFonts w:eastAsia="Times New Roman" w:cs="Calibri"/>
                <w:sz w:val="16"/>
                <w:szCs w:val="16"/>
              </w:rPr>
            </w:pPr>
            <w:r>
              <w:rPr>
                <w:rFonts w:eastAsia="Times New Roman" w:cs="Calibri"/>
                <w:sz w:val="16"/>
                <w:szCs w:val="16"/>
              </w:rPr>
              <w:t xml:space="preserve">Consorcio de la Zona Franca de Gran Canaria </w:t>
            </w:r>
          </w:p>
        </w:tc>
        <w:tc>
          <w:tcPr>
            <w:tcW w:w="1418" w:type="dxa"/>
            <w:noWrap/>
          </w:tcPr>
          <w:p w:rsidR="004F6249" w:rsidRPr="00AB5A48" w:rsidRDefault="004F6249"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19,0</w:t>
            </w:r>
          </w:p>
        </w:tc>
        <w:tc>
          <w:tcPr>
            <w:tcW w:w="4819" w:type="dxa"/>
            <w:gridSpan w:val="3"/>
            <w:noWrap/>
          </w:tcPr>
          <w:p w:rsidR="004F6249" w:rsidRPr="00AB5A48" w:rsidRDefault="004F6249" w:rsidP="004F624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F6249">
              <w:rPr>
                <w:rFonts w:eastAsia="Times New Roman" w:cs="Calibri"/>
                <w:color w:val="000000"/>
                <w:sz w:val="16"/>
                <w:szCs w:val="16"/>
              </w:rPr>
              <w:t>Primera evaluación en 2022</w:t>
            </w:r>
          </w:p>
        </w:tc>
        <w:tc>
          <w:tcPr>
            <w:tcW w:w="1701" w:type="dxa"/>
            <w:noWrap/>
          </w:tcPr>
          <w:p w:rsidR="004F6249" w:rsidRPr="00AB5A48" w:rsidRDefault="004F6249"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0D057F" w:rsidRPr="00AB5A48" w:rsidTr="00AB5A48">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AB5A48" w:rsidRPr="00AB5A48" w:rsidRDefault="00AB5A48" w:rsidP="00AB5A48">
            <w:pPr>
              <w:jc w:val="left"/>
              <w:rPr>
                <w:rFonts w:eastAsia="Times New Roman" w:cs="Calibri"/>
                <w:sz w:val="16"/>
                <w:szCs w:val="16"/>
              </w:rPr>
            </w:pPr>
            <w:proofErr w:type="spellStart"/>
            <w:r w:rsidRPr="00AB5A48">
              <w:rPr>
                <w:rFonts w:eastAsia="Times New Roman" w:cs="Calibri"/>
                <w:sz w:val="16"/>
                <w:szCs w:val="16"/>
              </w:rPr>
              <w:t>Málagaport</w:t>
            </w:r>
            <w:proofErr w:type="spellEnd"/>
          </w:p>
        </w:tc>
        <w:tc>
          <w:tcPr>
            <w:tcW w:w="1418"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17,6</w:t>
            </w:r>
          </w:p>
        </w:tc>
        <w:tc>
          <w:tcPr>
            <w:tcW w:w="1417"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0</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15</w:t>
            </w:r>
          </w:p>
        </w:tc>
        <w:tc>
          <w:tcPr>
            <w:tcW w:w="1701" w:type="dxa"/>
            <w:noWrap/>
            <w:hideMark/>
          </w:tcPr>
          <w:p w:rsidR="00AB5A48" w:rsidRPr="00AB5A48" w:rsidRDefault="00AB5A48"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AB5A48">
              <w:rPr>
                <w:rFonts w:eastAsia="Times New Roman" w:cs="Calibri"/>
                <w:color w:val="000000"/>
                <w:sz w:val="16"/>
                <w:szCs w:val="16"/>
              </w:rPr>
              <w:t>0</w:t>
            </w:r>
          </w:p>
        </w:tc>
        <w:tc>
          <w:tcPr>
            <w:tcW w:w="1701" w:type="dxa"/>
            <w:noWrap/>
            <w:hideMark/>
          </w:tcPr>
          <w:p w:rsidR="00AB5A48" w:rsidRPr="00AB5A48" w:rsidRDefault="00AB5A48"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r w:rsidR="004F6249" w:rsidRPr="00AB5A48" w:rsidTr="00BA5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4F6249" w:rsidRDefault="004F6249" w:rsidP="00AB5A48">
            <w:pPr>
              <w:jc w:val="left"/>
              <w:rPr>
                <w:rFonts w:eastAsia="Times New Roman" w:cs="Calibri"/>
                <w:sz w:val="16"/>
                <w:szCs w:val="16"/>
              </w:rPr>
            </w:pPr>
            <w:r>
              <w:rPr>
                <w:rFonts w:eastAsia="Times New Roman" w:cs="Calibri"/>
                <w:sz w:val="16"/>
                <w:szCs w:val="16"/>
              </w:rPr>
              <w:t>Centro Nacional del Vidrio</w:t>
            </w:r>
          </w:p>
        </w:tc>
        <w:tc>
          <w:tcPr>
            <w:tcW w:w="1418" w:type="dxa"/>
            <w:noWrap/>
          </w:tcPr>
          <w:p w:rsidR="004F6249" w:rsidRDefault="004F6249" w:rsidP="00AB5A48">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16,5</w:t>
            </w:r>
          </w:p>
        </w:tc>
        <w:tc>
          <w:tcPr>
            <w:tcW w:w="4819" w:type="dxa"/>
            <w:gridSpan w:val="3"/>
            <w:noWrap/>
          </w:tcPr>
          <w:p w:rsidR="004F6249" w:rsidRPr="004F6249" w:rsidRDefault="004F6249" w:rsidP="004F624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4F6249">
              <w:rPr>
                <w:rFonts w:eastAsia="Times New Roman" w:cs="Calibri"/>
                <w:color w:val="000000"/>
                <w:sz w:val="16"/>
                <w:szCs w:val="16"/>
              </w:rPr>
              <w:t>Primera evaluación en 2022</w:t>
            </w:r>
          </w:p>
        </w:tc>
        <w:tc>
          <w:tcPr>
            <w:tcW w:w="1701" w:type="dxa"/>
            <w:noWrap/>
          </w:tcPr>
          <w:p w:rsidR="004F6249" w:rsidRPr="00AB5A48" w:rsidRDefault="004F6249" w:rsidP="00AB5A48">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p>
        </w:tc>
      </w:tr>
      <w:tr w:rsidR="004F6249" w:rsidRPr="00AB5A48" w:rsidTr="00BA54C2">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4F6249" w:rsidRPr="00AB5A48" w:rsidRDefault="004F6249" w:rsidP="00AB5A48">
            <w:pPr>
              <w:jc w:val="left"/>
              <w:rPr>
                <w:rFonts w:eastAsia="Times New Roman" w:cs="Calibri"/>
                <w:sz w:val="16"/>
                <w:szCs w:val="16"/>
              </w:rPr>
            </w:pPr>
            <w:proofErr w:type="spellStart"/>
            <w:r>
              <w:rPr>
                <w:rFonts w:eastAsia="Times New Roman" w:cs="Calibri"/>
                <w:sz w:val="16"/>
                <w:szCs w:val="16"/>
              </w:rPr>
              <w:t>Serviport</w:t>
            </w:r>
            <w:proofErr w:type="spellEnd"/>
            <w:r>
              <w:rPr>
                <w:rFonts w:eastAsia="Times New Roman" w:cs="Calibri"/>
                <w:sz w:val="16"/>
                <w:szCs w:val="16"/>
              </w:rPr>
              <w:t xml:space="preserve"> Andalucía</w:t>
            </w:r>
          </w:p>
        </w:tc>
        <w:tc>
          <w:tcPr>
            <w:tcW w:w="1418" w:type="dxa"/>
            <w:noWrap/>
          </w:tcPr>
          <w:p w:rsidR="004F6249" w:rsidRPr="00AB5A48" w:rsidRDefault="004F6249" w:rsidP="00AB5A48">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Pr>
                <w:rFonts w:eastAsia="Times New Roman" w:cs="Calibri"/>
                <w:color w:val="000000"/>
                <w:sz w:val="16"/>
                <w:szCs w:val="16"/>
              </w:rPr>
              <w:t>8,6</w:t>
            </w:r>
          </w:p>
        </w:tc>
        <w:tc>
          <w:tcPr>
            <w:tcW w:w="4819" w:type="dxa"/>
            <w:gridSpan w:val="3"/>
            <w:noWrap/>
          </w:tcPr>
          <w:p w:rsidR="004F6249" w:rsidRPr="00AB5A48" w:rsidRDefault="004F6249" w:rsidP="004F624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4F6249">
              <w:rPr>
                <w:rFonts w:eastAsia="Times New Roman" w:cs="Calibri"/>
                <w:color w:val="000000"/>
                <w:sz w:val="16"/>
                <w:szCs w:val="16"/>
              </w:rPr>
              <w:t>Primera evaluación en 202</w:t>
            </w:r>
          </w:p>
        </w:tc>
        <w:tc>
          <w:tcPr>
            <w:tcW w:w="1701" w:type="dxa"/>
            <w:noWrap/>
          </w:tcPr>
          <w:p w:rsidR="004F6249" w:rsidRPr="00AB5A48" w:rsidRDefault="004F6249" w:rsidP="00AB5A48">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p>
        </w:tc>
      </w:tr>
    </w:tbl>
    <w:p w:rsidR="00AB5A48" w:rsidRDefault="00AB5A48" w:rsidP="006C216F"/>
    <w:p w:rsidR="008A7D3B" w:rsidRDefault="008A7D3B" w:rsidP="00513EC7">
      <w:pPr>
        <w:pStyle w:val="Ttulo3"/>
      </w:pPr>
    </w:p>
    <w:p w:rsidR="00513EC7" w:rsidRDefault="00F23BD7" w:rsidP="00E719EF">
      <w:pPr>
        <w:pStyle w:val="Ttulo2"/>
      </w:pPr>
      <w:bookmarkStart w:id="17" w:name="_Toc113366622"/>
      <w:r>
        <w:t>III.</w:t>
      </w:r>
      <w:r w:rsidR="00D24B74">
        <w:t>4</w:t>
      </w:r>
      <w:r>
        <w:t xml:space="preserve">. </w:t>
      </w:r>
      <w:r w:rsidR="00513EC7">
        <w:t xml:space="preserve">Transparencia </w:t>
      </w:r>
      <w:r w:rsidR="00384774">
        <w:t xml:space="preserve">Voluntaria </w:t>
      </w:r>
      <w:r w:rsidR="00513EC7">
        <w:t xml:space="preserve"> y Buenas  Prácticas</w:t>
      </w:r>
      <w:bookmarkEnd w:id="17"/>
    </w:p>
    <w:p w:rsidR="005F0168" w:rsidRDefault="005F0168" w:rsidP="005F0168"/>
    <w:p w:rsidR="005F0168" w:rsidRDefault="0008061C" w:rsidP="005F0168">
      <w:r>
        <w:t>Además de la información sujeta a obligaciones de publicidad activa</w:t>
      </w:r>
      <w:r w:rsidR="00337289">
        <w:t>,</w:t>
      </w:r>
      <w:r>
        <w:t xml:space="preserve"> </w:t>
      </w:r>
      <w:r w:rsidR="008A7D3B">
        <w:t>muchos de</w:t>
      </w:r>
      <w:r>
        <w:t xml:space="preserve"> los organismos</w:t>
      </w:r>
      <w:r w:rsidR="006C216F">
        <w:t xml:space="preserve"> y entidades</w:t>
      </w:r>
      <w:r>
        <w:t xml:space="preserve"> </w:t>
      </w:r>
      <w:r w:rsidR="006C216F">
        <w:t>evaluadas</w:t>
      </w:r>
      <w:r>
        <w:t xml:space="preserve"> publican información </w:t>
      </w:r>
      <w:r w:rsidR="00384774">
        <w:t>voluntaria</w:t>
      </w:r>
      <w:r>
        <w:t xml:space="preserve">, relevante desde el punto de vista de la </w:t>
      </w:r>
      <w:r w:rsidR="00247E8E">
        <w:t>rendición de cuentas</w:t>
      </w:r>
      <w:r>
        <w:t>, lo que constituye una muestra de su interés por hacer más transparente su gestión.</w:t>
      </w:r>
      <w:r w:rsidR="001963A1">
        <w:t xml:space="preserve"> Algunas de estas informaciones son obligaciones de publicidad activa recogidas en la LTAIBG</w:t>
      </w:r>
      <w:r w:rsidR="00337289">
        <w:t>,</w:t>
      </w:r>
      <w:r w:rsidR="001963A1">
        <w:t xml:space="preserve"> pero que no son aplicables a las organizaciones que las publican, por ejemplo, la publicación de información sobre planificación por sociedades mercantiles o fundaciones.</w:t>
      </w:r>
    </w:p>
    <w:p w:rsidR="0008061C" w:rsidRDefault="00702E60" w:rsidP="005F0168">
      <w:r>
        <w:t>El</w:t>
      </w:r>
      <w:r w:rsidR="0008061C">
        <w:t xml:space="preserve"> siguiente </w:t>
      </w:r>
      <w:r>
        <w:t>cuadro</w:t>
      </w:r>
      <w:r w:rsidR="0008061C">
        <w:t xml:space="preserve"> recoge, las informaciones de transparencia </w:t>
      </w:r>
      <w:r w:rsidR="00AF02EB">
        <w:t>voluntaria</w:t>
      </w:r>
      <w:r w:rsidR="0008061C">
        <w:t xml:space="preserve"> que se publican, ordenadas en función de la frecuencia de publicación. También se recogen otras informaciones </w:t>
      </w:r>
      <w:r>
        <w:t>voluntarias</w:t>
      </w:r>
      <w:r w:rsidR="0008061C">
        <w:t xml:space="preserve"> menos frecuentes, pero significativas respecto de la rendición de cuentas. </w:t>
      </w:r>
    </w:p>
    <w:p w:rsidR="00702E60" w:rsidRDefault="00702E60" w:rsidP="005F0168"/>
    <w:p w:rsidR="00702E60" w:rsidRDefault="00702E60" w:rsidP="005F0168"/>
    <w:p w:rsidR="00801472" w:rsidRPr="00801472" w:rsidRDefault="00801472" w:rsidP="00801472">
      <w:pPr>
        <w:pStyle w:val="Epgrafe"/>
        <w:keepNext/>
        <w:rPr>
          <w:color w:val="438086" w:themeColor="accent2"/>
          <w:sz w:val="22"/>
          <w:szCs w:val="22"/>
        </w:rPr>
      </w:pPr>
      <w:r w:rsidRPr="00801472">
        <w:rPr>
          <w:color w:val="438086" w:themeColor="accent2"/>
          <w:sz w:val="22"/>
          <w:szCs w:val="22"/>
        </w:rPr>
        <w:t xml:space="preserve">Cuadro </w:t>
      </w:r>
      <w:r w:rsidRPr="00801472">
        <w:rPr>
          <w:color w:val="438086" w:themeColor="accent2"/>
          <w:sz w:val="22"/>
          <w:szCs w:val="22"/>
        </w:rPr>
        <w:fldChar w:fldCharType="begin"/>
      </w:r>
      <w:r w:rsidRPr="00801472">
        <w:rPr>
          <w:color w:val="438086" w:themeColor="accent2"/>
          <w:sz w:val="22"/>
          <w:szCs w:val="22"/>
        </w:rPr>
        <w:instrText xml:space="preserve"> SEQ Cuadro \* ARABIC </w:instrText>
      </w:r>
      <w:r w:rsidRPr="00801472">
        <w:rPr>
          <w:color w:val="438086" w:themeColor="accent2"/>
          <w:sz w:val="22"/>
          <w:szCs w:val="22"/>
        </w:rPr>
        <w:fldChar w:fldCharType="separate"/>
      </w:r>
      <w:r w:rsidR="00BF3F82">
        <w:rPr>
          <w:noProof/>
          <w:color w:val="438086" w:themeColor="accent2"/>
          <w:sz w:val="22"/>
          <w:szCs w:val="22"/>
        </w:rPr>
        <w:t>2</w:t>
      </w:r>
      <w:r w:rsidRPr="00801472">
        <w:rPr>
          <w:color w:val="438086" w:themeColor="accent2"/>
          <w:sz w:val="22"/>
          <w:szCs w:val="22"/>
        </w:rPr>
        <w:fldChar w:fldCharType="end"/>
      </w:r>
      <w:r w:rsidRPr="00801472">
        <w:rPr>
          <w:color w:val="438086" w:themeColor="accent2"/>
          <w:sz w:val="22"/>
          <w:szCs w:val="22"/>
        </w:rPr>
        <w:t xml:space="preserve">: Transparencia Voluntaria en las </w:t>
      </w:r>
      <w:r w:rsidR="00BF3F82">
        <w:rPr>
          <w:color w:val="438086" w:themeColor="accent2"/>
          <w:sz w:val="22"/>
          <w:szCs w:val="22"/>
        </w:rPr>
        <w:t>entidades del Sector Público Institucional.</w:t>
      </w:r>
      <w:r w:rsidR="006C216F">
        <w:rPr>
          <w:rStyle w:val="Refdenotaalpie"/>
          <w:color w:val="438086" w:themeColor="accent2"/>
          <w:sz w:val="22"/>
          <w:szCs w:val="22"/>
        </w:rPr>
        <w:footnoteReference w:id="6"/>
      </w:r>
    </w:p>
    <w:tbl>
      <w:tblPr>
        <w:tblStyle w:val="Listavistosa-nfasis2"/>
        <w:tblW w:w="0" w:type="auto"/>
        <w:tblLook w:val="04A0" w:firstRow="1" w:lastRow="0" w:firstColumn="1" w:lastColumn="0" w:noHBand="0" w:noVBand="1"/>
      </w:tblPr>
      <w:tblGrid>
        <w:gridCol w:w="4077"/>
        <w:gridCol w:w="4791"/>
      </w:tblGrid>
      <w:tr w:rsidR="009B529F" w:rsidRPr="009B529F" w:rsidTr="00216D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9B529F" w:rsidP="009B529F">
            <w:pPr>
              <w:jc w:val="center"/>
              <w:rPr>
                <w:b w:val="0"/>
                <w:sz w:val="18"/>
                <w:szCs w:val="18"/>
              </w:rPr>
            </w:pPr>
            <w:r w:rsidRPr="00BD4F6E">
              <w:rPr>
                <w:b w:val="0"/>
                <w:sz w:val="18"/>
                <w:szCs w:val="18"/>
              </w:rPr>
              <w:t>Informaciones voluntarias</w:t>
            </w:r>
          </w:p>
        </w:tc>
        <w:tc>
          <w:tcPr>
            <w:tcW w:w="4791" w:type="dxa"/>
            <w:noWrap/>
          </w:tcPr>
          <w:p w:rsidR="009B529F" w:rsidRPr="009B529F" w:rsidRDefault="009B529F" w:rsidP="009B529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B529F">
              <w:rPr>
                <w:sz w:val="18"/>
                <w:szCs w:val="18"/>
              </w:rPr>
              <w:t>Entidades</w:t>
            </w:r>
          </w:p>
        </w:tc>
      </w:tr>
      <w:tr w:rsidR="00BF3F82"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BF3F82" w:rsidRPr="00BD4F6E" w:rsidRDefault="00BF3F82">
            <w:pPr>
              <w:rPr>
                <w:b w:val="0"/>
                <w:sz w:val="18"/>
                <w:szCs w:val="18"/>
              </w:rPr>
            </w:pPr>
            <w:r w:rsidRPr="00BD4F6E">
              <w:rPr>
                <w:b w:val="0"/>
                <w:sz w:val="18"/>
                <w:szCs w:val="18"/>
              </w:rPr>
              <w:lastRenderedPageBreak/>
              <w:t>Código ético o de conducta y similares</w:t>
            </w:r>
          </w:p>
        </w:tc>
        <w:tc>
          <w:tcPr>
            <w:tcW w:w="4791" w:type="dxa"/>
            <w:noWrap/>
            <w:hideMark/>
          </w:tcPr>
          <w:p w:rsidR="00BF3F82" w:rsidRPr="009B529F" w:rsidRDefault="00723C9E">
            <w:pPr>
              <w:cnfStyle w:val="000000100000" w:firstRow="0" w:lastRow="0" w:firstColumn="0" w:lastColumn="0" w:oddVBand="0" w:evenVBand="0" w:oddHBand="1" w:evenHBand="0" w:firstRowFirstColumn="0" w:firstRowLastColumn="0" w:lastRowFirstColumn="0" w:lastRowLastColumn="0"/>
              <w:rPr>
                <w:sz w:val="18"/>
                <w:szCs w:val="18"/>
              </w:rPr>
            </w:pPr>
            <w:r w:rsidRPr="00723C9E">
              <w:rPr>
                <w:sz w:val="18"/>
                <w:szCs w:val="18"/>
              </w:rPr>
              <w:t xml:space="preserve">RENFE OPERADORA, Centro Nacional del Vidrio, AP Baleares,  AP Huelva, HUNOSA, </w:t>
            </w:r>
            <w:r w:rsidR="00AA4B11">
              <w:rPr>
                <w:sz w:val="18"/>
                <w:szCs w:val="18"/>
              </w:rPr>
              <w:t xml:space="preserve">EMGRISA, </w:t>
            </w:r>
            <w:r w:rsidRPr="00723C9E">
              <w:rPr>
                <w:sz w:val="18"/>
                <w:szCs w:val="18"/>
              </w:rPr>
              <w:t>ENWESA, REDALSA</w:t>
            </w:r>
            <w:r w:rsidR="00AA4B11">
              <w:rPr>
                <w:sz w:val="18"/>
                <w:szCs w:val="18"/>
              </w:rPr>
              <w:t>, MERCASA</w:t>
            </w:r>
            <w:r w:rsidR="0037618E">
              <w:rPr>
                <w:sz w:val="18"/>
                <w:szCs w:val="18"/>
              </w:rPr>
              <w:t xml:space="preserve">, </w:t>
            </w:r>
            <w:r w:rsidR="0037618E" w:rsidRPr="0037618E">
              <w:rPr>
                <w:sz w:val="18"/>
                <w:szCs w:val="18"/>
              </w:rPr>
              <w:t>TRAGSA</w:t>
            </w:r>
          </w:p>
        </w:tc>
      </w:tr>
      <w:tr w:rsidR="009B529F"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9B529F" w:rsidP="009B529F">
            <w:pPr>
              <w:rPr>
                <w:b w:val="0"/>
                <w:sz w:val="18"/>
                <w:szCs w:val="18"/>
              </w:rPr>
            </w:pPr>
            <w:r w:rsidRPr="00BD4F6E">
              <w:rPr>
                <w:b w:val="0"/>
                <w:sz w:val="18"/>
                <w:szCs w:val="18"/>
              </w:rPr>
              <w:t>Información estadística sobre actividad</w:t>
            </w:r>
          </w:p>
        </w:tc>
        <w:tc>
          <w:tcPr>
            <w:tcW w:w="4791" w:type="dxa"/>
            <w:noWrap/>
          </w:tcPr>
          <w:p w:rsidR="009B529F" w:rsidRPr="009B529F" w:rsidRDefault="00723C9E" w:rsidP="009B529F">
            <w:pPr>
              <w:cnfStyle w:val="000000000000" w:firstRow="0" w:lastRow="0" w:firstColumn="0" w:lastColumn="0" w:oddVBand="0" w:evenVBand="0" w:oddHBand="0" w:evenHBand="0" w:firstRowFirstColumn="0" w:firstRowLastColumn="0" w:lastRowFirstColumn="0" w:lastRowLastColumn="0"/>
              <w:rPr>
                <w:sz w:val="18"/>
                <w:szCs w:val="18"/>
              </w:rPr>
            </w:pPr>
            <w:r w:rsidRPr="00723C9E">
              <w:rPr>
                <w:sz w:val="18"/>
                <w:szCs w:val="18"/>
              </w:rPr>
              <w:t>Centro de Investigación Biomédica, Acción Cultural</w:t>
            </w:r>
            <w:r>
              <w:rPr>
                <w:sz w:val="18"/>
                <w:szCs w:val="18"/>
              </w:rPr>
              <w:t>, MERCASA</w:t>
            </w:r>
            <w:r w:rsidR="00AA4B11">
              <w:rPr>
                <w:sz w:val="18"/>
                <w:szCs w:val="18"/>
              </w:rPr>
              <w:t>, EMGRISA</w:t>
            </w:r>
          </w:p>
        </w:tc>
      </w:tr>
      <w:tr w:rsidR="00BD4F6E" w:rsidRPr="00BD4F6E"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BD4F6E" w:rsidRPr="00BD4F6E" w:rsidRDefault="00BD4F6E" w:rsidP="00BD4F6E">
            <w:pPr>
              <w:rPr>
                <w:b w:val="0"/>
                <w:sz w:val="18"/>
                <w:szCs w:val="18"/>
              </w:rPr>
            </w:pPr>
            <w:r w:rsidRPr="00BD4F6E">
              <w:rPr>
                <w:b w:val="0"/>
                <w:sz w:val="18"/>
                <w:szCs w:val="18"/>
              </w:rPr>
              <w:t>Normas internas de funcionamiento</w:t>
            </w:r>
          </w:p>
        </w:tc>
        <w:tc>
          <w:tcPr>
            <w:tcW w:w="4791" w:type="dxa"/>
            <w:noWrap/>
          </w:tcPr>
          <w:p w:rsidR="00BD4F6E" w:rsidRPr="00BD4F6E" w:rsidRDefault="00723C9E" w:rsidP="00BD4F6E">
            <w:pPr>
              <w:cnfStyle w:val="000000100000" w:firstRow="0" w:lastRow="0" w:firstColumn="0" w:lastColumn="0" w:oddVBand="0" w:evenVBand="0" w:oddHBand="1" w:evenHBand="0" w:firstRowFirstColumn="0" w:firstRowLastColumn="0" w:lastRowFirstColumn="0" w:lastRowLastColumn="0"/>
              <w:rPr>
                <w:sz w:val="18"/>
                <w:szCs w:val="18"/>
              </w:rPr>
            </w:pPr>
            <w:r w:rsidRPr="00723C9E">
              <w:rPr>
                <w:sz w:val="18"/>
                <w:szCs w:val="18"/>
              </w:rPr>
              <w:t>RENFE OPERADORA, MERCASA, ENUSA, ENWESA, REDALSA</w:t>
            </w:r>
            <w:r w:rsidR="0037618E">
              <w:rPr>
                <w:sz w:val="18"/>
                <w:szCs w:val="18"/>
              </w:rPr>
              <w:t>, TRAGSA</w:t>
            </w:r>
          </w:p>
        </w:tc>
      </w:tr>
      <w:tr w:rsidR="0037618E"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37618E" w:rsidRPr="00CE1E32" w:rsidRDefault="0037618E" w:rsidP="0037618E">
            <w:pPr>
              <w:rPr>
                <w:b w:val="0"/>
                <w:sz w:val="18"/>
                <w:szCs w:val="18"/>
              </w:rPr>
            </w:pPr>
            <w:r w:rsidRPr="00CE1E32">
              <w:rPr>
                <w:b w:val="0"/>
                <w:sz w:val="18"/>
                <w:szCs w:val="18"/>
              </w:rPr>
              <w:t>Canal de denuncias</w:t>
            </w:r>
          </w:p>
        </w:tc>
        <w:tc>
          <w:tcPr>
            <w:tcW w:w="4791" w:type="dxa"/>
            <w:noWrap/>
          </w:tcPr>
          <w:p w:rsidR="0037618E" w:rsidRPr="00CE1E32" w:rsidRDefault="0037618E" w:rsidP="0037618E">
            <w:pPr>
              <w:cnfStyle w:val="000000000000" w:firstRow="0" w:lastRow="0" w:firstColumn="0" w:lastColumn="0" w:oddVBand="0" w:evenVBand="0" w:oddHBand="0" w:evenHBand="0" w:firstRowFirstColumn="0" w:firstRowLastColumn="0" w:lastRowFirstColumn="0" w:lastRowLastColumn="0"/>
              <w:rPr>
                <w:bCs/>
                <w:sz w:val="18"/>
                <w:szCs w:val="18"/>
              </w:rPr>
            </w:pPr>
            <w:r w:rsidRPr="00CE1E32">
              <w:rPr>
                <w:bCs/>
                <w:sz w:val="18"/>
                <w:szCs w:val="18"/>
              </w:rPr>
              <w:t>RENFE OPERADORA, MERCASA, HUNOSA, ENWESA, REDALSA, TRAGSA</w:t>
            </w:r>
          </w:p>
        </w:tc>
      </w:tr>
      <w:tr w:rsidR="00CE1E32" w:rsidRPr="00CE1E32"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CE1E32" w:rsidRDefault="00CE1E32" w:rsidP="004E7A7C">
            <w:pPr>
              <w:rPr>
                <w:b w:val="0"/>
                <w:sz w:val="18"/>
                <w:szCs w:val="18"/>
              </w:rPr>
            </w:pPr>
            <w:r w:rsidRPr="00CE1E32">
              <w:rPr>
                <w:b w:val="0"/>
                <w:sz w:val="18"/>
                <w:szCs w:val="18"/>
              </w:rPr>
              <w:t>Política de cumplimiento/ Planes o Protocolos de riesgos penales</w:t>
            </w:r>
          </w:p>
        </w:tc>
        <w:tc>
          <w:tcPr>
            <w:tcW w:w="4791" w:type="dxa"/>
            <w:noWrap/>
          </w:tcPr>
          <w:p w:rsidR="00CE1E32" w:rsidRPr="00CE1E32" w:rsidRDefault="00CE1E32" w:rsidP="004E7A7C">
            <w:pPr>
              <w:cnfStyle w:val="000000100000" w:firstRow="0" w:lastRow="0" w:firstColumn="0" w:lastColumn="0" w:oddVBand="0" w:evenVBand="0" w:oddHBand="1" w:evenHBand="0" w:firstRowFirstColumn="0" w:firstRowLastColumn="0" w:lastRowFirstColumn="0" w:lastRowLastColumn="0"/>
              <w:rPr>
                <w:bCs/>
                <w:sz w:val="18"/>
                <w:szCs w:val="18"/>
              </w:rPr>
            </w:pPr>
            <w:r w:rsidRPr="00CE1E32">
              <w:rPr>
                <w:bCs/>
                <w:sz w:val="18"/>
                <w:szCs w:val="18"/>
              </w:rPr>
              <w:t>EMGRISA, HUNOSA, ENWESA, TRAGSA</w:t>
            </w:r>
          </w:p>
        </w:tc>
      </w:tr>
      <w:tr w:rsidR="0037618E" w:rsidRPr="00CE1E32"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37618E" w:rsidRPr="00CE1E32" w:rsidRDefault="0037618E" w:rsidP="0037618E">
            <w:pPr>
              <w:rPr>
                <w:b w:val="0"/>
                <w:sz w:val="18"/>
                <w:szCs w:val="18"/>
              </w:rPr>
            </w:pPr>
            <w:proofErr w:type="spellStart"/>
            <w:r w:rsidRPr="00CE1E32">
              <w:rPr>
                <w:b w:val="0"/>
                <w:sz w:val="18"/>
                <w:szCs w:val="18"/>
              </w:rPr>
              <w:t>RPTs</w:t>
            </w:r>
            <w:proofErr w:type="spellEnd"/>
            <w:r w:rsidRPr="00CE1E32">
              <w:rPr>
                <w:b w:val="0"/>
                <w:sz w:val="18"/>
                <w:szCs w:val="18"/>
              </w:rPr>
              <w:t>, ofertas de empleo</w:t>
            </w:r>
          </w:p>
        </w:tc>
        <w:tc>
          <w:tcPr>
            <w:tcW w:w="4791" w:type="dxa"/>
            <w:noWrap/>
          </w:tcPr>
          <w:p w:rsidR="0037618E" w:rsidRPr="00CE1E32" w:rsidRDefault="0037618E" w:rsidP="0037618E">
            <w:pPr>
              <w:cnfStyle w:val="000000000000" w:firstRow="0" w:lastRow="0" w:firstColumn="0" w:lastColumn="0" w:oddVBand="0" w:evenVBand="0" w:oddHBand="0" w:evenHBand="0" w:firstRowFirstColumn="0" w:firstRowLastColumn="0" w:lastRowFirstColumn="0" w:lastRowLastColumn="0"/>
              <w:rPr>
                <w:bCs/>
                <w:sz w:val="18"/>
                <w:szCs w:val="18"/>
              </w:rPr>
            </w:pPr>
            <w:r w:rsidRPr="00CE1E32">
              <w:rPr>
                <w:bCs/>
                <w:sz w:val="18"/>
                <w:szCs w:val="18"/>
              </w:rPr>
              <w:t>F. Lázaro Galdiano, AP Huelva, RENFE OPERADORA</w:t>
            </w:r>
          </w:p>
        </w:tc>
      </w:tr>
      <w:tr w:rsidR="009B529F" w:rsidRPr="00CE1E32"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CE1E32" w:rsidRDefault="009B529F" w:rsidP="009B529F">
            <w:pPr>
              <w:rPr>
                <w:b w:val="0"/>
                <w:sz w:val="18"/>
                <w:szCs w:val="18"/>
              </w:rPr>
            </w:pPr>
            <w:r w:rsidRPr="00CE1E32">
              <w:rPr>
                <w:b w:val="0"/>
                <w:sz w:val="18"/>
                <w:szCs w:val="18"/>
              </w:rPr>
              <w:t>Información relativa al periodo medio de pago a proveedores</w:t>
            </w:r>
          </w:p>
        </w:tc>
        <w:tc>
          <w:tcPr>
            <w:tcW w:w="4791" w:type="dxa"/>
            <w:noWrap/>
          </w:tcPr>
          <w:p w:rsidR="009B529F" w:rsidRPr="00CE1E32" w:rsidRDefault="00723C9E" w:rsidP="009B529F">
            <w:pPr>
              <w:cnfStyle w:val="000000100000" w:firstRow="0" w:lastRow="0" w:firstColumn="0" w:lastColumn="0" w:oddVBand="0" w:evenVBand="0" w:oddHBand="1" w:evenHBand="0" w:firstRowFirstColumn="0" w:firstRowLastColumn="0" w:lastRowFirstColumn="0" w:lastRowLastColumn="0"/>
              <w:rPr>
                <w:bCs/>
                <w:sz w:val="18"/>
                <w:szCs w:val="18"/>
              </w:rPr>
            </w:pPr>
            <w:r w:rsidRPr="00CE1E32">
              <w:rPr>
                <w:bCs/>
                <w:sz w:val="18"/>
                <w:szCs w:val="18"/>
              </w:rPr>
              <w:t>AP Huelva, CNH2</w:t>
            </w:r>
            <w:r w:rsidR="0037618E" w:rsidRPr="00CE1E32">
              <w:rPr>
                <w:bCs/>
                <w:sz w:val="18"/>
                <w:szCs w:val="18"/>
              </w:rPr>
              <w:t>, TRAGSA</w:t>
            </w:r>
          </w:p>
        </w:tc>
      </w:tr>
      <w:tr w:rsidR="00CE1E32" w:rsidRPr="00CE1E32"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CE1E32" w:rsidRDefault="00CE1E32" w:rsidP="004E7A7C">
            <w:pPr>
              <w:rPr>
                <w:b w:val="0"/>
                <w:sz w:val="18"/>
                <w:szCs w:val="18"/>
              </w:rPr>
            </w:pPr>
            <w:r w:rsidRPr="00CE1E32">
              <w:rPr>
                <w:b w:val="0"/>
                <w:sz w:val="18"/>
                <w:szCs w:val="18"/>
              </w:rPr>
              <w:t>Ejecución presupuestaria</w:t>
            </w:r>
          </w:p>
        </w:tc>
        <w:tc>
          <w:tcPr>
            <w:tcW w:w="4791" w:type="dxa"/>
            <w:noWrap/>
          </w:tcPr>
          <w:p w:rsidR="00CE1E32" w:rsidRPr="00CE1E32" w:rsidRDefault="00CE1E32" w:rsidP="004E7A7C">
            <w:pPr>
              <w:cnfStyle w:val="000000000000" w:firstRow="0" w:lastRow="0" w:firstColumn="0" w:lastColumn="0" w:oddVBand="0" w:evenVBand="0" w:oddHBand="0" w:evenHBand="0" w:firstRowFirstColumn="0" w:firstRowLastColumn="0" w:lastRowFirstColumn="0" w:lastRowLastColumn="0"/>
              <w:rPr>
                <w:bCs/>
                <w:sz w:val="18"/>
                <w:szCs w:val="18"/>
              </w:rPr>
            </w:pPr>
            <w:r w:rsidRPr="00CE1E32">
              <w:rPr>
                <w:bCs/>
                <w:sz w:val="18"/>
                <w:szCs w:val="18"/>
              </w:rPr>
              <w:t>F. Lázaro Galdiano, REDALSA, Acción Cultural</w:t>
            </w:r>
          </w:p>
        </w:tc>
      </w:tr>
      <w:tr w:rsidR="009B529F" w:rsidRPr="00CE1E32"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CC3142" w:rsidP="009B529F">
            <w:pPr>
              <w:rPr>
                <w:b w:val="0"/>
                <w:sz w:val="18"/>
                <w:szCs w:val="18"/>
              </w:rPr>
            </w:pPr>
            <w:r>
              <w:rPr>
                <w:b w:val="0"/>
                <w:sz w:val="18"/>
                <w:szCs w:val="18"/>
              </w:rPr>
              <w:t>Memorias de sostenibilidad</w:t>
            </w:r>
          </w:p>
        </w:tc>
        <w:tc>
          <w:tcPr>
            <w:tcW w:w="4791" w:type="dxa"/>
            <w:noWrap/>
          </w:tcPr>
          <w:p w:rsidR="009B529F" w:rsidRPr="00CE1E32" w:rsidRDefault="00CC3142" w:rsidP="009B529F">
            <w:pPr>
              <w:cnfStyle w:val="000000100000" w:firstRow="0" w:lastRow="0" w:firstColumn="0" w:lastColumn="0" w:oddVBand="0" w:evenVBand="0" w:oddHBand="1" w:evenHBand="0" w:firstRowFirstColumn="0" w:firstRowLastColumn="0" w:lastRowFirstColumn="0" w:lastRowLastColumn="0"/>
              <w:rPr>
                <w:bCs/>
                <w:sz w:val="18"/>
                <w:szCs w:val="18"/>
              </w:rPr>
            </w:pPr>
            <w:r w:rsidRPr="00CE1E32">
              <w:rPr>
                <w:bCs/>
                <w:sz w:val="18"/>
                <w:szCs w:val="18"/>
              </w:rPr>
              <w:t>AP Baleares,  AP Huelva, CH Tajo</w:t>
            </w:r>
            <w:r w:rsidR="0037618E" w:rsidRPr="00CE1E32">
              <w:rPr>
                <w:bCs/>
                <w:sz w:val="18"/>
                <w:szCs w:val="18"/>
              </w:rPr>
              <w:t>, TRAGSA</w:t>
            </w:r>
          </w:p>
        </w:tc>
      </w:tr>
      <w:tr w:rsidR="00CE1E32" w:rsidRPr="00CE1E32"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CE1E32" w:rsidRDefault="00CE1E32" w:rsidP="004E7A7C">
            <w:pPr>
              <w:rPr>
                <w:b w:val="0"/>
                <w:sz w:val="18"/>
                <w:szCs w:val="18"/>
              </w:rPr>
            </w:pPr>
            <w:r w:rsidRPr="00CE1E32">
              <w:rPr>
                <w:b w:val="0"/>
                <w:sz w:val="18"/>
                <w:szCs w:val="18"/>
              </w:rPr>
              <w:t>Encargos a medios propios</w:t>
            </w:r>
          </w:p>
        </w:tc>
        <w:tc>
          <w:tcPr>
            <w:tcW w:w="4791" w:type="dxa"/>
            <w:noWrap/>
          </w:tcPr>
          <w:p w:rsidR="00CE1E32" w:rsidRPr="00CE1E32" w:rsidRDefault="00CE1E32" w:rsidP="004E7A7C">
            <w:pPr>
              <w:cnfStyle w:val="000000000000" w:firstRow="0" w:lastRow="0" w:firstColumn="0" w:lastColumn="0" w:oddVBand="0" w:evenVBand="0" w:oddHBand="0" w:evenHBand="0" w:firstRowFirstColumn="0" w:firstRowLastColumn="0" w:lastRowFirstColumn="0" w:lastRowLastColumn="0"/>
              <w:rPr>
                <w:bCs/>
                <w:sz w:val="18"/>
                <w:szCs w:val="18"/>
              </w:rPr>
            </w:pPr>
            <w:r w:rsidRPr="00CE1E32">
              <w:rPr>
                <w:bCs/>
                <w:sz w:val="18"/>
                <w:szCs w:val="18"/>
              </w:rPr>
              <w:t>HUNOSA, EMGRISA, TRAGSA</w:t>
            </w:r>
          </w:p>
        </w:tc>
      </w:tr>
      <w:tr w:rsidR="00CE1E32" w:rsidRPr="00CE1E32"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CE1E32" w:rsidRDefault="00CE1E32" w:rsidP="004E7A7C">
            <w:pPr>
              <w:rPr>
                <w:b w:val="0"/>
                <w:sz w:val="18"/>
                <w:szCs w:val="18"/>
              </w:rPr>
            </w:pPr>
            <w:r w:rsidRPr="00CE1E32">
              <w:rPr>
                <w:b w:val="0"/>
                <w:sz w:val="18"/>
                <w:szCs w:val="18"/>
              </w:rPr>
              <w:t>Ejecución presupuestaria</w:t>
            </w:r>
          </w:p>
        </w:tc>
        <w:tc>
          <w:tcPr>
            <w:tcW w:w="4791" w:type="dxa"/>
            <w:noWrap/>
          </w:tcPr>
          <w:p w:rsidR="00CE1E32" w:rsidRPr="00CE1E32" w:rsidRDefault="00CE1E32" w:rsidP="004E7A7C">
            <w:pPr>
              <w:cnfStyle w:val="000000100000" w:firstRow="0" w:lastRow="0" w:firstColumn="0" w:lastColumn="0" w:oddVBand="0" w:evenVBand="0" w:oddHBand="1" w:evenHBand="0" w:firstRowFirstColumn="0" w:firstRowLastColumn="0" w:lastRowFirstColumn="0" w:lastRowLastColumn="0"/>
              <w:rPr>
                <w:bCs/>
                <w:sz w:val="18"/>
                <w:szCs w:val="18"/>
              </w:rPr>
            </w:pPr>
            <w:r w:rsidRPr="00CE1E32">
              <w:rPr>
                <w:bCs/>
                <w:sz w:val="18"/>
                <w:szCs w:val="18"/>
              </w:rPr>
              <w:t>F. Lázaro Galdiano, REDALSA, Acción Cultural</w:t>
            </w:r>
          </w:p>
        </w:tc>
      </w:tr>
      <w:tr w:rsidR="00CE1E32" w:rsidRPr="00CE1E32"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CE1E32" w:rsidRDefault="00CE1E32" w:rsidP="004E7A7C">
            <w:pPr>
              <w:rPr>
                <w:b w:val="0"/>
                <w:sz w:val="18"/>
                <w:szCs w:val="18"/>
              </w:rPr>
            </w:pPr>
            <w:r w:rsidRPr="00CE1E32">
              <w:rPr>
                <w:b w:val="0"/>
                <w:sz w:val="18"/>
                <w:szCs w:val="18"/>
              </w:rPr>
              <w:t>Contratación privada</w:t>
            </w:r>
          </w:p>
        </w:tc>
        <w:tc>
          <w:tcPr>
            <w:tcW w:w="4791" w:type="dxa"/>
            <w:noWrap/>
          </w:tcPr>
          <w:p w:rsidR="00CE1E32" w:rsidRPr="00CE1E32" w:rsidRDefault="00CE1E32" w:rsidP="004E7A7C">
            <w:pPr>
              <w:cnfStyle w:val="000000000000" w:firstRow="0" w:lastRow="0" w:firstColumn="0" w:lastColumn="0" w:oddVBand="0" w:evenVBand="0" w:oddHBand="0" w:evenHBand="0" w:firstRowFirstColumn="0" w:firstRowLastColumn="0" w:lastRowFirstColumn="0" w:lastRowLastColumn="0"/>
              <w:rPr>
                <w:bCs/>
                <w:sz w:val="18"/>
                <w:szCs w:val="18"/>
              </w:rPr>
            </w:pPr>
            <w:r w:rsidRPr="00CE1E32">
              <w:rPr>
                <w:bCs/>
                <w:sz w:val="18"/>
                <w:szCs w:val="18"/>
              </w:rPr>
              <w:t>F. Lázaro Galdiano, FIDALIA</w:t>
            </w:r>
          </w:p>
        </w:tc>
      </w:tr>
      <w:tr w:rsidR="00CE1E32" w:rsidRPr="00CE1E32"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CE1E32" w:rsidRDefault="00CE1E32" w:rsidP="004E7A7C">
            <w:pPr>
              <w:rPr>
                <w:b w:val="0"/>
                <w:sz w:val="18"/>
                <w:szCs w:val="18"/>
              </w:rPr>
            </w:pPr>
            <w:r w:rsidRPr="00CE1E32">
              <w:rPr>
                <w:b w:val="0"/>
                <w:sz w:val="18"/>
                <w:szCs w:val="18"/>
              </w:rPr>
              <w:t>Planificación estratégica y operativa</w:t>
            </w:r>
          </w:p>
        </w:tc>
        <w:tc>
          <w:tcPr>
            <w:tcW w:w="4791" w:type="dxa"/>
            <w:noWrap/>
          </w:tcPr>
          <w:p w:rsidR="00CE1E32" w:rsidRPr="00CE1E32" w:rsidRDefault="00CE1E32" w:rsidP="004E7A7C">
            <w:pPr>
              <w:cnfStyle w:val="000000100000" w:firstRow="0" w:lastRow="0" w:firstColumn="0" w:lastColumn="0" w:oddVBand="0" w:evenVBand="0" w:oddHBand="1" w:evenHBand="0" w:firstRowFirstColumn="0" w:firstRowLastColumn="0" w:lastRowFirstColumn="0" w:lastRowLastColumn="0"/>
              <w:rPr>
                <w:bCs/>
                <w:sz w:val="18"/>
                <w:szCs w:val="18"/>
              </w:rPr>
            </w:pPr>
            <w:r w:rsidRPr="00CE1E32">
              <w:rPr>
                <w:bCs/>
                <w:sz w:val="18"/>
                <w:szCs w:val="18"/>
              </w:rPr>
              <w:t>F. Lázaro Galdiano, TRAGSA</w:t>
            </w:r>
          </w:p>
        </w:tc>
      </w:tr>
      <w:tr w:rsidR="00CE1E32" w:rsidRPr="00CE1E32"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CE1E32" w:rsidRDefault="00CE1E32" w:rsidP="004E7A7C">
            <w:pPr>
              <w:rPr>
                <w:b w:val="0"/>
                <w:sz w:val="18"/>
                <w:szCs w:val="18"/>
              </w:rPr>
            </w:pPr>
            <w:r w:rsidRPr="00CE1E32">
              <w:rPr>
                <w:b w:val="0"/>
                <w:sz w:val="18"/>
                <w:szCs w:val="18"/>
              </w:rPr>
              <w:t>Informes Auditoría IGAE</w:t>
            </w:r>
          </w:p>
        </w:tc>
        <w:tc>
          <w:tcPr>
            <w:tcW w:w="4791" w:type="dxa"/>
            <w:noWrap/>
          </w:tcPr>
          <w:p w:rsidR="00CE1E32" w:rsidRPr="00CE1E32" w:rsidRDefault="00CE1E32" w:rsidP="004E7A7C">
            <w:pPr>
              <w:cnfStyle w:val="000000000000" w:firstRow="0" w:lastRow="0" w:firstColumn="0" w:lastColumn="0" w:oddVBand="0" w:evenVBand="0" w:oddHBand="0" w:evenHBand="0" w:firstRowFirstColumn="0" w:firstRowLastColumn="0" w:lastRowFirstColumn="0" w:lastRowLastColumn="0"/>
              <w:rPr>
                <w:bCs/>
                <w:sz w:val="18"/>
                <w:szCs w:val="18"/>
              </w:rPr>
            </w:pPr>
            <w:r w:rsidRPr="00CE1E32">
              <w:rPr>
                <w:bCs/>
                <w:sz w:val="18"/>
                <w:szCs w:val="18"/>
              </w:rPr>
              <w:t>AP Huelva</w:t>
            </w:r>
          </w:p>
        </w:tc>
      </w:tr>
      <w:tr w:rsidR="009B529F" w:rsidRPr="00CE1E32"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9B529F" w:rsidP="009B529F">
            <w:pPr>
              <w:rPr>
                <w:b w:val="0"/>
                <w:sz w:val="18"/>
                <w:szCs w:val="18"/>
              </w:rPr>
            </w:pPr>
            <w:r w:rsidRPr="00BD4F6E">
              <w:rPr>
                <w:b w:val="0"/>
                <w:sz w:val="18"/>
                <w:szCs w:val="18"/>
              </w:rPr>
              <w:t>Dietas percibidas Consejeros</w:t>
            </w:r>
          </w:p>
        </w:tc>
        <w:tc>
          <w:tcPr>
            <w:tcW w:w="4791" w:type="dxa"/>
            <w:noWrap/>
          </w:tcPr>
          <w:p w:rsidR="009B529F" w:rsidRPr="00CE1E32" w:rsidRDefault="00723C9E" w:rsidP="009B529F">
            <w:pPr>
              <w:cnfStyle w:val="000000100000" w:firstRow="0" w:lastRow="0" w:firstColumn="0" w:lastColumn="0" w:oddVBand="0" w:evenVBand="0" w:oddHBand="1" w:evenHBand="0" w:firstRowFirstColumn="0" w:firstRowLastColumn="0" w:lastRowFirstColumn="0" w:lastRowLastColumn="0"/>
              <w:rPr>
                <w:bCs/>
                <w:sz w:val="18"/>
                <w:szCs w:val="18"/>
              </w:rPr>
            </w:pPr>
            <w:r w:rsidRPr="00CE1E32">
              <w:rPr>
                <w:bCs/>
                <w:sz w:val="18"/>
                <w:szCs w:val="18"/>
              </w:rPr>
              <w:t>FREMAP</w:t>
            </w:r>
          </w:p>
        </w:tc>
      </w:tr>
      <w:tr w:rsidR="00CE1E32" w:rsidRPr="00CE1E32"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CE1E32" w:rsidRDefault="00CE1E32" w:rsidP="004E7A7C">
            <w:pPr>
              <w:rPr>
                <w:b w:val="0"/>
                <w:sz w:val="18"/>
                <w:szCs w:val="18"/>
              </w:rPr>
            </w:pPr>
            <w:r w:rsidRPr="00CE1E32">
              <w:rPr>
                <w:b w:val="0"/>
                <w:sz w:val="18"/>
                <w:szCs w:val="18"/>
              </w:rPr>
              <w:t>Actas, acuerdos, dictámenes</w:t>
            </w:r>
          </w:p>
        </w:tc>
        <w:tc>
          <w:tcPr>
            <w:tcW w:w="4791" w:type="dxa"/>
            <w:noWrap/>
          </w:tcPr>
          <w:p w:rsidR="00CE1E32" w:rsidRPr="00CE1E32" w:rsidRDefault="00CE1E32" w:rsidP="004E7A7C">
            <w:pPr>
              <w:cnfStyle w:val="000000000000" w:firstRow="0" w:lastRow="0" w:firstColumn="0" w:lastColumn="0" w:oddVBand="0" w:evenVBand="0" w:oddHBand="0" w:evenHBand="0" w:firstRowFirstColumn="0" w:firstRowLastColumn="0" w:lastRowFirstColumn="0" w:lastRowLastColumn="0"/>
              <w:rPr>
                <w:bCs/>
                <w:sz w:val="18"/>
                <w:szCs w:val="18"/>
              </w:rPr>
            </w:pPr>
            <w:r w:rsidRPr="00CE1E32">
              <w:rPr>
                <w:bCs/>
                <w:sz w:val="18"/>
                <w:szCs w:val="18"/>
              </w:rPr>
              <w:t>CH Tajo</w:t>
            </w:r>
          </w:p>
        </w:tc>
      </w:tr>
    </w:tbl>
    <w:p w:rsidR="004E7A7C" w:rsidRDefault="004E7A7C" w:rsidP="006A2316">
      <w:pPr>
        <w:rPr>
          <w:bCs/>
          <w:color w:val="000000" w:themeColor="text1"/>
          <w:sz w:val="18"/>
          <w:szCs w:val="18"/>
        </w:rPr>
      </w:pPr>
    </w:p>
    <w:p w:rsidR="006A2316" w:rsidRDefault="006D0307" w:rsidP="006A2316">
      <w:r>
        <w:t>L</w:t>
      </w:r>
      <w:r w:rsidR="006A2316">
        <w:t xml:space="preserve">as organizaciones evaluadas </w:t>
      </w:r>
      <w:r>
        <w:t>t</w:t>
      </w:r>
      <w:r w:rsidRPr="006D0307">
        <w:t xml:space="preserve">ambién </w:t>
      </w:r>
      <w:r w:rsidR="006219DA">
        <w:t xml:space="preserve">acreditan buenas prácticas en relación con el cumplimiento de las obligaciones de publicidad activa </w:t>
      </w:r>
      <w:r w:rsidR="00596EDD">
        <w:t>que podrían ser aplicadas por otros sujetos obligados. La siguiente tabla resume las buenas prácticas localizadas en el transcurso de la evaluación de</w:t>
      </w:r>
      <w:r>
        <w:t xml:space="preserve"> </w:t>
      </w:r>
      <w:r w:rsidR="00596EDD">
        <w:t>los Portales de Transparencia</w:t>
      </w:r>
      <w:r>
        <w:t>.</w:t>
      </w:r>
    </w:p>
    <w:p w:rsidR="00801472" w:rsidRPr="00801472" w:rsidRDefault="00801472" w:rsidP="00801472">
      <w:pPr>
        <w:pStyle w:val="Epgrafe"/>
        <w:keepNext/>
        <w:rPr>
          <w:color w:val="438086" w:themeColor="accent2"/>
          <w:sz w:val="22"/>
          <w:szCs w:val="22"/>
        </w:rPr>
      </w:pPr>
      <w:r w:rsidRPr="00801472">
        <w:rPr>
          <w:color w:val="438086" w:themeColor="accent2"/>
          <w:sz w:val="22"/>
          <w:szCs w:val="22"/>
        </w:rPr>
        <w:t xml:space="preserve">Cuadro </w:t>
      </w:r>
      <w:r w:rsidRPr="00801472">
        <w:rPr>
          <w:color w:val="438086" w:themeColor="accent2"/>
          <w:sz w:val="22"/>
          <w:szCs w:val="22"/>
        </w:rPr>
        <w:fldChar w:fldCharType="begin"/>
      </w:r>
      <w:r w:rsidRPr="00801472">
        <w:rPr>
          <w:color w:val="438086" w:themeColor="accent2"/>
          <w:sz w:val="22"/>
          <w:szCs w:val="22"/>
        </w:rPr>
        <w:instrText xml:space="preserve"> SEQ Cuadro \* ARABIC </w:instrText>
      </w:r>
      <w:r w:rsidRPr="00801472">
        <w:rPr>
          <w:color w:val="438086" w:themeColor="accent2"/>
          <w:sz w:val="22"/>
          <w:szCs w:val="22"/>
        </w:rPr>
        <w:fldChar w:fldCharType="separate"/>
      </w:r>
      <w:r w:rsidRPr="00801472">
        <w:rPr>
          <w:color w:val="438086" w:themeColor="accent2"/>
          <w:sz w:val="22"/>
          <w:szCs w:val="22"/>
        </w:rPr>
        <w:t>3</w:t>
      </w:r>
      <w:r w:rsidRPr="00801472">
        <w:rPr>
          <w:color w:val="438086" w:themeColor="accent2"/>
          <w:sz w:val="22"/>
          <w:szCs w:val="22"/>
        </w:rPr>
        <w:fldChar w:fldCharType="end"/>
      </w:r>
      <w:r w:rsidRPr="00801472">
        <w:rPr>
          <w:color w:val="438086" w:themeColor="accent2"/>
          <w:sz w:val="22"/>
          <w:szCs w:val="22"/>
        </w:rPr>
        <w:t xml:space="preserve">: Buenas Prácticas </w:t>
      </w:r>
      <w:r w:rsidR="00BD4F6E" w:rsidRPr="00BD4F6E">
        <w:rPr>
          <w:color w:val="438086" w:themeColor="accent2"/>
          <w:sz w:val="22"/>
          <w:szCs w:val="22"/>
        </w:rPr>
        <w:t>en las entidades del Sector Público Institucional.</w:t>
      </w:r>
      <w:r w:rsidR="00360C44">
        <w:rPr>
          <w:rStyle w:val="Refdenotaalpie"/>
          <w:color w:val="438086" w:themeColor="accent2"/>
          <w:sz w:val="22"/>
          <w:szCs w:val="22"/>
        </w:rPr>
        <w:footnoteReference w:id="7"/>
      </w:r>
    </w:p>
    <w:tbl>
      <w:tblPr>
        <w:tblStyle w:val="Listavistosa-nfasis2"/>
        <w:tblW w:w="9156" w:type="dxa"/>
        <w:tblLook w:val="04A0" w:firstRow="1" w:lastRow="0" w:firstColumn="1" w:lastColumn="0" w:noHBand="0" w:noVBand="1"/>
      </w:tblPr>
      <w:tblGrid>
        <w:gridCol w:w="5070"/>
        <w:gridCol w:w="4086"/>
      </w:tblGrid>
      <w:tr w:rsidR="00470683" w:rsidRPr="00470683" w:rsidTr="00702E6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70" w:type="dxa"/>
            <w:noWrap/>
          </w:tcPr>
          <w:p w:rsidR="00BD4F6E" w:rsidRPr="00470683" w:rsidRDefault="00BD4F6E" w:rsidP="00470683">
            <w:pPr>
              <w:jc w:val="center"/>
              <w:rPr>
                <w:rFonts w:ascii="Calibri" w:eastAsia="Times New Roman" w:hAnsi="Calibri" w:cs="Calibri"/>
                <w:b w:val="0"/>
                <w:sz w:val="18"/>
                <w:szCs w:val="18"/>
              </w:rPr>
            </w:pPr>
            <w:r w:rsidRPr="00470683">
              <w:rPr>
                <w:rFonts w:ascii="Calibri" w:eastAsia="Times New Roman" w:hAnsi="Calibri" w:cs="Calibri"/>
                <w:b w:val="0"/>
                <w:sz w:val="18"/>
                <w:szCs w:val="18"/>
              </w:rPr>
              <w:t>Buena práctica</w:t>
            </w:r>
          </w:p>
        </w:tc>
        <w:tc>
          <w:tcPr>
            <w:tcW w:w="4086" w:type="dxa"/>
            <w:noWrap/>
          </w:tcPr>
          <w:p w:rsidR="00BD4F6E" w:rsidRPr="00470683" w:rsidRDefault="00BD4F6E" w:rsidP="0047068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70683">
              <w:rPr>
                <w:rFonts w:ascii="Calibri" w:eastAsia="Times New Roman" w:hAnsi="Calibri" w:cs="Calibri"/>
                <w:sz w:val="18"/>
                <w:szCs w:val="18"/>
              </w:rPr>
              <w:t>Entidades</w:t>
            </w:r>
          </w:p>
        </w:tc>
      </w:tr>
      <w:tr w:rsidR="00BD4F6E" w:rsidRPr="00BD4F6E" w:rsidTr="0070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noWrap/>
          </w:tcPr>
          <w:p w:rsidR="00BD4F6E" w:rsidRPr="00BD4F6E" w:rsidRDefault="00BD4F6E" w:rsidP="00BD4F6E">
            <w:pPr>
              <w:rPr>
                <w:b w:val="0"/>
                <w:sz w:val="18"/>
                <w:szCs w:val="18"/>
              </w:rPr>
            </w:pPr>
            <w:r w:rsidRPr="00BD4F6E">
              <w:rPr>
                <w:b w:val="0"/>
                <w:sz w:val="18"/>
                <w:szCs w:val="18"/>
              </w:rPr>
              <w:t>Información sobre derecho de acceso</w:t>
            </w:r>
          </w:p>
        </w:tc>
        <w:tc>
          <w:tcPr>
            <w:tcW w:w="4086" w:type="dxa"/>
            <w:noWrap/>
          </w:tcPr>
          <w:p w:rsidR="00BD4F6E" w:rsidRPr="00BD4F6E" w:rsidRDefault="004E7A7C" w:rsidP="00BD4F6E">
            <w:pPr>
              <w:cnfStyle w:val="000000100000" w:firstRow="0" w:lastRow="0" w:firstColumn="0" w:lastColumn="0" w:oddVBand="0" w:evenVBand="0" w:oddHBand="1" w:evenHBand="0" w:firstRowFirstColumn="0" w:firstRowLastColumn="0" w:lastRowFirstColumn="0" w:lastRowLastColumn="0"/>
              <w:rPr>
                <w:sz w:val="18"/>
                <w:szCs w:val="18"/>
              </w:rPr>
            </w:pPr>
            <w:r w:rsidRPr="004E7A7C">
              <w:rPr>
                <w:sz w:val="18"/>
                <w:szCs w:val="18"/>
              </w:rPr>
              <w:t>Centro de Investigación Biomédica,</w:t>
            </w:r>
            <w:r>
              <w:rPr>
                <w:sz w:val="18"/>
                <w:szCs w:val="18"/>
              </w:rPr>
              <w:t xml:space="preserve"> </w:t>
            </w:r>
            <w:r w:rsidRPr="004E7A7C">
              <w:rPr>
                <w:sz w:val="18"/>
                <w:szCs w:val="18"/>
              </w:rPr>
              <w:t>RENFE OPERADORA, FREMAP, AP Baleares,  AP Huelva, MERCASA, HUNOSA, EMGRISA, ENWESA, SECEGSA, CMT, TRAGSA</w:t>
            </w:r>
          </w:p>
        </w:tc>
      </w:tr>
      <w:tr w:rsidR="00BD4F6E" w:rsidRPr="00BD4F6E" w:rsidTr="00702E60">
        <w:trPr>
          <w:trHeight w:val="300"/>
        </w:trPr>
        <w:tc>
          <w:tcPr>
            <w:cnfStyle w:val="001000000000" w:firstRow="0" w:lastRow="0" w:firstColumn="1" w:lastColumn="0" w:oddVBand="0" w:evenVBand="0" w:oddHBand="0" w:evenHBand="0" w:firstRowFirstColumn="0" w:firstRowLastColumn="0" w:lastRowFirstColumn="0" w:lastRowLastColumn="0"/>
            <w:tcW w:w="5070" w:type="dxa"/>
            <w:noWrap/>
          </w:tcPr>
          <w:p w:rsidR="00BD4F6E" w:rsidRPr="00BD4F6E" w:rsidRDefault="00BD4F6E" w:rsidP="00BD4F6E">
            <w:pPr>
              <w:rPr>
                <w:b w:val="0"/>
                <w:sz w:val="18"/>
                <w:szCs w:val="18"/>
              </w:rPr>
            </w:pPr>
            <w:r w:rsidRPr="00BD4F6E">
              <w:rPr>
                <w:b w:val="0"/>
                <w:sz w:val="18"/>
                <w:szCs w:val="18"/>
              </w:rPr>
              <w:t xml:space="preserve">Publicación de cuadros-resumen </w:t>
            </w:r>
          </w:p>
        </w:tc>
        <w:tc>
          <w:tcPr>
            <w:tcW w:w="4086" w:type="dxa"/>
            <w:noWrap/>
          </w:tcPr>
          <w:p w:rsidR="00BD4F6E" w:rsidRPr="00BD4F6E" w:rsidRDefault="004E7A7C" w:rsidP="00BD4F6E">
            <w:pPr>
              <w:cnfStyle w:val="000000000000" w:firstRow="0" w:lastRow="0" w:firstColumn="0" w:lastColumn="0" w:oddVBand="0" w:evenVBand="0" w:oddHBand="0" w:evenHBand="0" w:firstRowFirstColumn="0" w:firstRowLastColumn="0" w:lastRowFirstColumn="0" w:lastRowLastColumn="0"/>
              <w:rPr>
                <w:sz w:val="18"/>
                <w:szCs w:val="18"/>
              </w:rPr>
            </w:pPr>
            <w:r w:rsidRPr="004E7A7C">
              <w:rPr>
                <w:sz w:val="18"/>
                <w:szCs w:val="18"/>
              </w:rPr>
              <w:t>REDALSA,  ENWESA, SECEGSA, Acción Cultural, HUNOSA, TRAGSA</w:t>
            </w:r>
          </w:p>
        </w:tc>
      </w:tr>
      <w:tr w:rsidR="00BD4F6E" w:rsidRPr="00BD4F6E" w:rsidTr="0070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noWrap/>
          </w:tcPr>
          <w:p w:rsidR="00BD4F6E" w:rsidRPr="00BD4F6E" w:rsidRDefault="00BD4F6E" w:rsidP="00BD4F6E">
            <w:pPr>
              <w:rPr>
                <w:b w:val="0"/>
                <w:sz w:val="18"/>
                <w:szCs w:val="18"/>
              </w:rPr>
            </w:pPr>
            <w:r w:rsidRPr="00BD4F6E">
              <w:rPr>
                <w:b w:val="0"/>
                <w:sz w:val="18"/>
                <w:szCs w:val="18"/>
              </w:rPr>
              <w:t>Referencia expresa a la falta de actividad respecto de informaciones obligatorias</w:t>
            </w:r>
          </w:p>
        </w:tc>
        <w:tc>
          <w:tcPr>
            <w:tcW w:w="4086" w:type="dxa"/>
            <w:noWrap/>
          </w:tcPr>
          <w:p w:rsidR="00BD4F6E" w:rsidRPr="00BD4F6E" w:rsidRDefault="00AA4B11" w:rsidP="00BD4F6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EMGRISA</w:t>
            </w:r>
            <w:r w:rsidR="004E7A7C">
              <w:rPr>
                <w:sz w:val="18"/>
                <w:szCs w:val="18"/>
              </w:rPr>
              <w:t>, ENWESA</w:t>
            </w:r>
          </w:p>
        </w:tc>
      </w:tr>
      <w:tr w:rsidR="00E21B76" w:rsidRPr="00E21B76" w:rsidTr="00702E60">
        <w:trPr>
          <w:trHeight w:val="300"/>
        </w:trPr>
        <w:tc>
          <w:tcPr>
            <w:cnfStyle w:val="001000000000" w:firstRow="0" w:lastRow="0" w:firstColumn="1" w:lastColumn="0" w:oddVBand="0" w:evenVBand="0" w:oddHBand="0" w:evenHBand="0" w:firstRowFirstColumn="0" w:firstRowLastColumn="0" w:lastRowFirstColumn="0" w:lastRowLastColumn="0"/>
            <w:tcW w:w="5070" w:type="dxa"/>
            <w:noWrap/>
          </w:tcPr>
          <w:p w:rsidR="00E21B76" w:rsidRPr="00E21B76" w:rsidRDefault="00E21B76" w:rsidP="00AB5A48">
            <w:pPr>
              <w:rPr>
                <w:b w:val="0"/>
                <w:sz w:val="18"/>
                <w:szCs w:val="18"/>
              </w:rPr>
            </w:pPr>
            <w:r w:rsidRPr="00E21B76">
              <w:rPr>
                <w:b w:val="0"/>
                <w:sz w:val="18"/>
                <w:szCs w:val="18"/>
              </w:rPr>
              <w:t xml:space="preserve">Textos introductorios o descriptivos </w:t>
            </w:r>
          </w:p>
        </w:tc>
        <w:tc>
          <w:tcPr>
            <w:tcW w:w="4086" w:type="dxa"/>
            <w:noWrap/>
          </w:tcPr>
          <w:p w:rsidR="00E21B76" w:rsidRPr="00E21B76" w:rsidRDefault="00E21B76" w:rsidP="00AB5A48">
            <w:pPr>
              <w:cnfStyle w:val="000000000000" w:firstRow="0" w:lastRow="0" w:firstColumn="0" w:lastColumn="0" w:oddVBand="0" w:evenVBand="0" w:oddHBand="0" w:evenHBand="0" w:firstRowFirstColumn="0" w:firstRowLastColumn="0" w:lastRowFirstColumn="0" w:lastRowLastColumn="0"/>
              <w:rPr>
                <w:bCs/>
                <w:sz w:val="18"/>
                <w:szCs w:val="18"/>
              </w:rPr>
            </w:pPr>
            <w:r w:rsidRPr="00E21B76">
              <w:rPr>
                <w:bCs/>
                <w:sz w:val="18"/>
                <w:szCs w:val="18"/>
              </w:rPr>
              <w:t>AP Huelva,</w:t>
            </w:r>
          </w:p>
        </w:tc>
      </w:tr>
      <w:tr w:rsidR="00BD4F6E" w:rsidRPr="00BD4F6E" w:rsidTr="0070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noWrap/>
            <w:hideMark/>
          </w:tcPr>
          <w:p w:rsidR="00BD4F6E" w:rsidRPr="00BD4F6E" w:rsidRDefault="00BD4F6E" w:rsidP="00BD4F6E">
            <w:pPr>
              <w:jc w:val="left"/>
              <w:rPr>
                <w:rFonts w:ascii="Calibri" w:eastAsia="Times New Roman" w:hAnsi="Calibri" w:cs="Calibri"/>
                <w:b w:val="0"/>
                <w:color w:val="000000"/>
                <w:sz w:val="18"/>
                <w:szCs w:val="18"/>
              </w:rPr>
            </w:pPr>
            <w:r w:rsidRPr="00BD4F6E">
              <w:rPr>
                <w:rFonts w:ascii="Calibri" w:eastAsia="Times New Roman" w:hAnsi="Calibri" w:cs="Calibri"/>
                <w:b w:val="0"/>
                <w:color w:val="000000"/>
                <w:sz w:val="18"/>
                <w:szCs w:val="18"/>
              </w:rPr>
              <w:t>Identificación de los responsables y descripción de las funciones de unidades que integran su estructura organizativa</w:t>
            </w:r>
          </w:p>
        </w:tc>
        <w:tc>
          <w:tcPr>
            <w:tcW w:w="4086" w:type="dxa"/>
            <w:noWrap/>
            <w:hideMark/>
          </w:tcPr>
          <w:p w:rsidR="00BD4F6E" w:rsidRPr="00BD4F6E" w:rsidRDefault="004E7A7C" w:rsidP="00BD4F6E">
            <w:pPr>
              <w:jc w:val="left"/>
              <w:cnfStyle w:val="000000100000" w:firstRow="0" w:lastRow="0" w:firstColumn="0" w:lastColumn="0" w:oddVBand="0" w:evenVBand="0" w:oddHBand="1" w:evenHBand="0" w:firstRowFirstColumn="0" w:firstRowLastColumn="0" w:lastRowFirstColumn="0" w:lastRowLastColumn="0"/>
              <w:rPr>
                <w:sz w:val="18"/>
                <w:szCs w:val="18"/>
              </w:rPr>
            </w:pPr>
            <w:r w:rsidRPr="004E7A7C">
              <w:rPr>
                <w:sz w:val="18"/>
                <w:szCs w:val="18"/>
              </w:rPr>
              <w:t>CH Tajo</w:t>
            </w:r>
          </w:p>
        </w:tc>
      </w:tr>
      <w:tr w:rsidR="00BD4F6E" w:rsidRPr="00BD4F6E" w:rsidTr="00702E60">
        <w:trPr>
          <w:trHeight w:val="300"/>
        </w:trPr>
        <w:tc>
          <w:tcPr>
            <w:cnfStyle w:val="001000000000" w:firstRow="0" w:lastRow="0" w:firstColumn="1" w:lastColumn="0" w:oddVBand="0" w:evenVBand="0" w:oddHBand="0" w:evenHBand="0" w:firstRowFirstColumn="0" w:firstRowLastColumn="0" w:lastRowFirstColumn="0" w:lastRowLastColumn="0"/>
            <w:tcW w:w="5070" w:type="dxa"/>
            <w:noWrap/>
            <w:hideMark/>
          </w:tcPr>
          <w:p w:rsidR="00BD4F6E" w:rsidRPr="00BD4F6E" w:rsidRDefault="00BD4F6E" w:rsidP="004E7A7C">
            <w:pPr>
              <w:jc w:val="left"/>
              <w:rPr>
                <w:rFonts w:ascii="Calibri" w:eastAsia="Times New Roman" w:hAnsi="Calibri" w:cs="Calibri"/>
                <w:b w:val="0"/>
                <w:color w:val="000000"/>
                <w:sz w:val="18"/>
                <w:szCs w:val="18"/>
              </w:rPr>
            </w:pPr>
            <w:r w:rsidRPr="00BD4F6E">
              <w:rPr>
                <w:rFonts w:ascii="Calibri" w:eastAsia="Times New Roman" w:hAnsi="Calibri" w:cs="Calibri"/>
                <w:b w:val="0"/>
                <w:color w:val="000000"/>
                <w:sz w:val="18"/>
                <w:szCs w:val="18"/>
              </w:rPr>
              <w:t xml:space="preserve">Perfiles y trayectorias profesionales </w:t>
            </w:r>
            <w:r w:rsidR="004E7A7C">
              <w:rPr>
                <w:rFonts w:ascii="Calibri" w:eastAsia="Times New Roman" w:hAnsi="Calibri" w:cs="Calibri"/>
                <w:b w:val="0"/>
                <w:color w:val="000000"/>
                <w:sz w:val="18"/>
                <w:szCs w:val="18"/>
              </w:rPr>
              <w:t>de los miembros del equipo directivo</w:t>
            </w:r>
          </w:p>
        </w:tc>
        <w:tc>
          <w:tcPr>
            <w:tcW w:w="4086" w:type="dxa"/>
            <w:noWrap/>
            <w:hideMark/>
          </w:tcPr>
          <w:p w:rsidR="00BD4F6E" w:rsidRPr="00BD4F6E" w:rsidRDefault="004E7A7C" w:rsidP="00BD4F6E">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HUNOSA</w:t>
            </w:r>
          </w:p>
        </w:tc>
      </w:tr>
    </w:tbl>
    <w:p w:rsidR="00513EC7" w:rsidRDefault="00801472" w:rsidP="00801472">
      <w:pPr>
        <w:pStyle w:val="Ttulo1"/>
      </w:pPr>
      <w:bookmarkStart w:id="18" w:name="_Toc113366623"/>
      <w:r w:rsidRPr="006D7EE4">
        <w:lastRenderedPageBreak/>
        <w:t>IV</w:t>
      </w:r>
      <w:r w:rsidR="00F23BD7" w:rsidRPr="006D7EE4">
        <w:t xml:space="preserve">. </w:t>
      </w:r>
      <w:r w:rsidR="00513EC7" w:rsidRPr="006D7EE4">
        <w:t>Evaluación de la gestión de las solicitudes de acceso a la información pública</w:t>
      </w:r>
      <w:bookmarkEnd w:id="18"/>
    </w:p>
    <w:p w:rsidR="00801472" w:rsidRDefault="00801472" w:rsidP="00513EC7"/>
    <w:p w:rsidR="006469F3" w:rsidRPr="00C326DD" w:rsidRDefault="00801472" w:rsidP="00801472">
      <w:pPr>
        <w:pStyle w:val="Ttulo2"/>
      </w:pPr>
      <w:bookmarkStart w:id="19" w:name="_Toc113366624"/>
      <w:r w:rsidRPr="00C326DD">
        <w:t>IV</w:t>
      </w:r>
      <w:r w:rsidR="006469F3" w:rsidRPr="00C326DD">
        <w:t>.1 Recursos disponibles para la tramitación de las solicitudes de acceso a información pública</w:t>
      </w:r>
      <w:bookmarkEnd w:id="19"/>
    </w:p>
    <w:p w:rsidR="006469F3" w:rsidRPr="00C326DD" w:rsidRDefault="006469F3" w:rsidP="006469F3"/>
    <w:p w:rsidR="00702E60" w:rsidRDefault="00032714" w:rsidP="006469F3">
      <w:r>
        <w:t>E</w:t>
      </w:r>
      <w:r w:rsidR="005C5DC1" w:rsidRPr="00C326DD">
        <w:t>l</w:t>
      </w:r>
      <w:r w:rsidR="001963A1" w:rsidRPr="00C326DD">
        <w:t xml:space="preserve"> </w:t>
      </w:r>
      <w:r>
        <w:t>8</w:t>
      </w:r>
      <w:r w:rsidR="001963A1" w:rsidRPr="00C326DD">
        <w:t>0%</w:t>
      </w:r>
      <w:r w:rsidR="00FD588F" w:rsidRPr="00C326DD">
        <w:t xml:space="preserve"> </w:t>
      </w:r>
      <w:r w:rsidR="00352180" w:rsidRPr="00C326DD">
        <w:t>de los organismos evaluados</w:t>
      </w:r>
      <w:r w:rsidR="00DE5408" w:rsidRPr="00C326DD">
        <w:t xml:space="preserve"> que han remitido información –</w:t>
      </w:r>
      <w:r>
        <w:t>1</w:t>
      </w:r>
      <w:r w:rsidR="00FD588F" w:rsidRPr="00C326DD">
        <w:t>0</w:t>
      </w:r>
      <w:r w:rsidR="00DE5408" w:rsidRPr="00C326DD">
        <w:t xml:space="preserve"> entidades, el </w:t>
      </w:r>
      <w:r w:rsidR="00FD588F" w:rsidRPr="00C326DD">
        <w:t>40</w:t>
      </w:r>
      <w:r w:rsidR="00DE5408" w:rsidRPr="00C326DD">
        <w:t>%</w:t>
      </w:r>
      <w:r w:rsidR="00C060B9" w:rsidRPr="00C326DD">
        <w:t xml:space="preserve"> del total</w:t>
      </w:r>
      <w:r w:rsidR="00DE5408" w:rsidRPr="00C326DD">
        <w:t xml:space="preserve"> -</w:t>
      </w:r>
      <w:r w:rsidR="00352180" w:rsidRPr="00C326DD">
        <w:t xml:space="preserve"> ha asignado a una unidad específica la gestión de las solicitudes de acceso a información pública</w:t>
      </w:r>
      <w:r w:rsidR="00AB0ABE" w:rsidRPr="00C326DD">
        <w:t>.</w:t>
      </w:r>
      <w:r w:rsidR="00352180" w:rsidRPr="00C326DD">
        <w:t xml:space="preserve"> </w:t>
      </w:r>
    </w:p>
    <w:p w:rsidR="00352180" w:rsidRDefault="00352180" w:rsidP="006469F3">
      <w:r w:rsidRPr="00352180">
        <w:t>En promedio</w:t>
      </w:r>
      <w:r w:rsidR="00337289">
        <w:t>,</w:t>
      </w:r>
      <w:r w:rsidRPr="00352180">
        <w:t xml:space="preserve"> </w:t>
      </w:r>
      <w:r w:rsidR="00032714">
        <w:t>3,72</w:t>
      </w:r>
      <w:r w:rsidRPr="00352180">
        <w:t xml:space="preserve"> personas se dedican a la gestión de las solicitudes de a</w:t>
      </w:r>
      <w:r w:rsidR="00AB0ABE">
        <w:t xml:space="preserve">cceso, </w:t>
      </w:r>
      <w:r w:rsidRPr="00352180">
        <w:t>gestión que compatibilizan con otras actividades.</w:t>
      </w:r>
    </w:p>
    <w:p w:rsidR="00C773FD" w:rsidRDefault="00C773FD" w:rsidP="006469F3"/>
    <w:p w:rsidR="00AB0ABE" w:rsidRDefault="00801472" w:rsidP="00801472">
      <w:pPr>
        <w:pStyle w:val="Ttulo2"/>
      </w:pPr>
      <w:bookmarkStart w:id="20" w:name="_Toc113366625"/>
      <w:r>
        <w:t>IV</w:t>
      </w:r>
      <w:r w:rsidR="006469F3" w:rsidRPr="0019120F">
        <w:t>.2 Actividad generada en 202</w:t>
      </w:r>
      <w:r w:rsidR="00032714">
        <w:t>1</w:t>
      </w:r>
      <w:r w:rsidR="006469F3" w:rsidRPr="0019120F">
        <w:t xml:space="preserve"> por las solicitudes de acceso a información pública</w:t>
      </w:r>
      <w:bookmarkEnd w:id="20"/>
      <w:r w:rsidR="006469F3" w:rsidRPr="0019120F">
        <w:t xml:space="preserve"> </w:t>
      </w:r>
    </w:p>
    <w:p w:rsidR="006469F3" w:rsidRPr="0019120F" w:rsidRDefault="006469F3" w:rsidP="00801472">
      <w:pPr>
        <w:pStyle w:val="Ttulo2"/>
      </w:pPr>
      <w:r w:rsidRPr="0019120F">
        <w:t xml:space="preserve"> </w:t>
      </w:r>
    </w:p>
    <w:p w:rsidR="006469F3" w:rsidRDefault="006469F3" w:rsidP="006469F3">
      <w:pPr>
        <w:pStyle w:val="Ttulo2"/>
        <w:rPr>
          <w:sz w:val="22"/>
          <w:szCs w:val="24"/>
        </w:rPr>
      </w:pPr>
      <w:bookmarkStart w:id="21" w:name="_Toc69550760"/>
      <w:bookmarkStart w:id="22" w:name="_Toc81309167"/>
      <w:bookmarkStart w:id="23" w:name="_Toc81309494"/>
      <w:bookmarkStart w:id="24" w:name="_Toc81309675"/>
      <w:bookmarkStart w:id="25" w:name="_Toc113366626"/>
      <w:r w:rsidRPr="0019120F">
        <w:rPr>
          <w:b w:val="0"/>
          <w:sz w:val="22"/>
          <w:szCs w:val="24"/>
        </w:rPr>
        <w:t>Solicitudes gestionadas en 202</w:t>
      </w:r>
      <w:bookmarkEnd w:id="21"/>
      <w:bookmarkEnd w:id="22"/>
      <w:bookmarkEnd w:id="23"/>
      <w:bookmarkEnd w:id="24"/>
      <w:r w:rsidR="00032714">
        <w:rPr>
          <w:b w:val="0"/>
          <w:sz w:val="22"/>
          <w:szCs w:val="24"/>
        </w:rPr>
        <w:t>1</w:t>
      </w:r>
      <w:bookmarkEnd w:id="25"/>
      <w:r w:rsidRPr="0019120F">
        <w:rPr>
          <w:sz w:val="22"/>
          <w:szCs w:val="24"/>
        </w:rPr>
        <w:t xml:space="preserve"> </w:t>
      </w:r>
    </w:p>
    <w:p w:rsidR="006469F3" w:rsidRDefault="006469F3" w:rsidP="006469F3"/>
    <w:p w:rsidR="00341355" w:rsidRDefault="00341355" w:rsidP="00341355">
      <w:r w:rsidRPr="00F422E6">
        <w:t xml:space="preserve">Las </w:t>
      </w:r>
      <w:r w:rsidR="00032714">
        <w:t>diez</w:t>
      </w:r>
      <w:r w:rsidRPr="00F422E6">
        <w:rPr>
          <w:rStyle w:val="Refdenotaalpie"/>
        </w:rPr>
        <w:footnoteReference w:id="8"/>
      </w:r>
      <w:r w:rsidRPr="00F422E6">
        <w:t xml:space="preserve"> </w:t>
      </w:r>
      <w:r w:rsidR="00C060B9">
        <w:t>entidades</w:t>
      </w:r>
      <w:r w:rsidRPr="00F422E6">
        <w:t xml:space="preserve"> evaluadas </w:t>
      </w:r>
      <w:r w:rsidR="00802233">
        <w:t>que han remitido información</w:t>
      </w:r>
      <w:r w:rsidR="00032714">
        <w:t>,</w:t>
      </w:r>
      <w:r w:rsidR="00802233">
        <w:t xml:space="preserve"> </w:t>
      </w:r>
      <w:r w:rsidRPr="00F422E6">
        <w:t xml:space="preserve">recibieron </w:t>
      </w:r>
      <w:r w:rsidR="00032714">
        <w:t>120</w:t>
      </w:r>
      <w:r w:rsidRPr="00F422E6">
        <w:t xml:space="preserve"> solicitudes de acceso a información pública durante 202</w:t>
      </w:r>
      <w:r w:rsidR="00032714">
        <w:t>1</w:t>
      </w:r>
      <w:r w:rsidR="00802233">
        <w:t xml:space="preserve">, </w:t>
      </w:r>
      <w:r w:rsidR="00032714">
        <w:t xml:space="preserve">a las que se añaden las 3 que </w:t>
      </w:r>
      <w:r w:rsidR="00802233">
        <w:t xml:space="preserve">habían </w:t>
      </w:r>
      <w:r w:rsidRPr="00F422E6">
        <w:t>queda</w:t>
      </w:r>
      <w:r w:rsidR="00802233">
        <w:t>do</w:t>
      </w:r>
      <w:r w:rsidR="00337289">
        <w:t xml:space="preserve"> </w:t>
      </w:r>
      <w:r w:rsidRPr="00F422E6">
        <w:t>pendientes de tramitación</w:t>
      </w:r>
      <w:r w:rsidR="00337289">
        <w:t>,</w:t>
      </w:r>
      <w:r w:rsidRPr="00F422E6">
        <w:t xml:space="preserve"> a 31 de diciembre de 20</w:t>
      </w:r>
      <w:r w:rsidR="00032714">
        <w:t>20</w:t>
      </w:r>
      <w:r w:rsidRPr="00F422E6">
        <w:t>. En promedio</w:t>
      </w:r>
      <w:r w:rsidR="00337289">
        <w:t>,</w:t>
      </w:r>
      <w:r w:rsidRPr="00F422E6">
        <w:t xml:space="preserve"> cada una de las </w:t>
      </w:r>
      <w:r w:rsidR="00702E60">
        <w:t>1</w:t>
      </w:r>
      <w:r w:rsidR="005A2346">
        <w:t>0</w:t>
      </w:r>
      <w:r w:rsidRPr="00F422E6">
        <w:t xml:space="preserve"> </w:t>
      </w:r>
      <w:r w:rsidR="00F422E6">
        <w:t>entidades</w:t>
      </w:r>
      <w:r w:rsidRPr="00F422E6">
        <w:t xml:space="preserve"> recibió </w:t>
      </w:r>
      <w:r w:rsidR="00032714">
        <w:t>12</w:t>
      </w:r>
      <w:r w:rsidR="00F422E6">
        <w:t xml:space="preserve"> </w:t>
      </w:r>
      <w:r w:rsidRPr="00F422E6">
        <w:t xml:space="preserve">solicitudes. El rango de variación oscila entre </w:t>
      </w:r>
      <w:r w:rsidR="0027311B">
        <w:t>0</w:t>
      </w:r>
      <w:r w:rsidRPr="00F422E6">
        <w:t xml:space="preserve"> y </w:t>
      </w:r>
      <w:r w:rsidR="00032714">
        <w:t>57</w:t>
      </w:r>
      <w:r w:rsidRPr="00F422E6">
        <w:t>.</w:t>
      </w:r>
    </w:p>
    <w:p w:rsidR="00341355" w:rsidRDefault="00341355" w:rsidP="00341355">
      <w:r>
        <w:t>Según la información aportada</w:t>
      </w:r>
      <w:r w:rsidR="00FD588F">
        <w:t>,</w:t>
      </w:r>
      <w:r>
        <w:t xml:space="preserve"> se tramitaron </w:t>
      </w:r>
      <w:r w:rsidR="00032714">
        <w:t>111</w:t>
      </w:r>
      <w:r>
        <w:t xml:space="preserve"> solicitudes a lo largo de 202</w:t>
      </w:r>
      <w:r w:rsidR="00032714">
        <w:t>1,</w:t>
      </w:r>
      <w:r>
        <w:t xml:space="preserve"> quedando pen</w:t>
      </w:r>
      <w:r w:rsidR="005646C3">
        <w:t>dientes</w:t>
      </w:r>
      <w:r w:rsidR="00337289">
        <w:t>,</w:t>
      </w:r>
      <w:r w:rsidR="005646C3">
        <w:t xml:space="preserve"> a 31 de diciembre de es</w:t>
      </w:r>
      <w:r>
        <w:t xml:space="preserve">e año, </w:t>
      </w:r>
      <w:r w:rsidR="00032714">
        <w:t>12</w:t>
      </w:r>
      <w:r>
        <w:t xml:space="preserve"> solicitudes. De las solicitudes tramitadas</w:t>
      </w:r>
      <w:r w:rsidR="001015E0">
        <w:t>,</w:t>
      </w:r>
      <w:r>
        <w:t xml:space="preserve"> se admitieron </w:t>
      </w:r>
      <w:r w:rsidR="00032714">
        <w:t xml:space="preserve">89 </w:t>
      </w:r>
      <w:r>
        <w:t xml:space="preserve">y se inadmitieron </w:t>
      </w:r>
      <w:r w:rsidR="00032714">
        <w:t>22</w:t>
      </w:r>
      <w:r>
        <w:t>.</w:t>
      </w:r>
    </w:p>
    <w:p w:rsidR="00341355" w:rsidRDefault="00341355" w:rsidP="00341355">
      <w:r w:rsidRPr="003C3FCE">
        <w:t xml:space="preserve">La causa de inadmisión más frecuente </w:t>
      </w:r>
      <w:r w:rsidR="00337289">
        <w:t xml:space="preserve">-10 solicitudes- </w:t>
      </w:r>
      <w:r w:rsidR="006205CF">
        <w:t>fue el hecho de que</w:t>
      </w:r>
      <w:r w:rsidR="006205CF" w:rsidRPr="003C3FCE">
        <w:t xml:space="preserve"> la información solicitada </w:t>
      </w:r>
      <w:r w:rsidR="006205CF">
        <w:t>estaba dirigida a un órgano no competente, desconociéndose en paralelo el órgano competente para resolver estas solicitudes de acceso</w:t>
      </w:r>
      <w:r w:rsidR="00337289">
        <w:t xml:space="preserve">, </w:t>
      </w:r>
      <w:r w:rsidR="001015E0">
        <w:t>y en segundo término</w:t>
      </w:r>
      <w:r w:rsidR="00337289">
        <w:t xml:space="preserve"> </w:t>
      </w:r>
      <w:r w:rsidR="00337289" w:rsidRPr="006205CF">
        <w:t xml:space="preserve">– </w:t>
      </w:r>
      <w:r w:rsidR="00337289">
        <w:t>7</w:t>
      </w:r>
      <w:r w:rsidR="00337289" w:rsidRPr="006205CF">
        <w:t xml:space="preserve"> solicitudes –</w:t>
      </w:r>
      <w:r w:rsidR="00337289">
        <w:t xml:space="preserve">, </w:t>
      </w:r>
      <w:r w:rsidR="001015E0">
        <w:t xml:space="preserve">se sitúa </w:t>
      </w:r>
      <w:r w:rsidR="006205CF" w:rsidRPr="006205CF">
        <w:t>la consideración de la petición repetitiva o abusiva</w:t>
      </w:r>
      <w:r w:rsidR="006205CF">
        <w:t xml:space="preserve">. </w:t>
      </w:r>
    </w:p>
    <w:p w:rsidR="006469F3" w:rsidRPr="0019120F" w:rsidRDefault="006469F3" w:rsidP="006469F3">
      <w:pPr>
        <w:pStyle w:val="Epgrafe"/>
        <w:keepNext/>
        <w:rPr>
          <w:color w:val="438086" w:themeColor="accent2"/>
          <w:sz w:val="22"/>
          <w:szCs w:val="22"/>
        </w:rPr>
      </w:pPr>
      <w:r w:rsidRPr="0019120F">
        <w:rPr>
          <w:color w:val="438086" w:themeColor="accent2"/>
          <w:sz w:val="22"/>
          <w:szCs w:val="22"/>
        </w:rPr>
        <w:lastRenderedPageBreak/>
        <w:t xml:space="preserve">Gráfico </w:t>
      </w:r>
      <w:r w:rsidRPr="0019120F">
        <w:rPr>
          <w:color w:val="438086" w:themeColor="accent2"/>
          <w:sz w:val="22"/>
          <w:szCs w:val="22"/>
        </w:rPr>
        <w:fldChar w:fldCharType="begin"/>
      </w:r>
      <w:r w:rsidRPr="0019120F">
        <w:rPr>
          <w:color w:val="438086" w:themeColor="accent2"/>
          <w:sz w:val="22"/>
          <w:szCs w:val="22"/>
        </w:rPr>
        <w:instrText xml:space="preserve"> SEQ Gráfico \* ARABIC </w:instrText>
      </w:r>
      <w:r w:rsidRPr="0019120F">
        <w:rPr>
          <w:color w:val="438086" w:themeColor="accent2"/>
          <w:sz w:val="22"/>
          <w:szCs w:val="22"/>
        </w:rPr>
        <w:fldChar w:fldCharType="separate"/>
      </w:r>
      <w:r w:rsidR="009A0015">
        <w:rPr>
          <w:noProof/>
          <w:color w:val="438086" w:themeColor="accent2"/>
          <w:sz w:val="22"/>
          <w:szCs w:val="22"/>
        </w:rPr>
        <w:t>12</w:t>
      </w:r>
      <w:r w:rsidRPr="0019120F">
        <w:rPr>
          <w:color w:val="438086" w:themeColor="accent2"/>
          <w:sz w:val="22"/>
          <w:szCs w:val="22"/>
        </w:rPr>
        <w:fldChar w:fldCharType="end"/>
      </w:r>
      <w:r w:rsidRPr="0019120F">
        <w:rPr>
          <w:color w:val="438086" w:themeColor="accent2"/>
          <w:sz w:val="22"/>
          <w:szCs w:val="22"/>
        </w:rPr>
        <w:t>: Distribución de las solicitudes inadmitidas según causa de inadmisión</w:t>
      </w:r>
    </w:p>
    <w:p w:rsidR="006469F3" w:rsidRPr="0019120F" w:rsidRDefault="00032714" w:rsidP="006469F3">
      <w:r>
        <w:rPr>
          <w:noProof/>
        </w:rPr>
        <w:drawing>
          <wp:inline distT="0" distB="0" distL="0" distR="0" wp14:anchorId="5F71A4DD" wp14:editId="7FD9D9AE">
            <wp:extent cx="5664530" cy="3325091"/>
            <wp:effectExtent l="0" t="0" r="12700" b="279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6504" w:rsidRDefault="00146504" w:rsidP="006469F3">
      <w:pPr>
        <w:rPr>
          <w:rFonts w:asciiTheme="majorHAnsi" w:hAnsiTheme="majorHAnsi"/>
          <w:color w:val="438086" w:themeColor="accent2"/>
          <w:szCs w:val="24"/>
        </w:rPr>
      </w:pPr>
    </w:p>
    <w:p w:rsidR="006469F3" w:rsidRDefault="006469F3" w:rsidP="006469F3">
      <w:pPr>
        <w:rPr>
          <w:rFonts w:asciiTheme="majorHAnsi" w:hAnsiTheme="majorHAnsi"/>
          <w:color w:val="438086" w:themeColor="accent2"/>
          <w:szCs w:val="24"/>
        </w:rPr>
      </w:pPr>
      <w:r w:rsidRPr="0019120F">
        <w:rPr>
          <w:rFonts w:asciiTheme="majorHAnsi" w:hAnsiTheme="majorHAnsi"/>
          <w:color w:val="438086" w:themeColor="accent2"/>
          <w:szCs w:val="24"/>
        </w:rPr>
        <w:t>Indicadores de tramitación en 202</w:t>
      </w:r>
      <w:r w:rsidR="006205CF">
        <w:rPr>
          <w:rFonts w:asciiTheme="majorHAnsi" w:hAnsiTheme="majorHAnsi"/>
          <w:color w:val="438086" w:themeColor="accent2"/>
          <w:szCs w:val="24"/>
        </w:rPr>
        <w:t>1</w:t>
      </w:r>
    </w:p>
    <w:p w:rsidR="00146504" w:rsidRDefault="00146504" w:rsidP="00146504">
      <w:r>
        <w:t>En promedio</w:t>
      </w:r>
      <w:r w:rsidR="00337289">
        <w:t>,</w:t>
      </w:r>
      <w:r>
        <w:t xml:space="preserve"> las personas asignadas a la gestión del derecho de acceso </w:t>
      </w:r>
      <w:r w:rsidR="002456B0" w:rsidRPr="002456B0">
        <w:t xml:space="preserve">tramitaron </w:t>
      </w:r>
      <w:r w:rsidR="006205CF">
        <w:t>3,44</w:t>
      </w:r>
      <w:r w:rsidR="002456B0">
        <w:t xml:space="preserve"> </w:t>
      </w:r>
      <w:r>
        <w:t>solicitudes a lo largo de 202</w:t>
      </w:r>
      <w:r w:rsidR="006205CF">
        <w:t>1</w:t>
      </w:r>
      <w:r>
        <w:t xml:space="preserve">. </w:t>
      </w:r>
    </w:p>
    <w:p w:rsidR="00146504" w:rsidRDefault="006205CF" w:rsidP="00146504">
      <w:r>
        <w:t>En 2021</w:t>
      </w:r>
      <w:r w:rsidR="00146504" w:rsidRPr="00C5466E">
        <w:t xml:space="preserve"> se tramit</w:t>
      </w:r>
      <w:r w:rsidR="0028680F">
        <w:t>ó</w:t>
      </w:r>
      <w:r w:rsidR="00146504" w:rsidRPr="00C5466E">
        <w:t xml:space="preserve"> </w:t>
      </w:r>
      <w:r w:rsidR="00146504">
        <w:t xml:space="preserve">el </w:t>
      </w:r>
      <w:r>
        <w:t>91,9</w:t>
      </w:r>
      <w:r w:rsidR="00146504" w:rsidRPr="00C5466E">
        <w:t>% de las solicitudes entradas en el año</w:t>
      </w:r>
      <w:r w:rsidR="000F02B2">
        <w:t>.</w:t>
      </w:r>
      <w:r w:rsidR="00146504" w:rsidRPr="00C5466E">
        <w:t xml:space="preserve"> </w:t>
      </w:r>
      <w:r w:rsidR="000F02B2">
        <w:t>L</w:t>
      </w:r>
      <w:r w:rsidR="00146504" w:rsidRPr="00C5466E">
        <w:t xml:space="preserve">a tasa de pendencia </w:t>
      </w:r>
      <w:r w:rsidR="000F02B2">
        <w:t xml:space="preserve">se sitúa </w:t>
      </w:r>
      <w:r w:rsidR="00146504" w:rsidRPr="00C5466E">
        <w:t xml:space="preserve">en </w:t>
      </w:r>
      <w:r>
        <w:t>14,71</w:t>
      </w:r>
      <w:r w:rsidR="00146504">
        <w:t xml:space="preserve">. </w:t>
      </w:r>
    </w:p>
    <w:p w:rsidR="00146504" w:rsidRDefault="00146504" w:rsidP="00146504">
      <w:r>
        <w:t xml:space="preserve">El tiempo medio estimado para la tramitación de las solicitudes pendientes es de poco más de </w:t>
      </w:r>
      <w:r w:rsidR="006205CF">
        <w:t>92</w:t>
      </w:r>
      <w:r>
        <w:t xml:space="preserve"> días naturales.</w:t>
      </w:r>
    </w:p>
    <w:p w:rsidR="00146504" w:rsidRDefault="00146504" w:rsidP="00146504">
      <w:r>
        <w:t xml:space="preserve">Se admite </w:t>
      </w:r>
      <w:r w:rsidR="002456B0">
        <w:t xml:space="preserve">el </w:t>
      </w:r>
      <w:r w:rsidR="006205CF">
        <w:t>84,5</w:t>
      </w:r>
      <w:r>
        <w:t xml:space="preserve">% de las solicitudes tramitadas y la proporción de solicitudes inadmitidas se sitúa  </w:t>
      </w:r>
      <w:r w:rsidR="000F02B2">
        <w:t xml:space="preserve">en el </w:t>
      </w:r>
      <w:r w:rsidR="006205CF">
        <w:t>15,5</w:t>
      </w:r>
      <w:r>
        <w:t xml:space="preserve">%. </w:t>
      </w:r>
    </w:p>
    <w:p w:rsidR="006205CF" w:rsidRDefault="006205CF" w:rsidP="00146504"/>
    <w:p w:rsidR="0034357D" w:rsidRDefault="0034357D" w:rsidP="00146504"/>
    <w:p w:rsidR="0034357D" w:rsidRDefault="0034357D" w:rsidP="00146504"/>
    <w:p w:rsidR="0034357D" w:rsidRDefault="0034357D" w:rsidP="00146504"/>
    <w:p w:rsidR="0034357D" w:rsidRPr="00406DDA" w:rsidRDefault="0034357D" w:rsidP="00146504"/>
    <w:p w:rsidR="006469F3" w:rsidRPr="00406DDA" w:rsidRDefault="006469F3" w:rsidP="006469F3">
      <w:pPr>
        <w:pStyle w:val="Epgrafe"/>
        <w:keepNext/>
        <w:rPr>
          <w:color w:val="438086" w:themeColor="accent2"/>
          <w:sz w:val="22"/>
          <w:szCs w:val="22"/>
        </w:rPr>
      </w:pPr>
      <w:r w:rsidRPr="00406DDA">
        <w:rPr>
          <w:color w:val="438086" w:themeColor="accent2"/>
          <w:sz w:val="22"/>
          <w:szCs w:val="22"/>
        </w:rPr>
        <w:lastRenderedPageBreak/>
        <w:t xml:space="preserve">Cuadro </w:t>
      </w:r>
      <w:r w:rsidRPr="00406DDA">
        <w:rPr>
          <w:color w:val="438086" w:themeColor="accent2"/>
          <w:sz w:val="22"/>
          <w:szCs w:val="22"/>
        </w:rPr>
        <w:fldChar w:fldCharType="begin"/>
      </w:r>
      <w:r w:rsidRPr="00406DDA">
        <w:rPr>
          <w:color w:val="438086" w:themeColor="accent2"/>
          <w:sz w:val="22"/>
          <w:szCs w:val="22"/>
        </w:rPr>
        <w:instrText xml:space="preserve"> SEQ Cuadro \* ARABIC </w:instrText>
      </w:r>
      <w:r w:rsidRPr="00406DDA">
        <w:rPr>
          <w:color w:val="438086" w:themeColor="accent2"/>
          <w:sz w:val="22"/>
          <w:szCs w:val="22"/>
        </w:rPr>
        <w:fldChar w:fldCharType="separate"/>
      </w:r>
      <w:r w:rsidR="00801472">
        <w:rPr>
          <w:noProof/>
          <w:color w:val="438086" w:themeColor="accent2"/>
          <w:sz w:val="22"/>
          <w:szCs w:val="22"/>
        </w:rPr>
        <w:t>4</w:t>
      </w:r>
      <w:r w:rsidRPr="00406DDA">
        <w:rPr>
          <w:color w:val="438086" w:themeColor="accent2"/>
          <w:sz w:val="22"/>
          <w:szCs w:val="22"/>
        </w:rPr>
        <w:fldChar w:fldCharType="end"/>
      </w:r>
      <w:r w:rsidRPr="00406DDA">
        <w:rPr>
          <w:color w:val="438086" w:themeColor="accent2"/>
          <w:sz w:val="22"/>
          <w:szCs w:val="22"/>
        </w:rPr>
        <w:t>: Indicadores de tramitación 202</w:t>
      </w:r>
      <w:r w:rsidR="006205CF">
        <w:rPr>
          <w:color w:val="438086" w:themeColor="accent2"/>
          <w:sz w:val="22"/>
          <w:szCs w:val="22"/>
        </w:rPr>
        <w:t>1</w:t>
      </w:r>
    </w:p>
    <w:tbl>
      <w:tblPr>
        <w:tblStyle w:val="Tablaconcuadrcula"/>
        <w:tblW w:w="0" w:type="auto"/>
        <w:tblInd w:w="675" w:type="dxa"/>
        <w:tblLook w:val="04A0" w:firstRow="1" w:lastRow="0" w:firstColumn="1" w:lastColumn="0" w:noHBand="0" w:noVBand="1"/>
      </w:tblPr>
      <w:tblGrid>
        <w:gridCol w:w="1211"/>
        <w:gridCol w:w="5921"/>
        <w:gridCol w:w="1480"/>
      </w:tblGrid>
      <w:tr w:rsidR="006205CF" w:rsidRPr="00B01ABC" w:rsidTr="006205CF">
        <w:tc>
          <w:tcPr>
            <w:tcW w:w="1211" w:type="dxa"/>
            <w:vMerge w:val="restart"/>
            <w:tcBorders>
              <w:top w:val="nil"/>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r w:rsidRPr="00B01ABC">
              <w:rPr>
                <w:b/>
                <w:color w:val="FFFFFF" w:themeColor="background1"/>
                <w:sz w:val="20"/>
              </w:rPr>
              <w:t>Indicadores de tramitación</w:t>
            </w:r>
          </w:p>
        </w:tc>
        <w:tc>
          <w:tcPr>
            <w:tcW w:w="5921" w:type="dxa"/>
            <w:tcBorders>
              <w:left w:val="nil"/>
            </w:tcBorders>
          </w:tcPr>
          <w:p w:rsidR="006205CF" w:rsidRPr="0034357D" w:rsidRDefault="006205CF" w:rsidP="006469F3">
            <w:pPr>
              <w:rPr>
                <w:sz w:val="20"/>
              </w:rPr>
            </w:pPr>
            <w:r w:rsidRPr="0034357D">
              <w:rPr>
                <w:sz w:val="20"/>
              </w:rPr>
              <w:t>Solicitudes/persona UIT</w:t>
            </w:r>
          </w:p>
        </w:tc>
        <w:tc>
          <w:tcPr>
            <w:tcW w:w="1480" w:type="dxa"/>
          </w:tcPr>
          <w:p w:rsidR="006205CF" w:rsidRPr="006205CF" w:rsidRDefault="006205CF" w:rsidP="006205CF">
            <w:pPr>
              <w:jc w:val="center"/>
              <w:rPr>
                <w:sz w:val="20"/>
              </w:rPr>
            </w:pPr>
            <w:r w:rsidRPr="006205CF">
              <w:rPr>
                <w:sz w:val="20"/>
              </w:rPr>
              <w:t>3,72</w:t>
            </w:r>
          </w:p>
        </w:tc>
      </w:tr>
      <w:tr w:rsidR="006205CF" w:rsidRPr="00B01ABC" w:rsidTr="006205CF">
        <w:tc>
          <w:tcPr>
            <w:tcW w:w="1211" w:type="dxa"/>
            <w:vMerge/>
            <w:tcBorders>
              <w:top w:val="nil"/>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p>
        </w:tc>
        <w:tc>
          <w:tcPr>
            <w:tcW w:w="5921" w:type="dxa"/>
            <w:tcBorders>
              <w:left w:val="nil"/>
            </w:tcBorders>
          </w:tcPr>
          <w:p w:rsidR="006205CF" w:rsidRPr="0034357D" w:rsidRDefault="006205CF" w:rsidP="006469F3">
            <w:pPr>
              <w:rPr>
                <w:sz w:val="20"/>
              </w:rPr>
            </w:pPr>
            <w:r w:rsidRPr="0034357D">
              <w:rPr>
                <w:sz w:val="20"/>
              </w:rPr>
              <w:t>Solicitudes tramitadas/persona UIT</w:t>
            </w:r>
          </w:p>
        </w:tc>
        <w:tc>
          <w:tcPr>
            <w:tcW w:w="1480" w:type="dxa"/>
          </w:tcPr>
          <w:p w:rsidR="006205CF" w:rsidRPr="006205CF" w:rsidRDefault="006205CF" w:rsidP="006205CF">
            <w:pPr>
              <w:jc w:val="center"/>
              <w:rPr>
                <w:sz w:val="20"/>
              </w:rPr>
            </w:pPr>
            <w:r w:rsidRPr="006205CF">
              <w:rPr>
                <w:sz w:val="20"/>
              </w:rPr>
              <w:t>3,44</w:t>
            </w:r>
          </w:p>
        </w:tc>
      </w:tr>
      <w:tr w:rsidR="006205CF" w:rsidRPr="00B01ABC" w:rsidTr="006205CF">
        <w:tc>
          <w:tcPr>
            <w:tcW w:w="1211" w:type="dxa"/>
            <w:vMerge/>
            <w:tcBorders>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p>
        </w:tc>
        <w:tc>
          <w:tcPr>
            <w:tcW w:w="5921" w:type="dxa"/>
            <w:tcBorders>
              <w:left w:val="nil"/>
            </w:tcBorders>
          </w:tcPr>
          <w:p w:rsidR="006205CF" w:rsidRPr="0034357D" w:rsidRDefault="006205CF" w:rsidP="00702E60">
            <w:pPr>
              <w:rPr>
                <w:sz w:val="20"/>
              </w:rPr>
            </w:pPr>
            <w:r w:rsidRPr="0034357D">
              <w:rPr>
                <w:sz w:val="20"/>
              </w:rPr>
              <w:t>Tasa de Tramitación (tramitadas/(pendientes a 31/12/20</w:t>
            </w:r>
            <w:r w:rsidR="00702E60">
              <w:rPr>
                <w:sz w:val="20"/>
              </w:rPr>
              <w:t>20</w:t>
            </w:r>
            <w:r w:rsidRPr="0034357D">
              <w:rPr>
                <w:sz w:val="20"/>
              </w:rPr>
              <w:t>+ recibidas 202</w:t>
            </w:r>
            <w:r w:rsidR="00702E60">
              <w:rPr>
                <w:sz w:val="20"/>
              </w:rPr>
              <w:t>1</w:t>
            </w:r>
            <w:r w:rsidRPr="0034357D">
              <w:rPr>
                <w:sz w:val="20"/>
              </w:rPr>
              <w:t>))</w:t>
            </w:r>
          </w:p>
        </w:tc>
        <w:tc>
          <w:tcPr>
            <w:tcW w:w="1480" w:type="dxa"/>
          </w:tcPr>
          <w:p w:rsidR="006205CF" w:rsidRPr="006205CF" w:rsidRDefault="006205CF" w:rsidP="006205CF">
            <w:pPr>
              <w:jc w:val="center"/>
              <w:rPr>
                <w:sz w:val="20"/>
              </w:rPr>
            </w:pPr>
            <w:r w:rsidRPr="006205CF">
              <w:rPr>
                <w:sz w:val="20"/>
              </w:rPr>
              <w:t>91,88</w:t>
            </w:r>
          </w:p>
        </w:tc>
      </w:tr>
      <w:tr w:rsidR="006205CF" w:rsidRPr="00B01ABC" w:rsidTr="006205CF">
        <w:tc>
          <w:tcPr>
            <w:tcW w:w="1211" w:type="dxa"/>
            <w:vMerge/>
            <w:tcBorders>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p>
        </w:tc>
        <w:tc>
          <w:tcPr>
            <w:tcW w:w="5921" w:type="dxa"/>
            <w:tcBorders>
              <w:left w:val="nil"/>
            </w:tcBorders>
          </w:tcPr>
          <w:p w:rsidR="006205CF" w:rsidRPr="0034357D" w:rsidRDefault="006205CF" w:rsidP="006469F3">
            <w:pPr>
              <w:rPr>
                <w:sz w:val="20"/>
              </w:rPr>
            </w:pPr>
            <w:r w:rsidRPr="0034357D">
              <w:rPr>
                <w:sz w:val="20"/>
              </w:rPr>
              <w:t>Tasa de pendencia (pendientes a 31/12/2020 / tramitadas)</w:t>
            </w:r>
          </w:p>
        </w:tc>
        <w:tc>
          <w:tcPr>
            <w:tcW w:w="1480" w:type="dxa"/>
          </w:tcPr>
          <w:p w:rsidR="006205CF" w:rsidRPr="006205CF" w:rsidRDefault="006205CF" w:rsidP="006205CF">
            <w:pPr>
              <w:jc w:val="center"/>
              <w:rPr>
                <w:sz w:val="20"/>
              </w:rPr>
            </w:pPr>
            <w:r w:rsidRPr="006205CF">
              <w:rPr>
                <w:sz w:val="20"/>
              </w:rPr>
              <w:t>14,71</w:t>
            </w:r>
          </w:p>
        </w:tc>
      </w:tr>
      <w:tr w:rsidR="006205CF" w:rsidRPr="00B01ABC" w:rsidTr="006205CF">
        <w:tc>
          <w:tcPr>
            <w:tcW w:w="1211" w:type="dxa"/>
            <w:vMerge/>
            <w:tcBorders>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p>
        </w:tc>
        <w:tc>
          <w:tcPr>
            <w:tcW w:w="5921" w:type="dxa"/>
            <w:tcBorders>
              <w:left w:val="nil"/>
            </w:tcBorders>
          </w:tcPr>
          <w:p w:rsidR="006205CF" w:rsidRPr="0034357D" w:rsidRDefault="006205CF" w:rsidP="00702E60">
            <w:pPr>
              <w:rPr>
                <w:sz w:val="20"/>
              </w:rPr>
            </w:pPr>
            <w:r w:rsidRPr="0034357D">
              <w:rPr>
                <w:sz w:val="20"/>
              </w:rPr>
              <w:t>Tasa de resolución en la tramitación (tramitadas/entradas en 202</w:t>
            </w:r>
            <w:r w:rsidR="00702E60">
              <w:rPr>
                <w:sz w:val="20"/>
              </w:rPr>
              <w:t>1</w:t>
            </w:r>
            <w:r w:rsidRPr="0034357D">
              <w:rPr>
                <w:sz w:val="20"/>
              </w:rPr>
              <w:t>)</w:t>
            </w:r>
          </w:p>
        </w:tc>
        <w:tc>
          <w:tcPr>
            <w:tcW w:w="1480" w:type="dxa"/>
          </w:tcPr>
          <w:p w:rsidR="006205CF" w:rsidRPr="006205CF" w:rsidRDefault="006205CF" w:rsidP="006205CF">
            <w:pPr>
              <w:jc w:val="center"/>
              <w:rPr>
                <w:sz w:val="20"/>
              </w:rPr>
            </w:pPr>
            <w:r w:rsidRPr="006205CF">
              <w:rPr>
                <w:sz w:val="20"/>
              </w:rPr>
              <w:t>92,43</w:t>
            </w:r>
          </w:p>
        </w:tc>
      </w:tr>
      <w:tr w:rsidR="006205CF" w:rsidRPr="00B01ABC" w:rsidTr="006205CF">
        <w:tc>
          <w:tcPr>
            <w:tcW w:w="1211" w:type="dxa"/>
            <w:vMerge/>
            <w:tcBorders>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p>
        </w:tc>
        <w:tc>
          <w:tcPr>
            <w:tcW w:w="5921" w:type="dxa"/>
            <w:tcBorders>
              <w:left w:val="nil"/>
            </w:tcBorders>
          </w:tcPr>
          <w:p w:rsidR="006205CF" w:rsidRPr="0034357D" w:rsidRDefault="006205CF" w:rsidP="00702E60">
            <w:pPr>
              <w:rPr>
                <w:sz w:val="20"/>
              </w:rPr>
            </w:pPr>
            <w:r w:rsidRPr="0034357D">
              <w:rPr>
                <w:sz w:val="20"/>
              </w:rPr>
              <w:t>Tasa de congestión ((pendientes a 31/12/20</w:t>
            </w:r>
            <w:r w:rsidR="00702E60">
              <w:rPr>
                <w:sz w:val="20"/>
              </w:rPr>
              <w:t>20</w:t>
            </w:r>
            <w:r w:rsidRPr="0034357D">
              <w:rPr>
                <w:sz w:val="20"/>
              </w:rPr>
              <w:t xml:space="preserve"> + entradas 202</w:t>
            </w:r>
            <w:r w:rsidR="00702E60">
              <w:rPr>
                <w:sz w:val="20"/>
              </w:rPr>
              <w:t>1</w:t>
            </w:r>
            <w:r w:rsidRPr="0034357D">
              <w:rPr>
                <w:sz w:val="20"/>
              </w:rPr>
              <w:t>) / tramitadas)</w:t>
            </w:r>
          </w:p>
        </w:tc>
        <w:tc>
          <w:tcPr>
            <w:tcW w:w="1480" w:type="dxa"/>
          </w:tcPr>
          <w:p w:rsidR="006205CF" w:rsidRPr="006205CF" w:rsidRDefault="006205CF" w:rsidP="006205CF">
            <w:pPr>
              <w:jc w:val="center"/>
              <w:rPr>
                <w:sz w:val="20"/>
              </w:rPr>
            </w:pPr>
            <w:r w:rsidRPr="006205CF">
              <w:rPr>
                <w:sz w:val="20"/>
              </w:rPr>
              <w:t>114,71</w:t>
            </w:r>
          </w:p>
        </w:tc>
      </w:tr>
      <w:tr w:rsidR="006205CF" w:rsidRPr="00B01ABC" w:rsidTr="006205CF">
        <w:tc>
          <w:tcPr>
            <w:tcW w:w="1211" w:type="dxa"/>
            <w:vMerge/>
            <w:tcBorders>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p>
        </w:tc>
        <w:tc>
          <w:tcPr>
            <w:tcW w:w="5921" w:type="dxa"/>
            <w:tcBorders>
              <w:left w:val="nil"/>
            </w:tcBorders>
          </w:tcPr>
          <w:p w:rsidR="006205CF" w:rsidRPr="0034357D" w:rsidRDefault="006205CF" w:rsidP="00A301DD">
            <w:pPr>
              <w:rPr>
                <w:sz w:val="20"/>
              </w:rPr>
            </w:pPr>
            <w:r w:rsidRPr="0034357D">
              <w:rPr>
                <w:sz w:val="20"/>
              </w:rPr>
              <w:t>Tiempo medio estimado para la tramitación de las solicitudes pendientes (pendientes a 31/12/202</w:t>
            </w:r>
            <w:r w:rsidR="00A301DD">
              <w:rPr>
                <w:sz w:val="20"/>
              </w:rPr>
              <w:t>1</w:t>
            </w:r>
            <w:r w:rsidRPr="0034357D">
              <w:rPr>
                <w:sz w:val="20"/>
              </w:rPr>
              <w:t xml:space="preserve"> / tramitadas)*365 </w:t>
            </w:r>
          </w:p>
        </w:tc>
        <w:tc>
          <w:tcPr>
            <w:tcW w:w="1480" w:type="dxa"/>
          </w:tcPr>
          <w:p w:rsidR="006205CF" w:rsidRPr="006205CF" w:rsidRDefault="006205CF" w:rsidP="006205CF">
            <w:pPr>
              <w:jc w:val="center"/>
              <w:rPr>
                <w:sz w:val="20"/>
              </w:rPr>
            </w:pPr>
            <w:r w:rsidRPr="006205CF">
              <w:rPr>
                <w:sz w:val="20"/>
              </w:rPr>
              <w:t>53,68</w:t>
            </w:r>
          </w:p>
        </w:tc>
      </w:tr>
      <w:tr w:rsidR="006205CF" w:rsidRPr="00B01ABC" w:rsidTr="006205CF">
        <w:tc>
          <w:tcPr>
            <w:tcW w:w="1211" w:type="dxa"/>
            <w:vMerge/>
            <w:tcBorders>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p>
        </w:tc>
        <w:tc>
          <w:tcPr>
            <w:tcW w:w="5921" w:type="dxa"/>
            <w:tcBorders>
              <w:left w:val="nil"/>
            </w:tcBorders>
          </w:tcPr>
          <w:p w:rsidR="006205CF" w:rsidRPr="0034357D" w:rsidRDefault="006205CF" w:rsidP="006469F3">
            <w:pPr>
              <w:rPr>
                <w:sz w:val="20"/>
              </w:rPr>
            </w:pPr>
            <w:r w:rsidRPr="0034357D">
              <w:rPr>
                <w:sz w:val="20"/>
              </w:rPr>
              <w:t>Tasa de admisión (admitidas/tramitadas)</w:t>
            </w:r>
          </w:p>
        </w:tc>
        <w:tc>
          <w:tcPr>
            <w:tcW w:w="1480" w:type="dxa"/>
          </w:tcPr>
          <w:p w:rsidR="006205CF" w:rsidRPr="006205CF" w:rsidRDefault="006205CF" w:rsidP="006205CF">
            <w:pPr>
              <w:jc w:val="center"/>
              <w:rPr>
                <w:sz w:val="20"/>
              </w:rPr>
            </w:pPr>
            <w:r w:rsidRPr="006205CF">
              <w:rPr>
                <w:sz w:val="20"/>
              </w:rPr>
              <w:t>84,51</w:t>
            </w:r>
          </w:p>
        </w:tc>
      </w:tr>
      <w:tr w:rsidR="006205CF" w:rsidRPr="00B01ABC" w:rsidTr="006205CF">
        <w:tc>
          <w:tcPr>
            <w:tcW w:w="1211" w:type="dxa"/>
            <w:vMerge/>
            <w:tcBorders>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p>
        </w:tc>
        <w:tc>
          <w:tcPr>
            <w:tcW w:w="5921" w:type="dxa"/>
            <w:tcBorders>
              <w:left w:val="nil"/>
            </w:tcBorders>
          </w:tcPr>
          <w:p w:rsidR="006205CF" w:rsidRPr="0034357D" w:rsidRDefault="006205CF" w:rsidP="006469F3">
            <w:pPr>
              <w:rPr>
                <w:sz w:val="20"/>
              </w:rPr>
            </w:pPr>
            <w:r w:rsidRPr="0034357D">
              <w:rPr>
                <w:sz w:val="20"/>
              </w:rPr>
              <w:t>Tasa de inadmisión (inadmitidas/ tramitadas)</w:t>
            </w:r>
          </w:p>
        </w:tc>
        <w:tc>
          <w:tcPr>
            <w:tcW w:w="1480" w:type="dxa"/>
          </w:tcPr>
          <w:p w:rsidR="006205CF" w:rsidRPr="006205CF" w:rsidRDefault="006205CF" w:rsidP="006205CF">
            <w:pPr>
              <w:jc w:val="center"/>
              <w:rPr>
                <w:sz w:val="20"/>
              </w:rPr>
            </w:pPr>
            <w:r w:rsidRPr="006205CF">
              <w:rPr>
                <w:sz w:val="20"/>
              </w:rPr>
              <w:t>15,49</w:t>
            </w:r>
          </w:p>
        </w:tc>
      </w:tr>
      <w:tr w:rsidR="006205CF" w:rsidRPr="00B01ABC" w:rsidTr="006205CF">
        <w:tc>
          <w:tcPr>
            <w:tcW w:w="1211" w:type="dxa"/>
            <w:vMerge/>
            <w:tcBorders>
              <w:right w:val="nil"/>
            </w:tcBorders>
            <w:shd w:val="clear" w:color="auto" w:fill="438086" w:themeFill="accent2"/>
            <w:textDirection w:val="btLr"/>
          </w:tcPr>
          <w:p w:rsidR="006205CF" w:rsidRPr="00B01ABC" w:rsidRDefault="006205CF" w:rsidP="006469F3">
            <w:pPr>
              <w:ind w:left="113" w:right="113"/>
              <w:jc w:val="center"/>
              <w:rPr>
                <w:b/>
                <w:color w:val="FFFFFF" w:themeColor="background1"/>
                <w:sz w:val="20"/>
              </w:rPr>
            </w:pPr>
          </w:p>
        </w:tc>
        <w:tc>
          <w:tcPr>
            <w:tcW w:w="5921" w:type="dxa"/>
            <w:tcBorders>
              <w:left w:val="nil"/>
            </w:tcBorders>
          </w:tcPr>
          <w:p w:rsidR="006205CF" w:rsidRPr="0034357D" w:rsidRDefault="006205CF" w:rsidP="006469F3">
            <w:pPr>
              <w:rPr>
                <w:sz w:val="20"/>
              </w:rPr>
            </w:pPr>
            <w:r w:rsidRPr="0034357D">
              <w:rPr>
                <w:sz w:val="20"/>
              </w:rPr>
              <w:t>Tasa de archivo (archivadas/tramitadas)</w:t>
            </w:r>
          </w:p>
        </w:tc>
        <w:tc>
          <w:tcPr>
            <w:tcW w:w="1480" w:type="dxa"/>
          </w:tcPr>
          <w:p w:rsidR="006205CF" w:rsidRPr="006205CF" w:rsidRDefault="006205CF" w:rsidP="006205CF">
            <w:pPr>
              <w:jc w:val="center"/>
              <w:rPr>
                <w:sz w:val="20"/>
              </w:rPr>
            </w:pPr>
            <w:r w:rsidRPr="006205CF">
              <w:rPr>
                <w:sz w:val="20"/>
              </w:rPr>
              <w:t>0,00</w:t>
            </w:r>
          </w:p>
        </w:tc>
      </w:tr>
    </w:tbl>
    <w:p w:rsidR="006469F3" w:rsidRDefault="006469F3" w:rsidP="006469F3"/>
    <w:p w:rsidR="006205CF" w:rsidRDefault="006205CF" w:rsidP="006205CF">
      <w:r>
        <w:t>Respecto de 2021 y aunque se ha reducido el número de solicitudes gestionadas y tramitadas por persona (-</w:t>
      </w:r>
      <w:r w:rsidR="007A7474">
        <w:t>6,50 y –6,52 p.p., respectivamente), los restantes indicadores presentan una evolución negativa: se tramita un 5,6% menos de solicitudes, la tasa de pendencia ha aumentado más del 231% y el tiempo medio estimado para la resolución de las solicitudes pendientes a fin de año ha aumentado en más de 37 días naturales. Por otra parte, también disminuye la tasa de admisión: - 5%.</w:t>
      </w:r>
    </w:p>
    <w:p w:rsidR="006205CF" w:rsidRDefault="006205CF" w:rsidP="006469F3">
      <w:pPr>
        <w:rPr>
          <w:rFonts w:asciiTheme="majorHAnsi" w:hAnsiTheme="majorHAnsi"/>
          <w:color w:val="438086" w:themeColor="accent2"/>
          <w:szCs w:val="24"/>
        </w:rPr>
      </w:pPr>
    </w:p>
    <w:p w:rsidR="006469F3" w:rsidRPr="0019120F" w:rsidRDefault="006469F3" w:rsidP="006469F3">
      <w:pPr>
        <w:rPr>
          <w:rFonts w:asciiTheme="majorHAnsi" w:hAnsiTheme="majorHAnsi"/>
          <w:color w:val="438086" w:themeColor="accent2"/>
          <w:szCs w:val="24"/>
        </w:rPr>
      </w:pPr>
      <w:r w:rsidRPr="0019120F">
        <w:rPr>
          <w:rFonts w:asciiTheme="majorHAnsi" w:hAnsiTheme="majorHAnsi"/>
          <w:color w:val="438086" w:themeColor="accent2"/>
          <w:szCs w:val="24"/>
        </w:rPr>
        <w:t xml:space="preserve">Resoluciones </w:t>
      </w:r>
      <w:r w:rsidR="007A7474">
        <w:rPr>
          <w:rFonts w:asciiTheme="majorHAnsi" w:hAnsiTheme="majorHAnsi"/>
          <w:color w:val="438086" w:themeColor="accent2"/>
          <w:szCs w:val="24"/>
        </w:rPr>
        <w:t>dictadas</w:t>
      </w:r>
      <w:r w:rsidRPr="0019120F">
        <w:rPr>
          <w:rFonts w:asciiTheme="majorHAnsi" w:hAnsiTheme="majorHAnsi"/>
          <w:color w:val="438086" w:themeColor="accent2"/>
          <w:szCs w:val="24"/>
        </w:rPr>
        <w:t xml:space="preserve"> en 202</w:t>
      </w:r>
      <w:r w:rsidR="007A7474">
        <w:rPr>
          <w:rFonts w:asciiTheme="majorHAnsi" w:hAnsiTheme="majorHAnsi"/>
          <w:color w:val="438086" w:themeColor="accent2"/>
          <w:szCs w:val="24"/>
        </w:rPr>
        <w:t>1</w:t>
      </w:r>
    </w:p>
    <w:p w:rsidR="00F27CB0" w:rsidRDefault="00146504" w:rsidP="00146504">
      <w:pPr>
        <w:rPr>
          <w:rFonts w:eastAsia="Times New Roman" w:cs="Times New Roman"/>
          <w:bCs/>
          <w:szCs w:val="22"/>
          <w:lang w:bidi="es-ES"/>
        </w:rPr>
      </w:pPr>
      <w:r w:rsidRPr="00CD6DDF">
        <w:rPr>
          <w:rFonts w:eastAsia="Times New Roman" w:cs="Times New Roman"/>
          <w:bCs/>
          <w:szCs w:val="22"/>
          <w:lang w:bidi="es-ES"/>
        </w:rPr>
        <w:t xml:space="preserve">Respecto de las resoluciones </w:t>
      </w:r>
      <w:r w:rsidR="007A7474">
        <w:rPr>
          <w:rFonts w:eastAsia="Times New Roman" w:cs="Times New Roman"/>
          <w:bCs/>
          <w:szCs w:val="22"/>
          <w:lang w:bidi="es-ES"/>
        </w:rPr>
        <w:t>dictadas</w:t>
      </w:r>
      <w:r w:rsidRPr="00CD6DDF">
        <w:rPr>
          <w:rFonts w:eastAsia="Times New Roman" w:cs="Times New Roman"/>
          <w:bCs/>
          <w:szCs w:val="22"/>
          <w:lang w:bidi="es-ES"/>
        </w:rPr>
        <w:t xml:space="preserve"> en 202</w:t>
      </w:r>
      <w:r w:rsidR="007A7474">
        <w:rPr>
          <w:rFonts w:eastAsia="Times New Roman" w:cs="Times New Roman"/>
          <w:bCs/>
          <w:szCs w:val="22"/>
          <w:lang w:bidi="es-ES"/>
        </w:rPr>
        <w:t>1</w:t>
      </w:r>
      <w:r w:rsidRPr="00CD6DDF">
        <w:rPr>
          <w:rFonts w:eastAsia="Times New Roman" w:cs="Times New Roman"/>
          <w:bCs/>
          <w:szCs w:val="22"/>
          <w:lang w:bidi="es-ES"/>
        </w:rPr>
        <w:t xml:space="preserve">, </w:t>
      </w:r>
      <w:r w:rsidR="00967D72">
        <w:rPr>
          <w:rFonts w:eastAsia="Times New Roman" w:cs="Times New Roman"/>
          <w:bCs/>
          <w:szCs w:val="22"/>
          <w:lang w:bidi="es-ES"/>
        </w:rPr>
        <w:t>77</w:t>
      </w:r>
      <w:r w:rsidR="00181303">
        <w:rPr>
          <w:rFonts w:eastAsia="Times New Roman" w:cs="Times New Roman"/>
          <w:bCs/>
          <w:szCs w:val="22"/>
          <w:lang w:bidi="es-ES"/>
        </w:rPr>
        <w:t xml:space="preserve"> </w:t>
      </w:r>
      <w:r w:rsidRPr="00CD6DDF">
        <w:rPr>
          <w:rFonts w:eastAsia="Times New Roman" w:cs="Times New Roman"/>
          <w:bCs/>
          <w:szCs w:val="22"/>
          <w:lang w:bidi="es-ES"/>
        </w:rPr>
        <w:t>concedieron la información</w:t>
      </w:r>
      <w:r>
        <w:rPr>
          <w:rFonts w:eastAsia="Times New Roman" w:cs="Times New Roman"/>
          <w:bCs/>
          <w:szCs w:val="22"/>
          <w:lang w:bidi="es-ES"/>
        </w:rPr>
        <w:t>;</w:t>
      </w:r>
      <w:r w:rsidRPr="00CD6DDF">
        <w:rPr>
          <w:rFonts w:eastAsia="Times New Roman" w:cs="Times New Roman"/>
          <w:bCs/>
          <w:szCs w:val="22"/>
          <w:lang w:bidi="es-ES"/>
        </w:rPr>
        <w:t xml:space="preserve"> de </w:t>
      </w:r>
      <w:r w:rsidR="00967D72">
        <w:rPr>
          <w:rFonts w:eastAsia="Times New Roman" w:cs="Times New Roman"/>
          <w:bCs/>
          <w:szCs w:val="22"/>
          <w:lang w:bidi="es-ES"/>
        </w:rPr>
        <w:t>ellas</w:t>
      </w:r>
      <w:r>
        <w:rPr>
          <w:rFonts w:eastAsia="Times New Roman" w:cs="Times New Roman"/>
          <w:bCs/>
          <w:szCs w:val="22"/>
          <w:lang w:bidi="es-ES"/>
        </w:rPr>
        <w:t>,</w:t>
      </w:r>
      <w:r w:rsidRPr="00CD6DDF">
        <w:rPr>
          <w:rFonts w:eastAsia="Times New Roman" w:cs="Times New Roman"/>
          <w:bCs/>
          <w:szCs w:val="22"/>
          <w:lang w:bidi="es-ES"/>
        </w:rPr>
        <w:t xml:space="preserve"> </w:t>
      </w:r>
      <w:r w:rsidR="00967D72">
        <w:rPr>
          <w:rFonts w:eastAsia="Times New Roman" w:cs="Times New Roman"/>
          <w:bCs/>
          <w:szCs w:val="22"/>
          <w:lang w:bidi="es-ES"/>
        </w:rPr>
        <w:t>63</w:t>
      </w:r>
      <w:r w:rsidR="006E01D9">
        <w:rPr>
          <w:rFonts w:eastAsia="Times New Roman" w:cs="Times New Roman"/>
          <w:bCs/>
          <w:szCs w:val="22"/>
          <w:lang w:bidi="es-ES"/>
        </w:rPr>
        <w:t xml:space="preserve"> </w:t>
      </w:r>
      <w:r w:rsidRPr="00CD6DDF">
        <w:rPr>
          <w:rFonts w:eastAsia="Times New Roman" w:cs="Times New Roman"/>
          <w:bCs/>
          <w:szCs w:val="22"/>
          <w:lang w:bidi="es-ES"/>
        </w:rPr>
        <w:t xml:space="preserve">dieron acceso total y </w:t>
      </w:r>
      <w:r w:rsidR="00967D72">
        <w:rPr>
          <w:rFonts w:eastAsia="Times New Roman" w:cs="Times New Roman"/>
          <w:bCs/>
          <w:szCs w:val="22"/>
          <w:lang w:bidi="es-ES"/>
        </w:rPr>
        <w:t>14</w:t>
      </w:r>
      <w:r w:rsidR="00337289">
        <w:rPr>
          <w:rFonts w:eastAsia="Times New Roman" w:cs="Times New Roman"/>
          <w:bCs/>
          <w:szCs w:val="22"/>
          <w:lang w:bidi="es-ES"/>
        </w:rPr>
        <w:t xml:space="preserve"> acceso</w:t>
      </w:r>
      <w:r w:rsidRPr="00CD6DDF">
        <w:rPr>
          <w:rFonts w:eastAsia="Times New Roman" w:cs="Times New Roman"/>
          <w:bCs/>
          <w:szCs w:val="22"/>
          <w:lang w:bidi="es-ES"/>
        </w:rPr>
        <w:t xml:space="preserve"> parcial</w:t>
      </w:r>
      <w:r w:rsidR="00967D72">
        <w:rPr>
          <w:rFonts w:eastAsia="Times New Roman" w:cs="Times New Roman"/>
          <w:bCs/>
          <w:szCs w:val="22"/>
          <w:lang w:bidi="es-ES"/>
        </w:rPr>
        <w:t xml:space="preserve"> a la información solicitada</w:t>
      </w:r>
      <w:r w:rsidRPr="00CD6DDF">
        <w:rPr>
          <w:rFonts w:eastAsia="Times New Roman" w:cs="Times New Roman"/>
          <w:bCs/>
          <w:szCs w:val="22"/>
          <w:lang w:bidi="es-ES"/>
        </w:rPr>
        <w:t xml:space="preserve">. </w:t>
      </w:r>
      <w:r>
        <w:rPr>
          <w:rFonts w:eastAsia="Times New Roman" w:cs="Times New Roman"/>
          <w:bCs/>
          <w:szCs w:val="22"/>
          <w:lang w:bidi="es-ES"/>
        </w:rPr>
        <w:t xml:space="preserve">Fueron denegadas </w:t>
      </w:r>
      <w:r w:rsidR="00967D72">
        <w:rPr>
          <w:rFonts w:eastAsia="Times New Roman" w:cs="Times New Roman"/>
          <w:bCs/>
          <w:szCs w:val="22"/>
          <w:lang w:bidi="es-ES"/>
        </w:rPr>
        <w:t>9</w:t>
      </w:r>
      <w:r>
        <w:rPr>
          <w:rFonts w:eastAsia="Times New Roman" w:cs="Times New Roman"/>
          <w:bCs/>
          <w:szCs w:val="22"/>
          <w:lang w:bidi="es-ES"/>
        </w:rPr>
        <w:t xml:space="preserve"> </w:t>
      </w:r>
      <w:r w:rsidRPr="00CD6DDF">
        <w:rPr>
          <w:rFonts w:eastAsia="Times New Roman" w:cs="Times New Roman"/>
          <w:bCs/>
          <w:szCs w:val="22"/>
          <w:lang w:bidi="es-ES"/>
        </w:rPr>
        <w:t>solicitudes</w:t>
      </w:r>
      <w:r w:rsidR="002C5AAC">
        <w:rPr>
          <w:rFonts w:eastAsia="Times New Roman" w:cs="Times New Roman"/>
          <w:bCs/>
          <w:szCs w:val="22"/>
          <w:lang w:bidi="es-ES"/>
        </w:rPr>
        <w:t xml:space="preserve">. La totalidad de las </w:t>
      </w:r>
      <w:r w:rsidR="00967D72">
        <w:rPr>
          <w:rFonts w:eastAsia="Times New Roman" w:cs="Times New Roman"/>
          <w:bCs/>
          <w:szCs w:val="22"/>
          <w:lang w:bidi="es-ES"/>
        </w:rPr>
        <w:t>9</w:t>
      </w:r>
      <w:r w:rsidR="002C5AAC">
        <w:rPr>
          <w:rFonts w:eastAsia="Times New Roman" w:cs="Times New Roman"/>
          <w:bCs/>
          <w:szCs w:val="22"/>
          <w:lang w:bidi="es-ES"/>
        </w:rPr>
        <w:t xml:space="preserve"> resoluciones </w:t>
      </w:r>
      <w:r w:rsidR="00967D72">
        <w:rPr>
          <w:rFonts w:eastAsia="Times New Roman" w:cs="Times New Roman"/>
          <w:bCs/>
          <w:szCs w:val="22"/>
          <w:lang w:bidi="es-ES"/>
        </w:rPr>
        <w:t>desestimatorias</w:t>
      </w:r>
      <w:r w:rsidR="002C5AAC">
        <w:rPr>
          <w:rFonts w:eastAsia="Times New Roman" w:cs="Times New Roman"/>
          <w:bCs/>
          <w:szCs w:val="22"/>
          <w:lang w:bidi="es-ES"/>
        </w:rPr>
        <w:t>, lo fueron</w:t>
      </w:r>
      <w:r w:rsidR="0085543A">
        <w:rPr>
          <w:rFonts w:eastAsia="Times New Roman" w:cs="Times New Roman"/>
          <w:bCs/>
          <w:szCs w:val="22"/>
          <w:lang w:bidi="es-ES"/>
        </w:rPr>
        <w:t xml:space="preserve"> </w:t>
      </w:r>
      <w:r w:rsidR="00A301DD">
        <w:rPr>
          <w:rFonts w:eastAsia="Times New Roman" w:cs="Times New Roman"/>
          <w:bCs/>
          <w:szCs w:val="22"/>
          <w:lang w:bidi="es-ES"/>
        </w:rPr>
        <w:t>por</w:t>
      </w:r>
      <w:r w:rsidR="0085543A">
        <w:rPr>
          <w:rFonts w:eastAsia="Times New Roman" w:cs="Times New Roman"/>
          <w:bCs/>
          <w:szCs w:val="22"/>
          <w:lang w:bidi="es-ES"/>
        </w:rPr>
        <w:t xml:space="preserve"> aplicación de </w:t>
      </w:r>
      <w:r>
        <w:rPr>
          <w:rFonts w:eastAsia="Times New Roman" w:cs="Times New Roman"/>
          <w:bCs/>
          <w:szCs w:val="22"/>
          <w:lang w:bidi="es-ES"/>
        </w:rPr>
        <w:t xml:space="preserve"> los límites del artículo 14</w:t>
      </w:r>
      <w:r w:rsidR="00040795">
        <w:rPr>
          <w:rFonts w:eastAsia="Times New Roman" w:cs="Times New Roman"/>
          <w:bCs/>
          <w:szCs w:val="22"/>
          <w:lang w:bidi="es-ES"/>
        </w:rPr>
        <w:t xml:space="preserve">. </w:t>
      </w:r>
      <w:r w:rsidR="00967D72">
        <w:rPr>
          <w:rFonts w:eastAsia="Times New Roman" w:cs="Times New Roman"/>
          <w:bCs/>
          <w:szCs w:val="22"/>
          <w:lang w:bidi="es-ES"/>
        </w:rPr>
        <w:t xml:space="preserve">En un caso se aplicó el límite del artículo </w:t>
      </w:r>
      <w:proofErr w:type="spellStart"/>
      <w:r w:rsidR="00967D72">
        <w:rPr>
          <w:rFonts w:eastAsia="Times New Roman" w:cs="Times New Roman"/>
          <w:bCs/>
          <w:szCs w:val="22"/>
          <w:lang w:bidi="es-ES"/>
        </w:rPr>
        <w:t>14.1.e</w:t>
      </w:r>
      <w:proofErr w:type="spellEnd"/>
      <w:r w:rsidR="00967D72">
        <w:rPr>
          <w:rFonts w:eastAsia="Times New Roman" w:cs="Times New Roman"/>
          <w:bCs/>
          <w:szCs w:val="22"/>
          <w:lang w:bidi="es-ES"/>
        </w:rPr>
        <w:t>) (p</w:t>
      </w:r>
      <w:r w:rsidR="00967D72" w:rsidRPr="00967D72">
        <w:rPr>
          <w:rFonts w:eastAsia="Times New Roman" w:cs="Times New Roman"/>
          <w:bCs/>
          <w:szCs w:val="22"/>
          <w:lang w:bidi="es-ES"/>
        </w:rPr>
        <w:t>revención, investigación y sanción de los ilícitos penales, administrativos o disciplinarios</w:t>
      </w:r>
      <w:r w:rsidR="00967D72">
        <w:rPr>
          <w:rFonts w:eastAsia="Times New Roman" w:cs="Times New Roman"/>
          <w:bCs/>
          <w:szCs w:val="22"/>
          <w:lang w:bidi="es-ES"/>
        </w:rPr>
        <w:t xml:space="preserve">) y las 8 restantes </w:t>
      </w:r>
      <w:r w:rsidR="0034357D">
        <w:rPr>
          <w:rFonts w:eastAsia="Times New Roman" w:cs="Times New Roman"/>
          <w:bCs/>
          <w:szCs w:val="22"/>
          <w:lang w:bidi="es-ES"/>
        </w:rPr>
        <w:t xml:space="preserve">fueron desestimadas </w:t>
      </w:r>
      <w:r w:rsidR="00967D72">
        <w:rPr>
          <w:rFonts w:eastAsia="Times New Roman" w:cs="Times New Roman"/>
          <w:bCs/>
          <w:szCs w:val="22"/>
          <w:lang w:bidi="es-ES"/>
        </w:rPr>
        <w:t xml:space="preserve">por aplicación del límite contemplado en el artículo </w:t>
      </w:r>
      <w:proofErr w:type="spellStart"/>
      <w:r w:rsidR="00967D72">
        <w:rPr>
          <w:rFonts w:eastAsia="Times New Roman" w:cs="Times New Roman"/>
          <w:bCs/>
          <w:szCs w:val="22"/>
          <w:lang w:bidi="es-ES"/>
        </w:rPr>
        <w:t>14.1.h</w:t>
      </w:r>
      <w:proofErr w:type="spellEnd"/>
      <w:r w:rsidR="00967D72">
        <w:rPr>
          <w:rFonts w:eastAsia="Times New Roman" w:cs="Times New Roman"/>
          <w:bCs/>
          <w:szCs w:val="22"/>
          <w:lang w:bidi="es-ES"/>
        </w:rPr>
        <w:t>) (intereses económicos y comerciales).</w:t>
      </w:r>
    </w:p>
    <w:p w:rsidR="00146504" w:rsidRDefault="00146504" w:rsidP="00146504">
      <w:pPr>
        <w:spacing w:before="120" w:after="120"/>
        <w:rPr>
          <w:rFonts w:eastAsia="Times New Roman" w:cs="Times New Roman"/>
          <w:bCs/>
          <w:szCs w:val="22"/>
          <w:lang w:bidi="es-ES"/>
        </w:rPr>
      </w:pPr>
      <w:r>
        <w:rPr>
          <w:rFonts w:eastAsia="Times New Roman" w:cs="Times New Roman"/>
          <w:bCs/>
          <w:szCs w:val="22"/>
          <w:lang w:bidi="es-ES"/>
        </w:rPr>
        <w:t xml:space="preserve">Sólo </w:t>
      </w:r>
      <w:r w:rsidR="00040795">
        <w:rPr>
          <w:rFonts w:eastAsia="Times New Roman" w:cs="Times New Roman"/>
          <w:bCs/>
          <w:szCs w:val="22"/>
          <w:lang w:bidi="es-ES"/>
        </w:rPr>
        <w:t xml:space="preserve">una de las </w:t>
      </w:r>
      <w:r w:rsidR="00967D72">
        <w:rPr>
          <w:rFonts w:eastAsia="Times New Roman" w:cs="Times New Roman"/>
          <w:bCs/>
          <w:szCs w:val="22"/>
          <w:lang w:bidi="es-ES"/>
        </w:rPr>
        <w:t>25</w:t>
      </w:r>
      <w:r>
        <w:rPr>
          <w:rFonts w:eastAsia="Times New Roman" w:cs="Times New Roman"/>
          <w:bCs/>
          <w:szCs w:val="22"/>
          <w:lang w:bidi="es-ES"/>
        </w:rPr>
        <w:t xml:space="preserve"> </w:t>
      </w:r>
      <w:r w:rsidR="006E01D9">
        <w:rPr>
          <w:rFonts w:eastAsia="Times New Roman" w:cs="Times New Roman"/>
          <w:bCs/>
          <w:szCs w:val="22"/>
          <w:lang w:bidi="es-ES"/>
        </w:rPr>
        <w:t>organizaciones</w:t>
      </w:r>
      <w:r>
        <w:rPr>
          <w:rFonts w:eastAsia="Times New Roman" w:cs="Times New Roman"/>
          <w:bCs/>
          <w:szCs w:val="22"/>
          <w:lang w:bidi="es-ES"/>
        </w:rPr>
        <w:t xml:space="preserve"> evaluadas publica en su web institucional</w:t>
      </w:r>
      <w:r w:rsidRPr="00CD6DDF">
        <w:rPr>
          <w:rFonts w:eastAsia="Times New Roman" w:cs="Times New Roman"/>
          <w:bCs/>
          <w:szCs w:val="22"/>
          <w:lang w:bidi="es-ES"/>
        </w:rPr>
        <w:t xml:space="preserve"> las solicitudes denegadas por aplicación de los límites del artículo 14 de la LTAIBG</w:t>
      </w:r>
      <w:r>
        <w:rPr>
          <w:rFonts w:eastAsia="Times New Roman" w:cs="Times New Roman"/>
          <w:bCs/>
          <w:szCs w:val="22"/>
          <w:lang w:bidi="es-ES"/>
        </w:rPr>
        <w:t>.</w:t>
      </w:r>
      <w:r w:rsidRPr="00CD6DDF">
        <w:rPr>
          <w:rFonts w:eastAsia="Times New Roman" w:cs="Times New Roman"/>
          <w:bCs/>
          <w:szCs w:val="22"/>
          <w:lang w:bidi="es-ES"/>
        </w:rPr>
        <w:t xml:space="preserve"> </w:t>
      </w:r>
    </w:p>
    <w:p w:rsidR="00967D72" w:rsidRDefault="00967D72" w:rsidP="006469F3">
      <w:pPr>
        <w:rPr>
          <w:rFonts w:asciiTheme="majorHAnsi" w:hAnsiTheme="majorHAnsi"/>
          <w:color w:val="438086" w:themeColor="accent2"/>
          <w:szCs w:val="24"/>
        </w:rPr>
      </w:pPr>
    </w:p>
    <w:p w:rsidR="006469F3" w:rsidRPr="0019120F" w:rsidRDefault="006469F3" w:rsidP="006469F3">
      <w:pPr>
        <w:rPr>
          <w:rFonts w:asciiTheme="majorHAnsi" w:hAnsiTheme="majorHAnsi"/>
          <w:color w:val="438086" w:themeColor="accent2"/>
          <w:szCs w:val="24"/>
        </w:rPr>
      </w:pPr>
      <w:r w:rsidRPr="0019120F">
        <w:rPr>
          <w:rFonts w:asciiTheme="majorHAnsi" w:hAnsiTheme="majorHAnsi"/>
          <w:color w:val="438086" w:themeColor="accent2"/>
          <w:szCs w:val="24"/>
        </w:rPr>
        <w:t>Indicadores de resolución en 202</w:t>
      </w:r>
      <w:r w:rsidR="00967D72">
        <w:rPr>
          <w:rFonts w:asciiTheme="majorHAnsi" w:hAnsiTheme="majorHAnsi"/>
          <w:color w:val="438086" w:themeColor="accent2"/>
          <w:szCs w:val="24"/>
        </w:rPr>
        <w:t>1</w:t>
      </w:r>
    </w:p>
    <w:p w:rsidR="006E01D9" w:rsidRPr="00E64EFF" w:rsidRDefault="006E01D9" w:rsidP="006E01D9">
      <w:pPr>
        <w:rPr>
          <w:rFonts w:eastAsia="Times New Roman" w:cs="Times New Roman"/>
          <w:szCs w:val="22"/>
        </w:rPr>
      </w:pPr>
      <w:r>
        <w:rPr>
          <w:rFonts w:eastAsia="Times New Roman" w:cs="Times New Roman"/>
          <w:szCs w:val="22"/>
        </w:rPr>
        <w:t>Se</w:t>
      </w:r>
      <w:r w:rsidRPr="00E64EFF">
        <w:rPr>
          <w:rFonts w:eastAsia="Times New Roman" w:cs="Times New Roman"/>
          <w:szCs w:val="22"/>
        </w:rPr>
        <w:t xml:space="preserve"> emite resoluci</w:t>
      </w:r>
      <w:r>
        <w:rPr>
          <w:rFonts w:eastAsia="Times New Roman" w:cs="Times New Roman"/>
          <w:szCs w:val="22"/>
        </w:rPr>
        <w:t>ón</w:t>
      </w:r>
      <w:r w:rsidRPr="00E64EFF">
        <w:rPr>
          <w:rFonts w:eastAsia="Times New Roman" w:cs="Times New Roman"/>
          <w:szCs w:val="22"/>
        </w:rPr>
        <w:t xml:space="preserve"> expresa para </w:t>
      </w:r>
      <w:r w:rsidR="00047055">
        <w:rPr>
          <w:rFonts w:eastAsia="Times New Roman" w:cs="Times New Roman"/>
          <w:szCs w:val="22"/>
        </w:rPr>
        <w:t>85,7</w:t>
      </w:r>
      <w:r>
        <w:rPr>
          <w:rFonts w:eastAsia="Times New Roman" w:cs="Times New Roman"/>
          <w:szCs w:val="22"/>
        </w:rPr>
        <w:t>%</w:t>
      </w:r>
      <w:r w:rsidRPr="00E64EFF">
        <w:rPr>
          <w:rFonts w:eastAsia="Times New Roman" w:cs="Times New Roman"/>
          <w:szCs w:val="22"/>
        </w:rPr>
        <w:t xml:space="preserve"> de las solicitudes admitidas. </w:t>
      </w:r>
      <w:r w:rsidR="00047055">
        <w:rPr>
          <w:rFonts w:eastAsia="Times New Roman" w:cs="Times New Roman"/>
          <w:szCs w:val="22"/>
        </w:rPr>
        <w:t xml:space="preserve">El 10% de las </w:t>
      </w:r>
      <w:r w:rsidRPr="00E64EFF">
        <w:rPr>
          <w:rFonts w:eastAsia="Times New Roman" w:cs="Times New Roman"/>
          <w:szCs w:val="22"/>
        </w:rPr>
        <w:t>solicitud</w:t>
      </w:r>
      <w:r w:rsidR="00047055">
        <w:rPr>
          <w:rFonts w:eastAsia="Times New Roman" w:cs="Times New Roman"/>
          <w:szCs w:val="22"/>
        </w:rPr>
        <w:t xml:space="preserve">es admitidas a trámite se ha </w:t>
      </w:r>
      <w:r w:rsidRPr="00E64EFF">
        <w:rPr>
          <w:rFonts w:eastAsia="Times New Roman" w:cs="Times New Roman"/>
          <w:szCs w:val="22"/>
        </w:rPr>
        <w:t>desestimad</w:t>
      </w:r>
      <w:r w:rsidR="00337289">
        <w:rPr>
          <w:rFonts w:eastAsia="Times New Roman" w:cs="Times New Roman"/>
          <w:szCs w:val="22"/>
        </w:rPr>
        <w:t>o</w:t>
      </w:r>
      <w:r w:rsidRPr="00E64EFF">
        <w:rPr>
          <w:rFonts w:eastAsia="Times New Roman" w:cs="Times New Roman"/>
          <w:szCs w:val="22"/>
        </w:rPr>
        <w:t xml:space="preserve"> por silencio administrativo</w:t>
      </w:r>
      <w:r w:rsidR="00047055">
        <w:rPr>
          <w:rFonts w:eastAsia="Times New Roman" w:cs="Times New Roman"/>
          <w:szCs w:val="22"/>
        </w:rPr>
        <w:t>, aunque es preciso señalar que todas ellas corresponden a una misma entidad</w:t>
      </w:r>
      <w:r w:rsidRPr="00E64EFF">
        <w:rPr>
          <w:rFonts w:eastAsia="Times New Roman" w:cs="Times New Roman"/>
          <w:szCs w:val="22"/>
        </w:rPr>
        <w:t>.</w:t>
      </w:r>
    </w:p>
    <w:p w:rsidR="006E01D9" w:rsidRDefault="006E01D9" w:rsidP="006E01D9">
      <w:pPr>
        <w:rPr>
          <w:rFonts w:eastAsia="Times New Roman" w:cs="Times New Roman"/>
          <w:szCs w:val="22"/>
        </w:rPr>
      </w:pPr>
      <w:r w:rsidRPr="00E64EFF">
        <w:rPr>
          <w:rFonts w:eastAsia="Times New Roman" w:cs="Times New Roman"/>
          <w:szCs w:val="22"/>
        </w:rPr>
        <w:lastRenderedPageBreak/>
        <w:t xml:space="preserve">Un </w:t>
      </w:r>
      <w:r w:rsidR="00047055">
        <w:rPr>
          <w:rFonts w:eastAsia="Times New Roman" w:cs="Times New Roman"/>
          <w:szCs w:val="22"/>
        </w:rPr>
        <w:t>84,5</w:t>
      </w:r>
      <w:r w:rsidRPr="00E64EFF">
        <w:rPr>
          <w:rFonts w:eastAsia="Times New Roman" w:cs="Times New Roman"/>
          <w:szCs w:val="22"/>
        </w:rPr>
        <w:t xml:space="preserve">% de las </w:t>
      </w:r>
      <w:r>
        <w:rPr>
          <w:rFonts w:eastAsia="Times New Roman" w:cs="Times New Roman"/>
          <w:szCs w:val="22"/>
        </w:rPr>
        <w:t>r</w:t>
      </w:r>
      <w:r w:rsidRPr="00E64EFF">
        <w:rPr>
          <w:rFonts w:eastAsia="Times New Roman" w:cs="Times New Roman"/>
          <w:szCs w:val="22"/>
        </w:rPr>
        <w:t xml:space="preserve">esoluciones concede el acceso a la información. De </w:t>
      </w:r>
      <w:r>
        <w:rPr>
          <w:rFonts w:eastAsia="Times New Roman" w:cs="Times New Roman"/>
          <w:szCs w:val="22"/>
        </w:rPr>
        <w:t xml:space="preserve">las  resoluciones que conceden </w:t>
      </w:r>
      <w:r w:rsidR="00047055">
        <w:rPr>
          <w:rFonts w:eastAsia="Times New Roman" w:cs="Times New Roman"/>
          <w:szCs w:val="22"/>
        </w:rPr>
        <w:t xml:space="preserve">acceso a la </w:t>
      </w:r>
      <w:r>
        <w:rPr>
          <w:rFonts w:eastAsia="Times New Roman" w:cs="Times New Roman"/>
          <w:szCs w:val="22"/>
        </w:rPr>
        <w:t>información</w:t>
      </w:r>
      <w:r w:rsidRPr="00E64EFF">
        <w:rPr>
          <w:rFonts w:eastAsia="Times New Roman" w:cs="Times New Roman"/>
          <w:szCs w:val="22"/>
        </w:rPr>
        <w:t xml:space="preserve">, </w:t>
      </w:r>
      <w:r w:rsidR="00047055">
        <w:rPr>
          <w:rFonts w:eastAsia="Times New Roman" w:cs="Times New Roman"/>
          <w:szCs w:val="22"/>
        </w:rPr>
        <w:t xml:space="preserve">el </w:t>
      </w:r>
      <w:r w:rsidRPr="00E64EFF">
        <w:rPr>
          <w:rFonts w:eastAsia="Times New Roman" w:cs="Times New Roman"/>
          <w:szCs w:val="22"/>
        </w:rPr>
        <w:t xml:space="preserve"> </w:t>
      </w:r>
      <w:r w:rsidR="00047055">
        <w:rPr>
          <w:rFonts w:eastAsia="Times New Roman" w:cs="Times New Roman"/>
          <w:szCs w:val="22"/>
        </w:rPr>
        <w:t>93,4</w:t>
      </w:r>
      <w:r w:rsidRPr="00E64EFF">
        <w:rPr>
          <w:rFonts w:eastAsia="Times New Roman" w:cs="Times New Roman"/>
          <w:szCs w:val="22"/>
        </w:rPr>
        <w:t xml:space="preserve">% concede acceso total y </w:t>
      </w:r>
      <w:r>
        <w:rPr>
          <w:rFonts w:eastAsia="Times New Roman" w:cs="Times New Roman"/>
          <w:szCs w:val="22"/>
        </w:rPr>
        <w:t>un</w:t>
      </w:r>
      <w:r w:rsidRPr="00E64EFF">
        <w:rPr>
          <w:rFonts w:eastAsia="Times New Roman" w:cs="Times New Roman"/>
          <w:szCs w:val="22"/>
        </w:rPr>
        <w:t xml:space="preserve"> </w:t>
      </w:r>
      <w:r w:rsidR="00047055">
        <w:rPr>
          <w:rFonts w:eastAsia="Times New Roman" w:cs="Times New Roman"/>
          <w:szCs w:val="22"/>
        </w:rPr>
        <w:t>6,6</w:t>
      </w:r>
      <w:r w:rsidRPr="00E64EFF">
        <w:rPr>
          <w:rFonts w:eastAsia="Times New Roman" w:cs="Times New Roman"/>
          <w:szCs w:val="22"/>
        </w:rPr>
        <w:t xml:space="preserve">% acceso parcial. </w:t>
      </w:r>
      <w:r>
        <w:rPr>
          <w:rFonts w:eastAsia="Times New Roman" w:cs="Times New Roman"/>
          <w:szCs w:val="22"/>
        </w:rPr>
        <w:t xml:space="preserve">La proporción de resoluciones denegatorias </w:t>
      </w:r>
      <w:r w:rsidR="0028680F">
        <w:rPr>
          <w:rFonts w:eastAsia="Times New Roman" w:cs="Times New Roman"/>
          <w:szCs w:val="22"/>
        </w:rPr>
        <w:t>supone</w:t>
      </w:r>
      <w:r>
        <w:rPr>
          <w:rFonts w:eastAsia="Times New Roman" w:cs="Times New Roman"/>
          <w:szCs w:val="22"/>
        </w:rPr>
        <w:t xml:space="preserve"> </w:t>
      </w:r>
      <w:r w:rsidR="00047055">
        <w:rPr>
          <w:rFonts w:eastAsia="Times New Roman" w:cs="Times New Roman"/>
          <w:szCs w:val="22"/>
        </w:rPr>
        <w:t>poco más d</w:t>
      </w:r>
      <w:r w:rsidR="00040795">
        <w:rPr>
          <w:rFonts w:eastAsia="Times New Roman" w:cs="Times New Roman"/>
          <w:szCs w:val="22"/>
        </w:rPr>
        <w:t>el 3</w:t>
      </w:r>
      <w:r>
        <w:rPr>
          <w:rFonts w:eastAsia="Times New Roman" w:cs="Times New Roman"/>
          <w:szCs w:val="22"/>
        </w:rPr>
        <w:t>%.  E</w:t>
      </w:r>
      <w:r w:rsidRPr="00E64EFF">
        <w:rPr>
          <w:rFonts w:eastAsia="Times New Roman" w:cs="Times New Roman"/>
          <w:szCs w:val="22"/>
        </w:rPr>
        <w:t xml:space="preserve">l </w:t>
      </w:r>
      <w:r w:rsidR="00047DDB">
        <w:rPr>
          <w:rFonts w:eastAsia="Times New Roman" w:cs="Times New Roman"/>
          <w:szCs w:val="22"/>
        </w:rPr>
        <w:t>2,57</w:t>
      </w:r>
      <w:r w:rsidRPr="00E64EFF">
        <w:rPr>
          <w:rFonts w:eastAsia="Times New Roman" w:cs="Times New Roman"/>
          <w:szCs w:val="22"/>
        </w:rPr>
        <w:t>% adicional</w:t>
      </w:r>
      <w:r>
        <w:rPr>
          <w:rFonts w:eastAsia="Times New Roman" w:cs="Times New Roman"/>
          <w:szCs w:val="22"/>
        </w:rPr>
        <w:t xml:space="preserve"> de las solicitudes admitidas</w:t>
      </w:r>
      <w:r w:rsidRPr="00E64EFF">
        <w:rPr>
          <w:rFonts w:eastAsia="Times New Roman" w:cs="Times New Roman"/>
          <w:szCs w:val="22"/>
        </w:rPr>
        <w:t xml:space="preserve"> </w:t>
      </w:r>
      <w:r>
        <w:rPr>
          <w:rFonts w:eastAsia="Times New Roman" w:cs="Times New Roman"/>
          <w:szCs w:val="22"/>
        </w:rPr>
        <w:t>finaliza</w:t>
      </w:r>
      <w:r w:rsidRPr="00E64EFF">
        <w:rPr>
          <w:rFonts w:eastAsia="Times New Roman" w:cs="Times New Roman"/>
          <w:szCs w:val="22"/>
        </w:rPr>
        <w:t xml:space="preserve"> por desistimiento y otras causas.</w:t>
      </w:r>
    </w:p>
    <w:p w:rsidR="006469F3" w:rsidRPr="006469F3" w:rsidRDefault="006469F3" w:rsidP="006469F3">
      <w:pPr>
        <w:pStyle w:val="Epgrafe"/>
        <w:keepNext/>
        <w:rPr>
          <w:color w:val="438086" w:themeColor="accent2"/>
          <w:sz w:val="22"/>
          <w:szCs w:val="22"/>
        </w:rPr>
      </w:pPr>
      <w:r w:rsidRPr="006469F3">
        <w:rPr>
          <w:color w:val="438086" w:themeColor="accent2"/>
          <w:sz w:val="22"/>
          <w:szCs w:val="22"/>
        </w:rPr>
        <w:t xml:space="preserve">Cuadro </w:t>
      </w:r>
      <w:r w:rsidRPr="006469F3">
        <w:rPr>
          <w:color w:val="438086" w:themeColor="accent2"/>
          <w:sz w:val="22"/>
          <w:szCs w:val="22"/>
        </w:rPr>
        <w:fldChar w:fldCharType="begin"/>
      </w:r>
      <w:r w:rsidRPr="006469F3">
        <w:rPr>
          <w:color w:val="438086" w:themeColor="accent2"/>
          <w:sz w:val="22"/>
          <w:szCs w:val="22"/>
        </w:rPr>
        <w:instrText xml:space="preserve"> SEQ Cuadro \* ARABIC </w:instrText>
      </w:r>
      <w:r w:rsidRPr="006469F3">
        <w:rPr>
          <w:color w:val="438086" w:themeColor="accent2"/>
          <w:sz w:val="22"/>
          <w:szCs w:val="22"/>
        </w:rPr>
        <w:fldChar w:fldCharType="separate"/>
      </w:r>
      <w:r w:rsidR="00801472">
        <w:rPr>
          <w:noProof/>
          <w:color w:val="438086" w:themeColor="accent2"/>
          <w:sz w:val="22"/>
          <w:szCs w:val="22"/>
        </w:rPr>
        <w:t>5</w:t>
      </w:r>
      <w:r w:rsidRPr="006469F3">
        <w:rPr>
          <w:color w:val="438086" w:themeColor="accent2"/>
          <w:sz w:val="22"/>
          <w:szCs w:val="22"/>
        </w:rPr>
        <w:fldChar w:fldCharType="end"/>
      </w:r>
      <w:r w:rsidRPr="006469F3">
        <w:rPr>
          <w:color w:val="438086" w:themeColor="accent2"/>
          <w:sz w:val="22"/>
          <w:szCs w:val="22"/>
        </w:rPr>
        <w:t xml:space="preserve">: Indicadores de resolución </w:t>
      </w:r>
      <w:r w:rsidR="000F7251">
        <w:rPr>
          <w:color w:val="438086" w:themeColor="accent2"/>
          <w:sz w:val="22"/>
          <w:szCs w:val="22"/>
        </w:rPr>
        <w:t>2021</w:t>
      </w:r>
    </w:p>
    <w:tbl>
      <w:tblPr>
        <w:tblStyle w:val="Tablaconcuadrcula"/>
        <w:tblW w:w="0" w:type="auto"/>
        <w:tblInd w:w="675" w:type="dxa"/>
        <w:tblLook w:val="04A0" w:firstRow="1" w:lastRow="0" w:firstColumn="1" w:lastColumn="0" w:noHBand="0" w:noVBand="1"/>
      </w:tblPr>
      <w:tblGrid>
        <w:gridCol w:w="1229"/>
        <w:gridCol w:w="5907"/>
        <w:gridCol w:w="1476"/>
      </w:tblGrid>
      <w:tr w:rsidR="00047055" w:rsidRPr="00706E04" w:rsidTr="00047055">
        <w:tc>
          <w:tcPr>
            <w:tcW w:w="1229" w:type="dxa"/>
            <w:vMerge w:val="restart"/>
            <w:tcBorders>
              <w:top w:val="nil"/>
              <w:right w:val="nil"/>
            </w:tcBorders>
            <w:shd w:val="clear" w:color="auto" w:fill="438086" w:themeFill="accent2"/>
            <w:textDirection w:val="btLr"/>
          </w:tcPr>
          <w:p w:rsidR="00047055" w:rsidRPr="005B3C15" w:rsidRDefault="00047055" w:rsidP="006469F3">
            <w:pPr>
              <w:ind w:left="113" w:right="113"/>
              <w:jc w:val="center"/>
              <w:rPr>
                <w:b/>
                <w:color w:val="FFFFFF" w:themeColor="background1"/>
              </w:rPr>
            </w:pPr>
            <w:r w:rsidRPr="005B3C15">
              <w:rPr>
                <w:b/>
                <w:color w:val="FFFFFF" w:themeColor="background1"/>
              </w:rPr>
              <w:t>Indicadores de resolución</w:t>
            </w:r>
          </w:p>
        </w:tc>
        <w:tc>
          <w:tcPr>
            <w:tcW w:w="5907" w:type="dxa"/>
            <w:tcBorders>
              <w:left w:val="nil"/>
            </w:tcBorders>
          </w:tcPr>
          <w:p w:rsidR="00047055" w:rsidRPr="0051614E" w:rsidRDefault="00047055" w:rsidP="006469F3">
            <w:pPr>
              <w:rPr>
                <w:sz w:val="20"/>
              </w:rPr>
            </w:pPr>
            <w:r w:rsidRPr="0051614E">
              <w:rPr>
                <w:sz w:val="20"/>
              </w:rPr>
              <w:t>Tasa de resolución (resoluciones expresas /solicitudes admitidas)</w:t>
            </w:r>
          </w:p>
        </w:tc>
        <w:tc>
          <w:tcPr>
            <w:tcW w:w="1476" w:type="dxa"/>
          </w:tcPr>
          <w:p w:rsidR="00047055" w:rsidRPr="00047055" w:rsidRDefault="00047055" w:rsidP="00047055">
            <w:pPr>
              <w:jc w:val="center"/>
              <w:rPr>
                <w:sz w:val="20"/>
              </w:rPr>
            </w:pPr>
            <w:r w:rsidRPr="00047055">
              <w:rPr>
                <w:sz w:val="20"/>
              </w:rPr>
              <w:t>87,50</w:t>
            </w:r>
          </w:p>
        </w:tc>
      </w:tr>
      <w:tr w:rsidR="00047055" w:rsidRPr="00706E04" w:rsidTr="00047055">
        <w:tc>
          <w:tcPr>
            <w:tcW w:w="1229" w:type="dxa"/>
            <w:vMerge/>
            <w:tcBorders>
              <w:right w:val="nil"/>
            </w:tcBorders>
            <w:shd w:val="clear" w:color="auto" w:fill="438086" w:themeFill="accent2"/>
            <w:textDirection w:val="btLr"/>
          </w:tcPr>
          <w:p w:rsidR="00047055" w:rsidRPr="005B3C15" w:rsidRDefault="00047055" w:rsidP="006469F3">
            <w:pPr>
              <w:ind w:left="113" w:right="113"/>
              <w:jc w:val="center"/>
              <w:rPr>
                <w:b/>
                <w:color w:val="FFFFFF" w:themeColor="background1"/>
              </w:rPr>
            </w:pPr>
          </w:p>
        </w:tc>
        <w:tc>
          <w:tcPr>
            <w:tcW w:w="5907" w:type="dxa"/>
            <w:tcBorders>
              <w:left w:val="nil"/>
            </w:tcBorders>
          </w:tcPr>
          <w:p w:rsidR="00047055" w:rsidRPr="0051614E" w:rsidRDefault="00047055" w:rsidP="006469F3">
            <w:pPr>
              <w:rPr>
                <w:sz w:val="20"/>
              </w:rPr>
            </w:pPr>
            <w:r w:rsidRPr="0051614E">
              <w:rPr>
                <w:sz w:val="20"/>
              </w:rPr>
              <w:t>Porcentaje de resoluciones que conceden el acceso</w:t>
            </w:r>
          </w:p>
        </w:tc>
        <w:tc>
          <w:tcPr>
            <w:tcW w:w="1476" w:type="dxa"/>
          </w:tcPr>
          <w:p w:rsidR="00047055" w:rsidRPr="00047055" w:rsidRDefault="00047055" w:rsidP="00047055">
            <w:pPr>
              <w:jc w:val="center"/>
              <w:rPr>
                <w:sz w:val="20"/>
              </w:rPr>
            </w:pPr>
            <w:r w:rsidRPr="00047055">
              <w:rPr>
                <w:sz w:val="20"/>
              </w:rPr>
              <w:t>84,46</w:t>
            </w:r>
          </w:p>
        </w:tc>
      </w:tr>
      <w:tr w:rsidR="00047055" w:rsidRPr="00706E04" w:rsidTr="00047055">
        <w:tc>
          <w:tcPr>
            <w:tcW w:w="1229" w:type="dxa"/>
            <w:vMerge/>
            <w:tcBorders>
              <w:right w:val="nil"/>
            </w:tcBorders>
            <w:shd w:val="clear" w:color="auto" w:fill="438086" w:themeFill="accent2"/>
            <w:textDirection w:val="btLr"/>
          </w:tcPr>
          <w:p w:rsidR="00047055" w:rsidRPr="005B3C15" w:rsidRDefault="00047055" w:rsidP="006469F3">
            <w:pPr>
              <w:ind w:left="113" w:right="113"/>
              <w:jc w:val="center"/>
              <w:rPr>
                <w:b/>
                <w:color w:val="FFFFFF" w:themeColor="background1"/>
              </w:rPr>
            </w:pPr>
          </w:p>
        </w:tc>
        <w:tc>
          <w:tcPr>
            <w:tcW w:w="5907" w:type="dxa"/>
            <w:tcBorders>
              <w:left w:val="nil"/>
            </w:tcBorders>
          </w:tcPr>
          <w:p w:rsidR="00047055" w:rsidRPr="0051614E" w:rsidRDefault="00047055" w:rsidP="006469F3">
            <w:pPr>
              <w:rPr>
                <w:sz w:val="20"/>
              </w:rPr>
            </w:pPr>
            <w:r w:rsidRPr="0051614E">
              <w:rPr>
                <w:sz w:val="20"/>
              </w:rPr>
              <w:t>Porcentaje de resoluciones que conceden acceso parcial</w:t>
            </w:r>
          </w:p>
        </w:tc>
        <w:tc>
          <w:tcPr>
            <w:tcW w:w="1476" w:type="dxa"/>
          </w:tcPr>
          <w:p w:rsidR="00047055" w:rsidRPr="00047055" w:rsidRDefault="00047055" w:rsidP="00047055">
            <w:pPr>
              <w:jc w:val="center"/>
              <w:rPr>
                <w:sz w:val="20"/>
              </w:rPr>
            </w:pPr>
            <w:r w:rsidRPr="00047055">
              <w:rPr>
                <w:sz w:val="20"/>
              </w:rPr>
              <w:t>6,63</w:t>
            </w:r>
          </w:p>
        </w:tc>
      </w:tr>
      <w:tr w:rsidR="00047055" w:rsidRPr="00706E04" w:rsidTr="00047055">
        <w:tc>
          <w:tcPr>
            <w:tcW w:w="1229" w:type="dxa"/>
            <w:vMerge/>
            <w:tcBorders>
              <w:right w:val="nil"/>
            </w:tcBorders>
            <w:shd w:val="clear" w:color="auto" w:fill="438086" w:themeFill="accent2"/>
            <w:textDirection w:val="btLr"/>
          </w:tcPr>
          <w:p w:rsidR="00047055" w:rsidRPr="005B3C15" w:rsidRDefault="00047055" w:rsidP="006469F3">
            <w:pPr>
              <w:ind w:left="113" w:right="113"/>
              <w:jc w:val="center"/>
              <w:rPr>
                <w:b/>
                <w:color w:val="FFFFFF" w:themeColor="background1"/>
              </w:rPr>
            </w:pPr>
          </w:p>
        </w:tc>
        <w:tc>
          <w:tcPr>
            <w:tcW w:w="5907" w:type="dxa"/>
            <w:tcBorders>
              <w:left w:val="nil"/>
            </w:tcBorders>
          </w:tcPr>
          <w:p w:rsidR="00047055" w:rsidRPr="0051614E" w:rsidRDefault="00047055" w:rsidP="006469F3">
            <w:pPr>
              <w:rPr>
                <w:sz w:val="20"/>
              </w:rPr>
            </w:pPr>
            <w:r w:rsidRPr="0051614E">
              <w:rPr>
                <w:sz w:val="20"/>
              </w:rPr>
              <w:t>Porcentaje de resoluciones que conceden acceso total</w:t>
            </w:r>
          </w:p>
        </w:tc>
        <w:tc>
          <w:tcPr>
            <w:tcW w:w="1476" w:type="dxa"/>
          </w:tcPr>
          <w:p w:rsidR="00047055" w:rsidRPr="00047055" w:rsidRDefault="00047055" w:rsidP="00047055">
            <w:pPr>
              <w:jc w:val="center"/>
              <w:rPr>
                <w:sz w:val="20"/>
              </w:rPr>
            </w:pPr>
            <w:r w:rsidRPr="00047055">
              <w:rPr>
                <w:sz w:val="20"/>
              </w:rPr>
              <w:t>93,37</w:t>
            </w:r>
          </w:p>
        </w:tc>
      </w:tr>
      <w:tr w:rsidR="00047055" w:rsidRPr="00706E04" w:rsidTr="00047055">
        <w:tc>
          <w:tcPr>
            <w:tcW w:w="1229" w:type="dxa"/>
            <w:vMerge/>
            <w:tcBorders>
              <w:right w:val="nil"/>
            </w:tcBorders>
            <w:shd w:val="clear" w:color="auto" w:fill="438086" w:themeFill="accent2"/>
            <w:textDirection w:val="btLr"/>
          </w:tcPr>
          <w:p w:rsidR="00047055" w:rsidRPr="005B3C15" w:rsidRDefault="00047055" w:rsidP="006469F3">
            <w:pPr>
              <w:ind w:left="113" w:right="113"/>
              <w:jc w:val="center"/>
              <w:rPr>
                <w:b/>
                <w:color w:val="FFFFFF" w:themeColor="background1"/>
              </w:rPr>
            </w:pPr>
          </w:p>
        </w:tc>
        <w:tc>
          <w:tcPr>
            <w:tcW w:w="5907" w:type="dxa"/>
            <w:tcBorders>
              <w:left w:val="nil"/>
            </w:tcBorders>
          </w:tcPr>
          <w:p w:rsidR="00047055" w:rsidRPr="0051614E" w:rsidRDefault="00047055" w:rsidP="006469F3">
            <w:pPr>
              <w:rPr>
                <w:sz w:val="20"/>
              </w:rPr>
            </w:pPr>
            <w:r w:rsidRPr="0051614E">
              <w:rPr>
                <w:sz w:val="20"/>
              </w:rPr>
              <w:t>Porcentaje de resoluciones que deniegan el acceso</w:t>
            </w:r>
          </w:p>
        </w:tc>
        <w:tc>
          <w:tcPr>
            <w:tcW w:w="1476" w:type="dxa"/>
          </w:tcPr>
          <w:p w:rsidR="00047055" w:rsidRPr="00047055" w:rsidRDefault="00047055" w:rsidP="00047055">
            <w:pPr>
              <w:jc w:val="center"/>
              <w:rPr>
                <w:sz w:val="20"/>
              </w:rPr>
            </w:pPr>
            <w:r w:rsidRPr="00047055">
              <w:rPr>
                <w:sz w:val="20"/>
              </w:rPr>
              <w:t>3,04</w:t>
            </w:r>
          </w:p>
        </w:tc>
      </w:tr>
      <w:tr w:rsidR="00047055" w:rsidRPr="00706E04" w:rsidTr="00047055">
        <w:tc>
          <w:tcPr>
            <w:tcW w:w="1229" w:type="dxa"/>
            <w:vMerge/>
            <w:tcBorders>
              <w:right w:val="nil"/>
            </w:tcBorders>
            <w:shd w:val="clear" w:color="auto" w:fill="438086" w:themeFill="accent2"/>
            <w:textDirection w:val="btLr"/>
          </w:tcPr>
          <w:p w:rsidR="00047055" w:rsidRPr="005B3C15" w:rsidRDefault="00047055" w:rsidP="006469F3">
            <w:pPr>
              <w:ind w:left="113" w:right="113"/>
              <w:jc w:val="center"/>
              <w:rPr>
                <w:b/>
                <w:color w:val="FFFFFF" w:themeColor="background1"/>
              </w:rPr>
            </w:pPr>
          </w:p>
        </w:tc>
        <w:tc>
          <w:tcPr>
            <w:tcW w:w="5907" w:type="dxa"/>
            <w:tcBorders>
              <w:left w:val="nil"/>
            </w:tcBorders>
          </w:tcPr>
          <w:p w:rsidR="00047055" w:rsidRPr="0051614E" w:rsidRDefault="00047055" w:rsidP="000F7251">
            <w:pPr>
              <w:rPr>
                <w:sz w:val="20"/>
              </w:rPr>
            </w:pPr>
            <w:r w:rsidRPr="0051614E">
              <w:rPr>
                <w:sz w:val="20"/>
              </w:rPr>
              <w:t xml:space="preserve">Porcentaje de </w:t>
            </w:r>
            <w:r w:rsidR="000F7251">
              <w:rPr>
                <w:sz w:val="20"/>
              </w:rPr>
              <w:t>solicitudes</w:t>
            </w:r>
            <w:r w:rsidRPr="0051614E">
              <w:rPr>
                <w:sz w:val="20"/>
              </w:rPr>
              <w:t xml:space="preserve"> que finalizan por silencio administrativo</w:t>
            </w:r>
          </w:p>
        </w:tc>
        <w:tc>
          <w:tcPr>
            <w:tcW w:w="1476" w:type="dxa"/>
          </w:tcPr>
          <w:p w:rsidR="00047055" w:rsidRPr="00047055" w:rsidRDefault="00047055" w:rsidP="00047055">
            <w:pPr>
              <w:jc w:val="center"/>
              <w:rPr>
                <w:sz w:val="20"/>
              </w:rPr>
            </w:pPr>
            <w:r w:rsidRPr="00047055">
              <w:rPr>
                <w:sz w:val="20"/>
              </w:rPr>
              <w:t>10,00</w:t>
            </w:r>
          </w:p>
        </w:tc>
      </w:tr>
    </w:tbl>
    <w:p w:rsidR="006469F3" w:rsidRDefault="006469F3" w:rsidP="006469F3"/>
    <w:p w:rsidR="00047055" w:rsidRDefault="00047055" w:rsidP="00047055">
      <w:r>
        <w:t xml:space="preserve">Respecto de 2021, disminuye la </w:t>
      </w:r>
      <w:r w:rsidR="00A301DD">
        <w:t>proporción de resoluciones expresas</w:t>
      </w:r>
      <w:r>
        <w:t xml:space="preserve"> en casi el 12%, dado que mientras que en 2021 no se produjeron desestimaciones por silencio administrativo</w:t>
      </w:r>
      <w:r w:rsidR="00337289">
        <w:t>,</w:t>
      </w:r>
      <w:r>
        <w:t xml:space="preserve"> en 2022 éstas suponen un 10% de las solicitudes admitidas a trámite. También disminuyen las resoluciones estimatorias (-9,8%) aunque en paralelo</w:t>
      </w:r>
      <w:r w:rsidR="000F7251">
        <w:t>,</w:t>
      </w:r>
      <w:r>
        <w:t xml:space="preserve"> aquellas que conceden acceso total aumentan en un </w:t>
      </w:r>
      <w:r w:rsidR="00EC5B11">
        <w:t>11,7%.</w:t>
      </w:r>
    </w:p>
    <w:p w:rsidR="00047055" w:rsidRDefault="00047055" w:rsidP="004C792C">
      <w:pPr>
        <w:pStyle w:val="Ttulo2"/>
      </w:pPr>
    </w:p>
    <w:p w:rsidR="006469F3" w:rsidRPr="006469F3" w:rsidRDefault="004C792C" w:rsidP="004C792C">
      <w:pPr>
        <w:pStyle w:val="Ttulo2"/>
      </w:pPr>
      <w:bookmarkStart w:id="26" w:name="_Toc113366627"/>
      <w:r>
        <w:t>IV</w:t>
      </w:r>
      <w:r w:rsidR="006469F3">
        <w:t xml:space="preserve">.3 </w:t>
      </w:r>
      <w:r w:rsidR="006469F3" w:rsidRPr="006469F3">
        <w:t>Ejercicio del derecho de acceso a la información pública</w:t>
      </w:r>
      <w:bookmarkEnd w:id="26"/>
    </w:p>
    <w:p w:rsidR="004C792C" w:rsidRDefault="004C792C" w:rsidP="006469F3">
      <w:pPr>
        <w:rPr>
          <w:rFonts w:asciiTheme="majorHAnsi" w:hAnsiTheme="majorHAnsi"/>
          <w:color w:val="438086" w:themeColor="accent2"/>
          <w:szCs w:val="24"/>
        </w:rPr>
      </w:pPr>
    </w:p>
    <w:p w:rsidR="006469F3" w:rsidRDefault="004C792C" w:rsidP="004C792C">
      <w:pPr>
        <w:pStyle w:val="Ttulo3"/>
      </w:pPr>
      <w:bookmarkStart w:id="27" w:name="_Toc113366628"/>
      <w:r>
        <w:t xml:space="preserve">IV.3.1. </w:t>
      </w:r>
      <w:r w:rsidR="006469F3" w:rsidRPr="006469F3">
        <w:t>Localización de la información y facilidad de acceso</w:t>
      </w:r>
      <w:bookmarkEnd w:id="27"/>
    </w:p>
    <w:p w:rsidR="004C792C" w:rsidRDefault="004C792C" w:rsidP="004C792C">
      <w:pPr>
        <w:spacing w:before="120" w:after="120" w:line="312" w:lineRule="auto"/>
        <w:rPr>
          <w:rFonts w:eastAsia="Times New Roman" w:cs="Times New Roman"/>
          <w:bCs/>
          <w:szCs w:val="22"/>
          <w:lang w:bidi="es-ES"/>
        </w:rPr>
      </w:pPr>
    </w:p>
    <w:p w:rsidR="004C792C" w:rsidRPr="001D5F91" w:rsidRDefault="00DF323D" w:rsidP="004C792C">
      <w:pPr>
        <w:spacing w:before="120" w:after="120" w:line="312" w:lineRule="auto"/>
        <w:rPr>
          <w:rFonts w:eastAsia="Times New Roman" w:cs="Times New Roman"/>
          <w:bCs/>
          <w:szCs w:val="22"/>
          <w:lang w:bidi="es-ES"/>
        </w:rPr>
      </w:pPr>
      <w:r>
        <w:rPr>
          <w:rFonts w:eastAsia="Times New Roman" w:cs="Times New Roman"/>
          <w:bCs/>
          <w:szCs w:val="22"/>
          <w:lang w:bidi="es-ES"/>
        </w:rPr>
        <w:t>El 52%</w:t>
      </w:r>
      <w:r w:rsidR="008D5F41">
        <w:rPr>
          <w:rFonts w:eastAsia="Times New Roman" w:cs="Times New Roman"/>
          <w:bCs/>
          <w:szCs w:val="22"/>
          <w:lang w:bidi="es-ES"/>
        </w:rPr>
        <w:t xml:space="preserve"> de los</w:t>
      </w:r>
      <w:r w:rsidR="004C792C" w:rsidRPr="001D5F91">
        <w:rPr>
          <w:rFonts w:eastAsia="Times New Roman" w:cs="Times New Roman"/>
          <w:bCs/>
          <w:szCs w:val="22"/>
          <w:lang w:bidi="es-ES"/>
        </w:rPr>
        <w:t xml:space="preserve"> </w:t>
      </w:r>
      <w:r w:rsidR="004C792C">
        <w:rPr>
          <w:rFonts w:eastAsia="Times New Roman" w:cs="Times New Roman"/>
          <w:bCs/>
          <w:szCs w:val="22"/>
          <w:lang w:bidi="es-ES"/>
        </w:rPr>
        <w:t>organismos evaluados</w:t>
      </w:r>
      <w:r>
        <w:rPr>
          <w:rFonts w:eastAsia="Times New Roman" w:cs="Times New Roman"/>
          <w:bCs/>
          <w:szCs w:val="22"/>
          <w:lang w:bidi="es-ES"/>
        </w:rPr>
        <w:t>,</w:t>
      </w:r>
      <w:r w:rsidR="004C792C" w:rsidRPr="001D5F91">
        <w:rPr>
          <w:rFonts w:eastAsia="Times New Roman" w:cs="Times New Roman"/>
          <w:bCs/>
          <w:szCs w:val="22"/>
          <w:lang w:bidi="es-ES"/>
        </w:rPr>
        <w:t xml:space="preserve"> ha habilitado espacio</w:t>
      </w:r>
      <w:r w:rsidR="004C792C">
        <w:rPr>
          <w:rFonts w:eastAsia="Times New Roman" w:cs="Times New Roman"/>
          <w:bCs/>
          <w:szCs w:val="22"/>
          <w:lang w:bidi="es-ES"/>
        </w:rPr>
        <w:t>s</w:t>
      </w:r>
      <w:r w:rsidR="004C792C" w:rsidRPr="001D5F91">
        <w:rPr>
          <w:rFonts w:eastAsia="Times New Roman" w:cs="Times New Roman"/>
          <w:bCs/>
          <w:szCs w:val="22"/>
          <w:lang w:bidi="es-ES"/>
        </w:rPr>
        <w:t xml:space="preserve"> específico</w:t>
      </w:r>
      <w:r w:rsidR="004C792C">
        <w:rPr>
          <w:rFonts w:eastAsia="Times New Roman" w:cs="Times New Roman"/>
          <w:bCs/>
          <w:szCs w:val="22"/>
          <w:lang w:bidi="es-ES"/>
        </w:rPr>
        <w:t>s</w:t>
      </w:r>
      <w:r w:rsidR="004C792C" w:rsidRPr="001D5F91">
        <w:rPr>
          <w:rFonts w:eastAsia="Times New Roman" w:cs="Times New Roman"/>
          <w:bCs/>
          <w:szCs w:val="22"/>
          <w:lang w:bidi="es-ES"/>
        </w:rPr>
        <w:t xml:space="preserve"> en </w:t>
      </w:r>
      <w:r w:rsidR="004C792C">
        <w:rPr>
          <w:rFonts w:eastAsia="Times New Roman" w:cs="Times New Roman"/>
          <w:bCs/>
          <w:szCs w:val="22"/>
          <w:lang w:bidi="es-ES"/>
        </w:rPr>
        <w:t>sus</w:t>
      </w:r>
      <w:r w:rsidR="004C792C" w:rsidRPr="001D5F91">
        <w:rPr>
          <w:rFonts w:eastAsia="Times New Roman" w:cs="Times New Roman"/>
          <w:bCs/>
          <w:szCs w:val="22"/>
          <w:lang w:bidi="es-ES"/>
        </w:rPr>
        <w:t xml:space="preserve"> </w:t>
      </w:r>
      <w:r w:rsidR="004C792C">
        <w:rPr>
          <w:rFonts w:eastAsia="Times New Roman" w:cs="Times New Roman"/>
          <w:bCs/>
          <w:szCs w:val="22"/>
          <w:lang w:bidi="es-ES"/>
        </w:rPr>
        <w:t>p</w:t>
      </w:r>
      <w:r w:rsidR="004C792C" w:rsidRPr="001D5F91">
        <w:rPr>
          <w:rFonts w:eastAsia="Times New Roman" w:cs="Times New Roman"/>
          <w:bCs/>
          <w:szCs w:val="22"/>
          <w:lang w:bidi="es-ES"/>
        </w:rPr>
        <w:t>ortal</w:t>
      </w:r>
      <w:r w:rsidR="004C792C">
        <w:rPr>
          <w:rFonts w:eastAsia="Times New Roman" w:cs="Times New Roman"/>
          <w:bCs/>
          <w:szCs w:val="22"/>
          <w:lang w:bidi="es-ES"/>
        </w:rPr>
        <w:t>es de t</w:t>
      </w:r>
      <w:r w:rsidR="004C792C" w:rsidRPr="001D5F91">
        <w:rPr>
          <w:rFonts w:eastAsia="Times New Roman" w:cs="Times New Roman"/>
          <w:bCs/>
          <w:szCs w:val="22"/>
          <w:lang w:bidi="es-ES"/>
        </w:rPr>
        <w:t>ransparencia, dedicado</w:t>
      </w:r>
      <w:r w:rsidR="004C792C">
        <w:rPr>
          <w:rFonts w:eastAsia="Times New Roman" w:cs="Times New Roman"/>
          <w:bCs/>
          <w:szCs w:val="22"/>
          <w:lang w:bidi="es-ES"/>
        </w:rPr>
        <w:t>s</w:t>
      </w:r>
      <w:r w:rsidR="004C792C" w:rsidRPr="001D5F91">
        <w:rPr>
          <w:rFonts w:eastAsia="Times New Roman" w:cs="Times New Roman"/>
          <w:bCs/>
          <w:szCs w:val="22"/>
          <w:lang w:bidi="es-ES"/>
        </w:rPr>
        <w:t xml:space="preserve"> al ejercicio del derecho de acceso a la información pública</w:t>
      </w:r>
      <w:r>
        <w:rPr>
          <w:rFonts w:eastAsia="Times New Roman" w:cs="Times New Roman"/>
          <w:bCs/>
          <w:szCs w:val="22"/>
          <w:lang w:bidi="es-ES"/>
        </w:rPr>
        <w:t>, pero</w:t>
      </w:r>
      <w:r w:rsidR="004C792C" w:rsidRPr="001D5F91">
        <w:rPr>
          <w:rFonts w:eastAsia="Times New Roman" w:cs="Times New Roman"/>
          <w:bCs/>
          <w:szCs w:val="22"/>
          <w:lang w:bidi="es-ES"/>
        </w:rPr>
        <w:t xml:space="preserve"> </w:t>
      </w:r>
      <w:r>
        <w:rPr>
          <w:rFonts w:eastAsia="Times New Roman" w:cs="Times New Roman"/>
          <w:bCs/>
          <w:szCs w:val="22"/>
          <w:lang w:bidi="es-ES"/>
        </w:rPr>
        <w:t xml:space="preserve">solo </w:t>
      </w:r>
      <w:r w:rsidR="007C562B">
        <w:rPr>
          <w:rFonts w:eastAsia="Times New Roman" w:cs="Times New Roman"/>
          <w:bCs/>
          <w:szCs w:val="22"/>
          <w:lang w:bidi="es-ES"/>
        </w:rPr>
        <w:t xml:space="preserve">en </w:t>
      </w:r>
      <w:r>
        <w:rPr>
          <w:rFonts w:eastAsia="Times New Roman" w:cs="Times New Roman"/>
          <w:bCs/>
          <w:szCs w:val="22"/>
          <w:lang w:bidi="es-ES"/>
        </w:rPr>
        <w:t>un 28% de los casos</w:t>
      </w:r>
      <w:r w:rsidR="003A61D2">
        <w:rPr>
          <w:rFonts w:eastAsia="Times New Roman" w:cs="Times New Roman"/>
          <w:bCs/>
          <w:szCs w:val="22"/>
          <w:lang w:bidi="es-ES"/>
        </w:rPr>
        <w:t xml:space="preserve">, </w:t>
      </w:r>
      <w:r w:rsidR="004C792C" w:rsidRPr="001D5F91">
        <w:rPr>
          <w:rFonts w:eastAsia="Times New Roman" w:cs="Times New Roman"/>
          <w:bCs/>
          <w:szCs w:val="22"/>
          <w:lang w:bidi="es-ES"/>
        </w:rPr>
        <w:t xml:space="preserve">se hace referencia expresa </w:t>
      </w:r>
      <w:r w:rsidR="003A61D2" w:rsidRPr="003A61D2">
        <w:rPr>
          <w:rFonts w:eastAsia="Times New Roman" w:cs="Times New Roman"/>
          <w:bCs/>
          <w:szCs w:val="22"/>
          <w:lang w:bidi="es-ES"/>
        </w:rPr>
        <w:t xml:space="preserve">en este espacio </w:t>
      </w:r>
      <w:r w:rsidR="004C792C" w:rsidRPr="001D5F91">
        <w:rPr>
          <w:rFonts w:eastAsia="Times New Roman" w:cs="Times New Roman"/>
          <w:bCs/>
          <w:szCs w:val="22"/>
          <w:lang w:bidi="es-ES"/>
        </w:rPr>
        <w:t>a la posibilidad que tiene la ciudadanía de solicitar información de acuerdo con la Ley de Transparencia.</w:t>
      </w:r>
    </w:p>
    <w:p w:rsidR="004C792C" w:rsidRDefault="004C792C" w:rsidP="004C792C">
      <w:pPr>
        <w:spacing w:before="120" w:after="120" w:line="312" w:lineRule="auto"/>
        <w:rPr>
          <w:rFonts w:eastAsia="Times New Roman" w:cs="Times New Roman"/>
          <w:bCs/>
          <w:szCs w:val="22"/>
          <w:lang w:bidi="es-ES"/>
        </w:rPr>
      </w:pPr>
      <w:r>
        <w:rPr>
          <w:rFonts w:eastAsia="Times New Roman" w:cs="Times New Roman"/>
          <w:bCs/>
          <w:szCs w:val="22"/>
          <w:lang w:bidi="es-ES"/>
        </w:rPr>
        <w:t xml:space="preserve">En cuanto a los medios habilitados para la presentación de solicitudes, </w:t>
      </w:r>
      <w:r w:rsidR="002B5A11" w:rsidRPr="002B5A11">
        <w:rPr>
          <w:rFonts w:eastAsia="Times New Roman" w:cs="Times New Roman"/>
          <w:bCs/>
          <w:szCs w:val="22"/>
          <w:lang w:bidi="es-ES"/>
        </w:rPr>
        <w:t>el portal de transparencia</w:t>
      </w:r>
      <w:r w:rsidR="002B5A11">
        <w:rPr>
          <w:rFonts w:eastAsia="Times New Roman" w:cs="Times New Roman"/>
          <w:bCs/>
          <w:szCs w:val="22"/>
          <w:lang w:bidi="es-ES"/>
        </w:rPr>
        <w:t xml:space="preserve">, </w:t>
      </w:r>
      <w:r w:rsidR="008D5F41">
        <w:rPr>
          <w:rFonts w:eastAsia="Times New Roman" w:cs="Times New Roman"/>
          <w:bCs/>
          <w:szCs w:val="22"/>
          <w:lang w:bidi="es-ES"/>
        </w:rPr>
        <w:t>el correo electrón</w:t>
      </w:r>
      <w:r w:rsidR="000F3CFB">
        <w:rPr>
          <w:rFonts w:eastAsia="Times New Roman" w:cs="Times New Roman"/>
          <w:bCs/>
          <w:szCs w:val="22"/>
          <w:lang w:bidi="es-ES"/>
        </w:rPr>
        <w:t>ico,</w:t>
      </w:r>
      <w:r w:rsidR="002B5A11" w:rsidRPr="002B5A11">
        <w:rPr>
          <w:rFonts w:eastAsia="Times New Roman" w:cs="Times New Roman"/>
          <w:bCs/>
          <w:szCs w:val="22"/>
          <w:lang w:bidi="es-ES"/>
        </w:rPr>
        <w:t xml:space="preserve"> </w:t>
      </w:r>
      <w:r w:rsidR="002B5A11">
        <w:rPr>
          <w:rFonts w:eastAsia="Times New Roman" w:cs="Times New Roman"/>
          <w:bCs/>
          <w:szCs w:val="22"/>
          <w:lang w:bidi="es-ES"/>
        </w:rPr>
        <w:t>el correo postal y</w:t>
      </w:r>
      <w:r w:rsidR="000F3CFB">
        <w:rPr>
          <w:rFonts w:eastAsia="Times New Roman" w:cs="Times New Roman"/>
          <w:bCs/>
          <w:szCs w:val="22"/>
          <w:lang w:bidi="es-ES"/>
        </w:rPr>
        <w:t xml:space="preserve"> la presentación presencial </w:t>
      </w:r>
      <w:r w:rsidR="008D5F41">
        <w:rPr>
          <w:rFonts w:eastAsia="Times New Roman" w:cs="Times New Roman"/>
          <w:bCs/>
          <w:szCs w:val="22"/>
          <w:lang w:bidi="es-ES"/>
        </w:rPr>
        <w:t>son</w:t>
      </w:r>
      <w:r>
        <w:rPr>
          <w:rFonts w:eastAsia="Times New Roman" w:cs="Times New Roman"/>
          <w:bCs/>
          <w:szCs w:val="22"/>
          <w:lang w:bidi="es-ES"/>
        </w:rPr>
        <w:t xml:space="preserve"> </w:t>
      </w:r>
      <w:r w:rsidR="0028680F">
        <w:rPr>
          <w:rFonts w:eastAsia="Times New Roman" w:cs="Times New Roman"/>
          <w:bCs/>
          <w:szCs w:val="22"/>
          <w:lang w:bidi="es-ES"/>
        </w:rPr>
        <w:t xml:space="preserve">sobre </w:t>
      </w:r>
      <w:r w:rsidR="008D5F41">
        <w:rPr>
          <w:rFonts w:eastAsia="Times New Roman" w:cs="Times New Roman"/>
          <w:bCs/>
          <w:szCs w:val="22"/>
          <w:lang w:bidi="es-ES"/>
        </w:rPr>
        <w:t>los</w:t>
      </w:r>
      <w:r>
        <w:rPr>
          <w:rFonts w:eastAsia="Times New Roman" w:cs="Times New Roman"/>
          <w:bCs/>
          <w:szCs w:val="22"/>
          <w:lang w:bidi="es-ES"/>
        </w:rPr>
        <w:t xml:space="preserve"> que en mayor medida </w:t>
      </w:r>
      <w:r w:rsidR="0028680F">
        <w:rPr>
          <w:rFonts w:eastAsia="Times New Roman" w:cs="Times New Roman"/>
          <w:bCs/>
          <w:szCs w:val="22"/>
          <w:lang w:bidi="es-ES"/>
        </w:rPr>
        <w:t>informan</w:t>
      </w:r>
      <w:r>
        <w:rPr>
          <w:rFonts w:eastAsia="Times New Roman" w:cs="Times New Roman"/>
          <w:bCs/>
          <w:szCs w:val="22"/>
          <w:lang w:bidi="es-ES"/>
        </w:rPr>
        <w:t xml:space="preserve"> </w:t>
      </w:r>
      <w:r w:rsidR="008D5F41">
        <w:rPr>
          <w:rFonts w:eastAsia="Times New Roman" w:cs="Times New Roman"/>
          <w:bCs/>
          <w:szCs w:val="22"/>
          <w:lang w:bidi="es-ES"/>
        </w:rPr>
        <w:t>los</w:t>
      </w:r>
      <w:r>
        <w:rPr>
          <w:rFonts w:eastAsia="Times New Roman" w:cs="Times New Roman"/>
          <w:bCs/>
          <w:szCs w:val="22"/>
          <w:lang w:bidi="es-ES"/>
        </w:rPr>
        <w:t xml:space="preserve"> </w:t>
      </w:r>
      <w:r w:rsidR="008D5F41">
        <w:rPr>
          <w:rFonts w:eastAsia="Times New Roman" w:cs="Times New Roman"/>
          <w:bCs/>
          <w:szCs w:val="22"/>
          <w:lang w:bidi="es-ES"/>
        </w:rPr>
        <w:t>organismos</w:t>
      </w:r>
      <w:r w:rsidR="00337289">
        <w:rPr>
          <w:rFonts w:eastAsia="Times New Roman" w:cs="Times New Roman"/>
          <w:bCs/>
          <w:szCs w:val="22"/>
          <w:lang w:bidi="es-ES"/>
        </w:rPr>
        <w:t xml:space="preserve"> evaluado</w:t>
      </w:r>
      <w:r>
        <w:rPr>
          <w:rFonts w:eastAsia="Times New Roman" w:cs="Times New Roman"/>
          <w:bCs/>
          <w:szCs w:val="22"/>
          <w:lang w:bidi="es-ES"/>
        </w:rPr>
        <w:t>s</w:t>
      </w:r>
      <w:r w:rsidR="003A61D2">
        <w:rPr>
          <w:rFonts w:eastAsia="Times New Roman" w:cs="Times New Roman"/>
          <w:bCs/>
          <w:szCs w:val="22"/>
          <w:lang w:bidi="es-ES"/>
        </w:rPr>
        <w:t>. A distancia s</w:t>
      </w:r>
      <w:r>
        <w:rPr>
          <w:rFonts w:eastAsia="Times New Roman" w:cs="Times New Roman"/>
          <w:bCs/>
          <w:szCs w:val="22"/>
          <w:lang w:bidi="es-ES"/>
        </w:rPr>
        <w:t xml:space="preserve">e sitúan </w:t>
      </w:r>
      <w:r w:rsidR="008D5F41">
        <w:rPr>
          <w:rFonts w:eastAsia="Times New Roman" w:cs="Times New Roman"/>
          <w:bCs/>
          <w:szCs w:val="22"/>
          <w:lang w:bidi="es-ES"/>
        </w:rPr>
        <w:t>l</w:t>
      </w:r>
      <w:r>
        <w:rPr>
          <w:rFonts w:eastAsia="Times New Roman" w:cs="Times New Roman"/>
          <w:bCs/>
          <w:szCs w:val="22"/>
          <w:lang w:bidi="es-ES"/>
        </w:rPr>
        <w:t>os restantes medios</w:t>
      </w:r>
      <w:r w:rsidR="002B5A11">
        <w:rPr>
          <w:rFonts w:eastAsia="Times New Roman" w:cs="Times New Roman"/>
          <w:bCs/>
          <w:szCs w:val="22"/>
          <w:lang w:bidi="es-ES"/>
        </w:rPr>
        <w:t xml:space="preserve"> de contacto con las administraciones públicas</w:t>
      </w:r>
      <w:r>
        <w:rPr>
          <w:rFonts w:eastAsia="Times New Roman" w:cs="Times New Roman"/>
          <w:bCs/>
          <w:szCs w:val="22"/>
          <w:lang w:bidi="es-ES"/>
        </w:rPr>
        <w:t xml:space="preserve">. </w:t>
      </w:r>
    </w:p>
    <w:p w:rsidR="003A61D2" w:rsidRPr="007134CF" w:rsidRDefault="003A61D2" w:rsidP="003A61D2">
      <w:pPr>
        <w:pStyle w:val="Epgrafe"/>
        <w:keepNext/>
        <w:rPr>
          <w:color w:val="438086" w:themeColor="accent2"/>
          <w:sz w:val="22"/>
          <w:szCs w:val="22"/>
        </w:rPr>
      </w:pPr>
      <w:r w:rsidRPr="007134CF">
        <w:rPr>
          <w:color w:val="438086" w:themeColor="accent2"/>
          <w:sz w:val="22"/>
          <w:szCs w:val="22"/>
        </w:rPr>
        <w:lastRenderedPageBreak/>
        <w:t xml:space="preserve">Gráfico </w:t>
      </w:r>
      <w:r w:rsidRPr="007134CF">
        <w:rPr>
          <w:color w:val="438086" w:themeColor="accent2"/>
          <w:sz w:val="22"/>
          <w:szCs w:val="22"/>
        </w:rPr>
        <w:fldChar w:fldCharType="begin"/>
      </w:r>
      <w:r w:rsidRPr="007134CF">
        <w:rPr>
          <w:color w:val="438086" w:themeColor="accent2"/>
          <w:sz w:val="22"/>
          <w:szCs w:val="22"/>
        </w:rPr>
        <w:instrText xml:space="preserve"> SEQ Gráfico \* ARABIC </w:instrText>
      </w:r>
      <w:r w:rsidRPr="007134CF">
        <w:rPr>
          <w:color w:val="438086" w:themeColor="accent2"/>
          <w:sz w:val="22"/>
          <w:szCs w:val="22"/>
        </w:rPr>
        <w:fldChar w:fldCharType="separate"/>
      </w:r>
      <w:r w:rsidR="009A0015">
        <w:rPr>
          <w:noProof/>
          <w:color w:val="438086" w:themeColor="accent2"/>
          <w:sz w:val="22"/>
          <w:szCs w:val="22"/>
        </w:rPr>
        <w:t>14</w:t>
      </w:r>
      <w:r w:rsidRPr="007134CF">
        <w:rPr>
          <w:color w:val="438086" w:themeColor="accent2"/>
          <w:sz w:val="22"/>
          <w:szCs w:val="22"/>
        </w:rPr>
        <w:fldChar w:fldCharType="end"/>
      </w:r>
      <w:r w:rsidRPr="007134CF">
        <w:rPr>
          <w:color w:val="438086" w:themeColor="accent2"/>
          <w:sz w:val="22"/>
          <w:szCs w:val="22"/>
        </w:rPr>
        <w:t>: Medios habilitados para la presentación de solicitudes de acceso a información pública.</w:t>
      </w:r>
    </w:p>
    <w:p w:rsidR="003A61D2" w:rsidRDefault="002B5A11" w:rsidP="006469F3">
      <w:pPr>
        <w:rPr>
          <w:rFonts w:asciiTheme="majorHAnsi" w:hAnsiTheme="majorHAnsi"/>
          <w:color w:val="438086" w:themeColor="accent2"/>
          <w:szCs w:val="24"/>
        </w:rPr>
      </w:pPr>
      <w:r>
        <w:rPr>
          <w:noProof/>
        </w:rPr>
        <w:drawing>
          <wp:inline distT="0" distB="0" distL="0" distR="0" wp14:anchorId="6898F209" wp14:editId="2828F7B1">
            <wp:extent cx="5783283" cy="2850078"/>
            <wp:effectExtent l="0" t="0" r="27305" b="2667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1303" w:rsidRDefault="003A61D2" w:rsidP="003A61D2">
      <w:pPr>
        <w:spacing w:before="120" w:after="120" w:line="312" w:lineRule="auto"/>
        <w:rPr>
          <w:rFonts w:eastAsia="Times New Roman" w:cs="Times New Roman"/>
          <w:bCs/>
          <w:szCs w:val="22"/>
          <w:lang w:bidi="es-ES"/>
        </w:rPr>
      </w:pPr>
      <w:r w:rsidRPr="00BB4D6D">
        <w:rPr>
          <w:rFonts w:eastAsia="Times New Roman" w:cs="Times New Roman"/>
          <w:bCs/>
          <w:szCs w:val="22"/>
          <w:lang w:bidi="es-ES"/>
        </w:rPr>
        <w:t>En promedio</w:t>
      </w:r>
      <w:r w:rsidR="00337289">
        <w:rPr>
          <w:rFonts w:eastAsia="Times New Roman" w:cs="Times New Roman"/>
          <w:bCs/>
          <w:szCs w:val="22"/>
          <w:lang w:bidi="es-ES"/>
        </w:rPr>
        <w:t>,</w:t>
      </w:r>
      <w:r w:rsidRPr="00BB4D6D">
        <w:rPr>
          <w:rFonts w:eastAsia="Times New Roman" w:cs="Times New Roman"/>
          <w:bCs/>
          <w:szCs w:val="22"/>
          <w:lang w:bidi="es-ES"/>
        </w:rPr>
        <w:t xml:space="preserve"> se han habilitado </w:t>
      </w:r>
      <w:r w:rsidR="000F3CFB">
        <w:rPr>
          <w:rFonts w:eastAsia="Times New Roman" w:cs="Times New Roman"/>
          <w:bCs/>
          <w:szCs w:val="22"/>
          <w:lang w:bidi="es-ES"/>
        </w:rPr>
        <w:t>1,</w:t>
      </w:r>
      <w:r w:rsidR="002B5A11">
        <w:rPr>
          <w:rFonts w:eastAsia="Times New Roman" w:cs="Times New Roman"/>
          <w:bCs/>
          <w:szCs w:val="22"/>
          <w:lang w:bidi="es-ES"/>
        </w:rPr>
        <w:t>6</w:t>
      </w:r>
      <w:r w:rsidR="000F3CFB">
        <w:rPr>
          <w:rFonts w:eastAsia="Times New Roman" w:cs="Times New Roman"/>
          <w:bCs/>
          <w:szCs w:val="22"/>
          <w:lang w:bidi="es-ES"/>
        </w:rPr>
        <w:t>4</w:t>
      </w:r>
      <w:r w:rsidRPr="00BB4D6D">
        <w:rPr>
          <w:rFonts w:eastAsia="Times New Roman" w:cs="Times New Roman"/>
          <w:bCs/>
          <w:szCs w:val="22"/>
          <w:lang w:bidi="es-ES"/>
        </w:rPr>
        <w:t xml:space="preserve"> medios diferentes </w:t>
      </w:r>
      <w:r w:rsidR="002B5A11">
        <w:rPr>
          <w:rFonts w:eastAsia="Times New Roman" w:cs="Times New Roman"/>
          <w:bCs/>
          <w:szCs w:val="22"/>
          <w:lang w:bidi="es-ES"/>
        </w:rPr>
        <w:t>para la</w:t>
      </w:r>
      <w:r w:rsidRPr="00BB4D6D">
        <w:rPr>
          <w:rFonts w:eastAsia="Times New Roman" w:cs="Times New Roman"/>
          <w:bCs/>
          <w:szCs w:val="22"/>
          <w:lang w:bidi="es-ES"/>
        </w:rPr>
        <w:t xml:space="preserve"> presentación de las solicitudes.</w:t>
      </w:r>
      <w:r>
        <w:rPr>
          <w:rFonts w:eastAsia="Times New Roman" w:cs="Times New Roman"/>
          <w:bCs/>
          <w:szCs w:val="22"/>
          <w:lang w:bidi="es-ES"/>
        </w:rPr>
        <w:t xml:space="preserve"> El rango de variación oscila entre </w:t>
      </w:r>
      <w:r w:rsidR="000F3CFB">
        <w:rPr>
          <w:rFonts w:eastAsia="Times New Roman" w:cs="Times New Roman"/>
          <w:bCs/>
          <w:szCs w:val="22"/>
          <w:lang w:bidi="es-ES"/>
        </w:rPr>
        <w:t xml:space="preserve">0 </w:t>
      </w:r>
      <w:r>
        <w:rPr>
          <w:rFonts w:eastAsia="Times New Roman" w:cs="Times New Roman"/>
          <w:bCs/>
          <w:szCs w:val="22"/>
          <w:lang w:bidi="es-ES"/>
        </w:rPr>
        <w:t xml:space="preserve">y </w:t>
      </w:r>
      <w:r w:rsidR="000F3CFB">
        <w:rPr>
          <w:rFonts w:eastAsia="Times New Roman" w:cs="Times New Roman"/>
          <w:bCs/>
          <w:szCs w:val="22"/>
          <w:lang w:bidi="es-ES"/>
        </w:rPr>
        <w:t>10</w:t>
      </w:r>
      <w:r>
        <w:rPr>
          <w:rFonts w:eastAsia="Times New Roman" w:cs="Times New Roman"/>
          <w:bCs/>
          <w:szCs w:val="22"/>
          <w:lang w:bidi="es-ES"/>
        </w:rPr>
        <w:t>.</w:t>
      </w:r>
      <w:r w:rsidR="00777DE9">
        <w:rPr>
          <w:rFonts w:eastAsia="Times New Roman" w:cs="Times New Roman"/>
          <w:bCs/>
          <w:szCs w:val="22"/>
          <w:lang w:bidi="es-ES"/>
        </w:rPr>
        <w:t xml:space="preserve"> La </w:t>
      </w:r>
      <w:r w:rsidR="000F3CFB">
        <w:rPr>
          <w:rFonts w:eastAsia="Times New Roman" w:cs="Times New Roman"/>
          <w:bCs/>
          <w:szCs w:val="22"/>
          <w:lang w:bidi="es-ES"/>
        </w:rPr>
        <w:t xml:space="preserve">situación más frecuente – </w:t>
      </w:r>
      <w:r w:rsidR="002B5A11">
        <w:rPr>
          <w:rFonts w:eastAsia="Times New Roman" w:cs="Times New Roman"/>
          <w:bCs/>
          <w:szCs w:val="22"/>
          <w:lang w:bidi="es-ES"/>
        </w:rPr>
        <w:t>52</w:t>
      </w:r>
      <w:r w:rsidR="000F3CFB">
        <w:rPr>
          <w:rFonts w:eastAsia="Times New Roman" w:cs="Times New Roman"/>
          <w:bCs/>
          <w:szCs w:val="22"/>
          <w:lang w:bidi="es-ES"/>
        </w:rPr>
        <w:t xml:space="preserve">% de los casos – es no informar </w:t>
      </w:r>
      <w:r w:rsidR="00181303">
        <w:rPr>
          <w:rFonts w:eastAsia="Times New Roman" w:cs="Times New Roman"/>
          <w:bCs/>
          <w:szCs w:val="22"/>
          <w:lang w:bidi="es-ES"/>
        </w:rPr>
        <w:t xml:space="preserve">de </w:t>
      </w:r>
      <w:r w:rsidR="001C5432">
        <w:rPr>
          <w:rFonts w:eastAsia="Times New Roman" w:cs="Times New Roman"/>
          <w:bCs/>
          <w:szCs w:val="22"/>
          <w:lang w:bidi="es-ES"/>
        </w:rPr>
        <w:t>los medios</w:t>
      </w:r>
      <w:r w:rsidR="00777DE9">
        <w:rPr>
          <w:rFonts w:eastAsia="Times New Roman" w:cs="Times New Roman"/>
          <w:bCs/>
          <w:szCs w:val="22"/>
          <w:lang w:bidi="es-ES"/>
        </w:rPr>
        <w:t xml:space="preserve"> de presentación de solicitudes.</w:t>
      </w:r>
      <w:r w:rsidR="001C5432">
        <w:rPr>
          <w:rFonts w:eastAsia="Times New Roman" w:cs="Times New Roman"/>
          <w:bCs/>
          <w:szCs w:val="22"/>
          <w:lang w:bidi="es-ES"/>
        </w:rPr>
        <w:t xml:space="preserve"> </w:t>
      </w:r>
      <w:r w:rsidR="002B5A11">
        <w:rPr>
          <w:rFonts w:eastAsia="Times New Roman" w:cs="Times New Roman"/>
          <w:bCs/>
          <w:szCs w:val="22"/>
          <w:lang w:bidi="es-ES"/>
        </w:rPr>
        <w:t>La proporción de organismos que no indican a través de qué canales pueden presentarse las solicitudes de acceso a información pública ha aumentado un 53% respecto de 2021.</w:t>
      </w:r>
    </w:p>
    <w:p w:rsidR="00777DE9" w:rsidRPr="00777DE9" w:rsidRDefault="00777DE9" w:rsidP="003A61D2">
      <w:pPr>
        <w:spacing w:before="120" w:after="120" w:line="312" w:lineRule="auto"/>
        <w:rPr>
          <w:rFonts w:eastAsia="Times New Roman" w:cs="Times New Roman"/>
          <w:b/>
          <w:bCs/>
          <w:szCs w:val="22"/>
          <w:lang w:bidi="es-ES"/>
        </w:rPr>
      </w:pPr>
      <w:r w:rsidRPr="00777DE9">
        <w:rPr>
          <w:b/>
          <w:color w:val="438086" w:themeColor="accent2"/>
          <w:szCs w:val="22"/>
        </w:rPr>
        <w:t xml:space="preserve">Gráfico </w:t>
      </w:r>
      <w:r w:rsidRPr="00777DE9">
        <w:rPr>
          <w:b/>
          <w:color w:val="438086" w:themeColor="accent2"/>
          <w:szCs w:val="22"/>
        </w:rPr>
        <w:fldChar w:fldCharType="begin"/>
      </w:r>
      <w:r w:rsidRPr="00777DE9">
        <w:rPr>
          <w:b/>
          <w:color w:val="438086" w:themeColor="accent2"/>
          <w:szCs w:val="22"/>
        </w:rPr>
        <w:instrText xml:space="preserve"> SEQ Gráfico \* ARABIC </w:instrText>
      </w:r>
      <w:r w:rsidRPr="00777DE9">
        <w:rPr>
          <w:b/>
          <w:color w:val="438086" w:themeColor="accent2"/>
          <w:szCs w:val="22"/>
        </w:rPr>
        <w:fldChar w:fldCharType="separate"/>
      </w:r>
      <w:r w:rsidR="009A0015">
        <w:rPr>
          <w:b/>
          <w:noProof/>
          <w:color w:val="438086" w:themeColor="accent2"/>
          <w:szCs w:val="22"/>
        </w:rPr>
        <w:t>15</w:t>
      </w:r>
      <w:r w:rsidRPr="00777DE9">
        <w:rPr>
          <w:b/>
          <w:color w:val="438086" w:themeColor="accent2"/>
          <w:szCs w:val="22"/>
        </w:rPr>
        <w:fldChar w:fldCharType="end"/>
      </w:r>
      <w:r w:rsidRPr="00777DE9">
        <w:rPr>
          <w:b/>
          <w:color w:val="438086" w:themeColor="accent2"/>
          <w:szCs w:val="22"/>
        </w:rPr>
        <w:t>: Distribución del número de medios habilitados para la presentación de las solicitudes (porcentajes)</w:t>
      </w:r>
    </w:p>
    <w:p w:rsidR="003A61D2" w:rsidRDefault="002B5A11" w:rsidP="003A61D2">
      <w:pPr>
        <w:pStyle w:val="Ttulo3"/>
      </w:pPr>
      <w:bookmarkStart w:id="28" w:name="_Toc113366629"/>
      <w:r>
        <w:rPr>
          <w:noProof/>
        </w:rPr>
        <w:drawing>
          <wp:inline distT="0" distB="0" distL="0" distR="0" wp14:anchorId="0BBDCB8B" wp14:editId="3F1C2FCC">
            <wp:extent cx="5557652" cy="2826327"/>
            <wp:effectExtent l="0" t="0" r="2413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28"/>
    </w:p>
    <w:p w:rsidR="00561E73" w:rsidRDefault="00561E73" w:rsidP="00777DE9">
      <w:pPr>
        <w:spacing w:before="120" w:after="120" w:line="312" w:lineRule="auto"/>
        <w:rPr>
          <w:rFonts w:eastAsia="Times New Roman" w:cs="Times New Roman"/>
          <w:bCs/>
          <w:szCs w:val="22"/>
          <w:lang w:bidi="es-ES"/>
        </w:rPr>
      </w:pPr>
      <w:r>
        <w:rPr>
          <w:rFonts w:eastAsia="Times New Roman" w:cs="Times New Roman"/>
          <w:bCs/>
          <w:szCs w:val="22"/>
          <w:lang w:bidi="es-ES"/>
        </w:rPr>
        <w:lastRenderedPageBreak/>
        <w:t xml:space="preserve">Una cuestión adicional respecto de los medios habilitados para la presentación de solicitudes de acceso es que existe la posibilidad de presentación a través del Portal de Transparencia de la AGE, pero prácticamente ninguno de los organismos evaluados informa en su web o Portal de Transparencia sobre esta posibilidad. </w:t>
      </w:r>
    </w:p>
    <w:p w:rsidR="000302F6" w:rsidRDefault="00777DE9" w:rsidP="00777DE9">
      <w:pPr>
        <w:spacing w:before="120" w:after="120" w:line="312" w:lineRule="auto"/>
        <w:rPr>
          <w:rFonts w:eastAsia="Times New Roman" w:cs="Times New Roman"/>
          <w:bCs/>
          <w:szCs w:val="22"/>
          <w:lang w:bidi="es-ES"/>
        </w:rPr>
      </w:pPr>
      <w:r>
        <w:rPr>
          <w:rFonts w:eastAsia="Times New Roman" w:cs="Times New Roman"/>
          <w:bCs/>
          <w:szCs w:val="22"/>
          <w:lang w:bidi="es-ES"/>
        </w:rPr>
        <w:t xml:space="preserve">En cuanto a los requisitos exigidos, </w:t>
      </w:r>
      <w:r w:rsidR="00CE0AAA">
        <w:rPr>
          <w:rFonts w:eastAsia="Times New Roman" w:cs="Times New Roman"/>
          <w:bCs/>
          <w:szCs w:val="22"/>
          <w:lang w:bidi="es-ES"/>
        </w:rPr>
        <w:t>diez</w:t>
      </w:r>
      <w:r>
        <w:rPr>
          <w:rFonts w:eastAsia="Times New Roman" w:cs="Times New Roman"/>
          <w:bCs/>
          <w:szCs w:val="22"/>
          <w:lang w:bidi="es-ES"/>
        </w:rPr>
        <w:t xml:space="preserve"> de los organismos evaluados no informa</w:t>
      </w:r>
      <w:r w:rsidR="001C5432">
        <w:rPr>
          <w:rFonts w:eastAsia="Times New Roman" w:cs="Times New Roman"/>
          <w:bCs/>
          <w:szCs w:val="22"/>
          <w:lang w:bidi="es-ES"/>
        </w:rPr>
        <w:t>n</w:t>
      </w:r>
      <w:r>
        <w:rPr>
          <w:rFonts w:eastAsia="Times New Roman" w:cs="Times New Roman"/>
          <w:bCs/>
          <w:szCs w:val="22"/>
          <w:lang w:bidi="es-ES"/>
        </w:rPr>
        <w:t xml:space="preserve"> en su web sobre este asunto. En los restantes casos, </w:t>
      </w:r>
      <w:r w:rsidR="001C5432">
        <w:rPr>
          <w:rFonts w:eastAsia="Times New Roman" w:cs="Times New Roman"/>
          <w:bCs/>
          <w:szCs w:val="22"/>
          <w:lang w:bidi="es-ES"/>
        </w:rPr>
        <w:t xml:space="preserve">en </w:t>
      </w:r>
      <w:r w:rsidR="00CE0AAA">
        <w:rPr>
          <w:rFonts w:eastAsia="Times New Roman" w:cs="Times New Roman"/>
          <w:bCs/>
          <w:szCs w:val="22"/>
          <w:lang w:bidi="es-ES"/>
        </w:rPr>
        <w:t>12</w:t>
      </w:r>
      <w:r w:rsidR="001C5432">
        <w:rPr>
          <w:rFonts w:eastAsia="Times New Roman" w:cs="Times New Roman"/>
          <w:bCs/>
          <w:szCs w:val="22"/>
          <w:lang w:bidi="es-ES"/>
        </w:rPr>
        <w:t xml:space="preserve"> organismos </w:t>
      </w:r>
      <w:r w:rsidR="000302F6">
        <w:rPr>
          <w:rFonts w:eastAsia="Times New Roman" w:cs="Times New Roman"/>
          <w:bCs/>
          <w:szCs w:val="22"/>
          <w:lang w:bidi="es-ES"/>
        </w:rPr>
        <w:t xml:space="preserve">se </w:t>
      </w:r>
      <w:r>
        <w:rPr>
          <w:rFonts w:eastAsia="Times New Roman" w:cs="Times New Roman"/>
          <w:bCs/>
          <w:szCs w:val="22"/>
          <w:lang w:bidi="es-ES"/>
        </w:rPr>
        <w:t>exige la identificación de la p</w:t>
      </w:r>
      <w:r w:rsidR="00CE0AAA">
        <w:rPr>
          <w:rFonts w:eastAsia="Times New Roman" w:cs="Times New Roman"/>
          <w:bCs/>
          <w:szCs w:val="22"/>
          <w:lang w:bidi="es-ES"/>
        </w:rPr>
        <w:t xml:space="preserve">ersona que efectúa la solicitud - </w:t>
      </w:r>
      <w:r>
        <w:rPr>
          <w:rFonts w:eastAsia="Times New Roman" w:cs="Times New Roman"/>
          <w:bCs/>
          <w:szCs w:val="22"/>
          <w:lang w:bidi="es-ES"/>
        </w:rPr>
        <w:t xml:space="preserve"> </w:t>
      </w:r>
      <w:r w:rsidR="0028680F">
        <w:rPr>
          <w:rFonts w:eastAsia="Times New Roman" w:cs="Times New Roman"/>
          <w:bCs/>
          <w:szCs w:val="22"/>
          <w:lang w:bidi="es-ES"/>
        </w:rPr>
        <w:t xml:space="preserve">en </w:t>
      </w:r>
      <w:r w:rsidR="00CE0AAA">
        <w:rPr>
          <w:rFonts w:eastAsia="Times New Roman" w:cs="Times New Roman"/>
          <w:bCs/>
          <w:szCs w:val="22"/>
          <w:lang w:bidi="es-ES"/>
        </w:rPr>
        <w:t xml:space="preserve">dos de ellos </w:t>
      </w:r>
      <w:r w:rsidR="000302F6">
        <w:rPr>
          <w:rFonts w:eastAsia="Times New Roman" w:cs="Times New Roman"/>
          <w:bCs/>
          <w:szCs w:val="22"/>
          <w:lang w:bidi="es-ES"/>
        </w:rPr>
        <w:t xml:space="preserve"> la acreditación de la identidad se efectúa mediante </w:t>
      </w:r>
      <w:r w:rsidR="001C5432">
        <w:rPr>
          <w:rFonts w:eastAsia="Times New Roman" w:cs="Times New Roman"/>
          <w:bCs/>
          <w:szCs w:val="22"/>
          <w:lang w:bidi="es-ES"/>
        </w:rPr>
        <w:t>copia del DNI –</w:t>
      </w:r>
      <w:r w:rsidR="00CE0AAA">
        <w:rPr>
          <w:rFonts w:eastAsia="Times New Roman" w:cs="Times New Roman"/>
          <w:bCs/>
          <w:szCs w:val="22"/>
          <w:lang w:bidi="es-ES"/>
        </w:rPr>
        <w:t xml:space="preserve">, </w:t>
      </w:r>
      <w:r w:rsidR="001C5432">
        <w:rPr>
          <w:rFonts w:eastAsia="Times New Roman" w:cs="Times New Roman"/>
          <w:bCs/>
          <w:szCs w:val="22"/>
          <w:lang w:bidi="es-ES"/>
        </w:rPr>
        <w:t xml:space="preserve"> </w:t>
      </w:r>
      <w:r w:rsidR="00A301DD">
        <w:rPr>
          <w:rFonts w:eastAsia="Times New Roman" w:cs="Times New Roman"/>
          <w:bCs/>
          <w:szCs w:val="22"/>
          <w:lang w:bidi="es-ES"/>
        </w:rPr>
        <w:t>u</w:t>
      </w:r>
      <w:r w:rsidR="00CE0AAA">
        <w:rPr>
          <w:rFonts w:eastAsia="Times New Roman" w:cs="Times New Roman"/>
          <w:bCs/>
          <w:szCs w:val="22"/>
          <w:lang w:bidi="es-ES"/>
        </w:rPr>
        <w:t>n</w:t>
      </w:r>
      <w:r w:rsidR="001C5432">
        <w:rPr>
          <w:rFonts w:eastAsia="Times New Roman" w:cs="Times New Roman"/>
          <w:bCs/>
          <w:szCs w:val="22"/>
          <w:lang w:bidi="es-ES"/>
        </w:rPr>
        <w:t xml:space="preserve"> organismo que solo ha habilitado </w:t>
      </w:r>
      <w:r w:rsidR="00561E73" w:rsidRPr="00561E73">
        <w:rPr>
          <w:rFonts w:eastAsia="Times New Roman" w:cs="Times New Roman"/>
          <w:bCs/>
          <w:szCs w:val="22"/>
          <w:lang w:bidi="es-ES"/>
        </w:rPr>
        <w:t xml:space="preserve">el correo postal </w:t>
      </w:r>
      <w:r w:rsidR="001C5432">
        <w:rPr>
          <w:rFonts w:eastAsia="Times New Roman" w:cs="Times New Roman"/>
          <w:bCs/>
          <w:szCs w:val="22"/>
          <w:lang w:bidi="es-ES"/>
        </w:rPr>
        <w:t>como medio de presentación de solicitudes exige que la solicitud se envíe contra</w:t>
      </w:r>
      <w:r w:rsidR="001C07E7">
        <w:rPr>
          <w:rFonts w:eastAsia="Times New Roman" w:cs="Times New Roman"/>
          <w:bCs/>
          <w:szCs w:val="22"/>
          <w:lang w:bidi="es-ES"/>
        </w:rPr>
        <w:t xml:space="preserve"> </w:t>
      </w:r>
      <w:r w:rsidR="001C5432">
        <w:rPr>
          <w:rFonts w:eastAsia="Times New Roman" w:cs="Times New Roman"/>
          <w:bCs/>
          <w:szCs w:val="22"/>
          <w:lang w:bidi="es-ES"/>
        </w:rPr>
        <w:t>r</w:t>
      </w:r>
      <w:r w:rsidR="00EE3C20">
        <w:rPr>
          <w:rFonts w:eastAsia="Times New Roman" w:cs="Times New Roman"/>
          <w:bCs/>
          <w:szCs w:val="22"/>
          <w:lang w:bidi="es-ES"/>
        </w:rPr>
        <w:t>e</w:t>
      </w:r>
      <w:r w:rsidR="001C5432">
        <w:rPr>
          <w:rFonts w:eastAsia="Times New Roman" w:cs="Times New Roman"/>
          <w:bCs/>
          <w:szCs w:val="22"/>
          <w:lang w:bidi="es-ES"/>
        </w:rPr>
        <w:t xml:space="preserve">embolso. </w:t>
      </w:r>
      <w:r w:rsidR="00CE0AAA">
        <w:rPr>
          <w:rFonts w:eastAsia="Times New Roman" w:cs="Times New Roman"/>
          <w:bCs/>
          <w:szCs w:val="22"/>
          <w:lang w:bidi="es-ES"/>
        </w:rPr>
        <w:t>Finalmente, tres entidades incluyen</w:t>
      </w:r>
      <w:r w:rsidR="001C07E7">
        <w:rPr>
          <w:rFonts w:eastAsia="Times New Roman" w:cs="Times New Roman"/>
          <w:bCs/>
          <w:szCs w:val="22"/>
          <w:lang w:bidi="es-ES"/>
        </w:rPr>
        <w:t>,</w:t>
      </w:r>
      <w:r w:rsidR="00CE0AAA">
        <w:rPr>
          <w:rFonts w:eastAsia="Times New Roman" w:cs="Times New Roman"/>
          <w:bCs/>
          <w:szCs w:val="22"/>
          <w:lang w:bidi="es-ES"/>
        </w:rPr>
        <w:t xml:space="preserve"> </w:t>
      </w:r>
      <w:r w:rsidR="00DE364B">
        <w:rPr>
          <w:rFonts w:eastAsia="Times New Roman" w:cs="Times New Roman"/>
          <w:bCs/>
          <w:szCs w:val="22"/>
          <w:lang w:bidi="es-ES"/>
        </w:rPr>
        <w:t>de manera opcional, la motivación de la solicitud.</w:t>
      </w:r>
    </w:p>
    <w:p w:rsidR="00561E73" w:rsidRDefault="00DE364B" w:rsidP="00777DE9">
      <w:pPr>
        <w:spacing w:before="120" w:after="120" w:line="312" w:lineRule="auto"/>
        <w:rPr>
          <w:rFonts w:eastAsia="Times New Roman" w:cs="Times New Roman"/>
          <w:bCs/>
          <w:szCs w:val="22"/>
          <w:lang w:bidi="es-ES"/>
        </w:rPr>
      </w:pPr>
      <w:r>
        <w:rPr>
          <w:rFonts w:eastAsia="Times New Roman" w:cs="Times New Roman"/>
          <w:bCs/>
          <w:szCs w:val="22"/>
          <w:lang w:bidi="es-ES"/>
        </w:rPr>
        <w:t xml:space="preserve">Seis </w:t>
      </w:r>
      <w:r w:rsidR="00561E73">
        <w:rPr>
          <w:rFonts w:eastAsia="Times New Roman" w:cs="Times New Roman"/>
          <w:bCs/>
          <w:szCs w:val="22"/>
          <w:lang w:bidi="es-ES"/>
        </w:rPr>
        <w:t xml:space="preserve">de los organismos disponen de formularios para la presentación de solicitudes – en </w:t>
      </w:r>
      <w:r>
        <w:rPr>
          <w:rFonts w:eastAsia="Times New Roman" w:cs="Times New Roman"/>
          <w:bCs/>
          <w:szCs w:val="22"/>
          <w:lang w:bidi="es-ES"/>
        </w:rPr>
        <w:t>otros dos</w:t>
      </w:r>
      <w:r w:rsidR="00561E73">
        <w:rPr>
          <w:rFonts w:eastAsia="Times New Roman" w:cs="Times New Roman"/>
          <w:bCs/>
          <w:szCs w:val="22"/>
          <w:lang w:bidi="es-ES"/>
        </w:rPr>
        <w:t xml:space="preserve"> casos se trata de formularios para efectuar peticiones o consultas genéricas – y </w:t>
      </w:r>
      <w:r>
        <w:rPr>
          <w:rFonts w:eastAsia="Times New Roman" w:cs="Times New Roman"/>
          <w:bCs/>
          <w:szCs w:val="22"/>
          <w:lang w:bidi="es-ES"/>
        </w:rPr>
        <w:t>quince</w:t>
      </w:r>
      <w:r w:rsidR="00561E73">
        <w:rPr>
          <w:rFonts w:eastAsia="Times New Roman" w:cs="Times New Roman"/>
          <w:bCs/>
          <w:szCs w:val="22"/>
          <w:lang w:bidi="es-ES"/>
        </w:rPr>
        <w:t xml:space="preserve"> disponen  de instrucciones o explicaciones adicionales.</w:t>
      </w:r>
    </w:p>
    <w:p w:rsidR="003A61D2" w:rsidRDefault="003A61D2" w:rsidP="003A61D2">
      <w:pPr>
        <w:pStyle w:val="Ttulo3"/>
      </w:pPr>
    </w:p>
    <w:p w:rsidR="006469F3" w:rsidRDefault="003A61D2" w:rsidP="003A61D2">
      <w:pPr>
        <w:pStyle w:val="Ttulo3"/>
      </w:pPr>
      <w:bookmarkStart w:id="29" w:name="_Toc113366630"/>
      <w:r>
        <w:t xml:space="preserve">IV.3.2 </w:t>
      </w:r>
      <w:r w:rsidR="006469F3" w:rsidRPr="006469F3">
        <w:t>Gestión de las solicitudes de acceso</w:t>
      </w:r>
      <w:bookmarkEnd w:id="29"/>
    </w:p>
    <w:p w:rsidR="009832A4" w:rsidRDefault="009832A4" w:rsidP="000302F6">
      <w:pPr>
        <w:rPr>
          <w:rFonts w:eastAsia="Times New Roman" w:cs="Times New Roman"/>
          <w:bCs/>
          <w:lang w:bidi="es-ES"/>
        </w:rPr>
      </w:pPr>
    </w:p>
    <w:p w:rsidR="000302F6" w:rsidRDefault="000302F6" w:rsidP="000302F6">
      <w:pPr>
        <w:rPr>
          <w:rFonts w:eastAsia="Times New Roman" w:cs="Times New Roman"/>
          <w:bCs/>
          <w:lang w:bidi="es-ES"/>
        </w:rPr>
      </w:pPr>
      <w:r w:rsidRPr="00734470">
        <w:rPr>
          <w:rFonts w:eastAsia="Times New Roman" w:cs="Times New Roman"/>
          <w:bCs/>
          <w:lang w:bidi="es-ES"/>
        </w:rPr>
        <w:t>Las evidencias obtenidas a partir de la presentación de una solicitud de acceso dirigida a cada una de las instituciones se reflejan a continuación organizadas según la fase del procedimiento establecido por la LTAIBG.</w:t>
      </w:r>
    </w:p>
    <w:p w:rsidR="000302F6" w:rsidRPr="00F75B78" w:rsidRDefault="000302F6" w:rsidP="000302F6">
      <w:pPr>
        <w:rPr>
          <w:i/>
          <w:color w:val="438086" w:themeColor="accent2"/>
          <w:szCs w:val="22"/>
        </w:rPr>
      </w:pPr>
      <w:bookmarkStart w:id="30" w:name="_Toc69312062"/>
      <w:bookmarkStart w:id="31" w:name="_Toc81309172"/>
      <w:bookmarkStart w:id="32" w:name="_Toc81309499"/>
      <w:bookmarkStart w:id="33" w:name="_Toc81309680"/>
      <w:bookmarkStart w:id="34" w:name="_Toc113366631"/>
      <w:r w:rsidRPr="00F75B78">
        <w:rPr>
          <w:rStyle w:val="Ttulo2Car"/>
          <w:rFonts w:ascii="Century Gothic" w:hAnsi="Century Gothic"/>
          <w:i/>
          <w:sz w:val="22"/>
          <w:szCs w:val="22"/>
        </w:rPr>
        <w:t>Inicio del procedimiento</w:t>
      </w:r>
      <w:bookmarkEnd w:id="30"/>
      <w:bookmarkEnd w:id="31"/>
      <w:bookmarkEnd w:id="32"/>
      <w:bookmarkEnd w:id="33"/>
      <w:bookmarkEnd w:id="34"/>
    </w:p>
    <w:p w:rsidR="000302F6" w:rsidRDefault="000302F6" w:rsidP="000302F6">
      <w:pPr>
        <w:spacing w:before="120" w:after="120"/>
        <w:rPr>
          <w:rFonts w:eastAsia="Times New Roman" w:cs="Times New Roman"/>
          <w:szCs w:val="24"/>
          <w:lang w:bidi="es-ES"/>
        </w:rPr>
      </w:pPr>
      <w:r>
        <w:rPr>
          <w:rFonts w:eastAsia="Times New Roman" w:cs="Times New Roman"/>
          <w:szCs w:val="24"/>
          <w:lang w:bidi="es-ES"/>
        </w:rPr>
        <w:t xml:space="preserve">Las solicitudes se presentaron entre los meses de </w:t>
      </w:r>
      <w:r w:rsidR="00DE364B">
        <w:rPr>
          <w:rFonts w:eastAsia="Times New Roman" w:cs="Times New Roman"/>
          <w:szCs w:val="24"/>
          <w:lang w:bidi="es-ES"/>
        </w:rPr>
        <w:t>junio</w:t>
      </w:r>
      <w:r>
        <w:rPr>
          <w:rFonts w:eastAsia="Times New Roman" w:cs="Times New Roman"/>
          <w:szCs w:val="24"/>
          <w:lang w:bidi="es-ES"/>
        </w:rPr>
        <w:t xml:space="preserve"> y </w:t>
      </w:r>
      <w:r w:rsidR="00561E73">
        <w:rPr>
          <w:rFonts w:eastAsia="Times New Roman" w:cs="Times New Roman"/>
          <w:szCs w:val="24"/>
          <w:lang w:bidi="es-ES"/>
        </w:rPr>
        <w:t>julio</w:t>
      </w:r>
      <w:r>
        <w:rPr>
          <w:rFonts w:eastAsia="Times New Roman" w:cs="Times New Roman"/>
          <w:szCs w:val="24"/>
          <w:lang w:bidi="es-ES"/>
        </w:rPr>
        <w:t xml:space="preserve">. </w:t>
      </w:r>
      <w:r w:rsidR="00DE364B">
        <w:rPr>
          <w:rFonts w:eastAsia="Times New Roman" w:cs="Times New Roman"/>
          <w:szCs w:val="24"/>
          <w:lang w:bidi="es-ES"/>
        </w:rPr>
        <w:t>Ocho</w:t>
      </w:r>
      <w:r w:rsidR="004452FC">
        <w:rPr>
          <w:rFonts w:eastAsia="Times New Roman" w:cs="Times New Roman"/>
          <w:szCs w:val="24"/>
          <w:lang w:bidi="es-ES"/>
        </w:rPr>
        <w:t xml:space="preserve"> de las solicitudes se present</w:t>
      </w:r>
      <w:r w:rsidR="00181303">
        <w:rPr>
          <w:rFonts w:eastAsia="Times New Roman" w:cs="Times New Roman"/>
          <w:szCs w:val="24"/>
          <w:lang w:bidi="es-ES"/>
        </w:rPr>
        <w:t>aron</w:t>
      </w:r>
      <w:r>
        <w:rPr>
          <w:rFonts w:eastAsia="Times New Roman" w:cs="Times New Roman"/>
          <w:szCs w:val="24"/>
          <w:lang w:bidi="es-ES"/>
        </w:rPr>
        <w:t xml:space="preserve"> mediante </w:t>
      </w:r>
      <w:r w:rsidR="009832A4">
        <w:rPr>
          <w:rFonts w:eastAsia="Times New Roman" w:cs="Times New Roman"/>
          <w:szCs w:val="24"/>
          <w:lang w:bidi="es-ES"/>
        </w:rPr>
        <w:t>el</w:t>
      </w:r>
      <w:r>
        <w:rPr>
          <w:rFonts w:eastAsia="Times New Roman" w:cs="Times New Roman"/>
          <w:szCs w:val="24"/>
          <w:lang w:bidi="es-ES"/>
        </w:rPr>
        <w:t xml:space="preserve"> formulario web habilitado</w:t>
      </w:r>
      <w:r w:rsidR="00DE364B">
        <w:rPr>
          <w:rFonts w:eastAsia="Times New Roman" w:cs="Times New Roman"/>
          <w:szCs w:val="24"/>
          <w:lang w:bidi="es-ES"/>
        </w:rPr>
        <w:t xml:space="preserve"> para la presentación de solicitudes o bien mediante los formularios de contacto general</w:t>
      </w:r>
      <w:r>
        <w:rPr>
          <w:rFonts w:eastAsia="Times New Roman" w:cs="Times New Roman"/>
          <w:szCs w:val="24"/>
          <w:lang w:bidi="es-ES"/>
        </w:rPr>
        <w:t xml:space="preserve">, </w:t>
      </w:r>
      <w:r w:rsidR="00DE364B">
        <w:rPr>
          <w:rFonts w:eastAsia="Times New Roman" w:cs="Times New Roman"/>
          <w:szCs w:val="24"/>
          <w:lang w:bidi="es-ES"/>
        </w:rPr>
        <w:t>otras ocho</w:t>
      </w:r>
      <w:r>
        <w:rPr>
          <w:rFonts w:eastAsia="Times New Roman" w:cs="Times New Roman"/>
          <w:szCs w:val="24"/>
          <w:lang w:bidi="es-ES"/>
        </w:rPr>
        <w:t xml:space="preserve"> por correo </w:t>
      </w:r>
      <w:r w:rsidR="00561E73">
        <w:rPr>
          <w:rFonts w:eastAsia="Times New Roman" w:cs="Times New Roman"/>
          <w:szCs w:val="24"/>
          <w:lang w:bidi="es-ES"/>
        </w:rPr>
        <w:t>electrónico,</w:t>
      </w:r>
      <w:r w:rsidR="00DE364B">
        <w:rPr>
          <w:rFonts w:eastAsia="Times New Roman" w:cs="Times New Roman"/>
          <w:szCs w:val="24"/>
          <w:lang w:bidi="es-ES"/>
        </w:rPr>
        <w:t xml:space="preserve"> seis a través del Registro Electrónico General,</w:t>
      </w:r>
      <w:r w:rsidR="00561E73">
        <w:rPr>
          <w:rFonts w:eastAsia="Times New Roman" w:cs="Times New Roman"/>
          <w:szCs w:val="24"/>
          <w:lang w:bidi="es-ES"/>
        </w:rPr>
        <w:t xml:space="preserve"> </w:t>
      </w:r>
      <w:r w:rsidR="00DE364B">
        <w:rPr>
          <w:rFonts w:eastAsia="Times New Roman" w:cs="Times New Roman"/>
          <w:szCs w:val="24"/>
          <w:lang w:bidi="es-ES"/>
        </w:rPr>
        <w:t>dos</w:t>
      </w:r>
      <w:r w:rsidR="00561E73">
        <w:rPr>
          <w:rFonts w:eastAsia="Times New Roman" w:cs="Times New Roman"/>
          <w:szCs w:val="24"/>
          <w:lang w:bidi="es-ES"/>
        </w:rPr>
        <w:t xml:space="preserve"> a través del Portal de Transparencia de la AGE </w:t>
      </w:r>
      <w:r>
        <w:rPr>
          <w:rFonts w:eastAsia="Times New Roman" w:cs="Times New Roman"/>
          <w:szCs w:val="24"/>
          <w:lang w:bidi="es-ES"/>
        </w:rPr>
        <w:t xml:space="preserve">y </w:t>
      </w:r>
      <w:r w:rsidR="00561E73">
        <w:rPr>
          <w:rFonts w:eastAsia="Times New Roman" w:cs="Times New Roman"/>
          <w:szCs w:val="24"/>
          <w:lang w:bidi="es-ES"/>
        </w:rPr>
        <w:t>1</w:t>
      </w:r>
      <w:r>
        <w:rPr>
          <w:rFonts w:eastAsia="Times New Roman" w:cs="Times New Roman"/>
          <w:szCs w:val="24"/>
          <w:lang w:bidi="es-ES"/>
        </w:rPr>
        <w:t xml:space="preserve"> a través de </w:t>
      </w:r>
      <w:r w:rsidR="00561E73">
        <w:rPr>
          <w:rFonts w:eastAsia="Times New Roman" w:cs="Times New Roman"/>
          <w:szCs w:val="24"/>
          <w:lang w:bidi="es-ES"/>
        </w:rPr>
        <w:t>correo postal</w:t>
      </w:r>
      <w:r>
        <w:rPr>
          <w:rFonts w:eastAsia="Times New Roman" w:cs="Times New Roman"/>
          <w:szCs w:val="24"/>
          <w:lang w:bidi="es-ES"/>
        </w:rPr>
        <w:t>.</w:t>
      </w:r>
    </w:p>
    <w:p w:rsidR="000D2D9C" w:rsidRDefault="000D2D9C" w:rsidP="000302F6">
      <w:pPr>
        <w:spacing w:before="120" w:after="120"/>
        <w:rPr>
          <w:rFonts w:eastAsia="Times New Roman" w:cs="Times New Roman"/>
          <w:szCs w:val="24"/>
          <w:lang w:bidi="es-ES"/>
        </w:rPr>
      </w:pPr>
      <w:r>
        <w:rPr>
          <w:rFonts w:eastAsia="Times New Roman" w:cs="Times New Roman"/>
          <w:szCs w:val="24"/>
          <w:lang w:bidi="es-ES"/>
        </w:rPr>
        <w:t>Dos de las solicitudes no pudieron presentarse a través de</w:t>
      </w:r>
      <w:r w:rsidR="00A301DD">
        <w:rPr>
          <w:rFonts w:eastAsia="Times New Roman" w:cs="Times New Roman"/>
          <w:szCs w:val="24"/>
          <w:lang w:bidi="es-ES"/>
        </w:rPr>
        <w:t xml:space="preserve"> </w:t>
      </w:r>
      <w:r>
        <w:rPr>
          <w:rFonts w:eastAsia="Times New Roman" w:cs="Times New Roman"/>
          <w:szCs w:val="24"/>
          <w:lang w:bidi="es-ES"/>
        </w:rPr>
        <w:t>l</w:t>
      </w:r>
      <w:r w:rsidR="00A301DD">
        <w:rPr>
          <w:rFonts w:eastAsia="Times New Roman" w:cs="Times New Roman"/>
          <w:szCs w:val="24"/>
          <w:lang w:bidi="es-ES"/>
        </w:rPr>
        <w:t>os</w:t>
      </w:r>
      <w:r>
        <w:rPr>
          <w:rFonts w:eastAsia="Times New Roman" w:cs="Times New Roman"/>
          <w:szCs w:val="24"/>
          <w:lang w:bidi="es-ES"/>
        </w:rPr>
        <w:t xml:space="preserve"> formulario</w:t>
      </w:r>
      <w:r w:rsidR="00A301DD">
        <w:rPr>
          <w:rFonts w:eastAsia="Times New Roman" w:cs="Times New Roman"/>
          <w:szCs w:val="24"/>
          <w:lang w:bidi="es-ES"/>
        </w:rPr>
        <w:t>s -</w:t>
      </w:r>
      <w:r>
        <w:rPr>
          <w:rFonts w:eastAsia="Times New Roman" w:cs="Times New Roman"/>
          <w:szCs w:val="24"/>
          <w:lang w:bidi="es-ES"/>
        </w:rPr>
        <w:t xml:space="preserve"> específico o para</w:t>
      </w:r>
      <w:r w:rsidR="00B56352">
        <w:rPr>
          <w:rFonts w:eastAsia="Times New Roman" w:cs="Times New Roman"/>
          <w:szCs w:val="24"/>
          <w:lang w:bidi="es-ES"/>
        </w:rPr>
        <w:t xml:space="preserve"> contactos generales</w:t>
      </w:r>
      <w:r w:rsidR="00A301DD">
        <w:rPr>
          <w:rFonts w:eastAsia="Times New Roman" w:cs="Times New Roman"/>
          <w:szCs w:val="24"/>
          <w:lang w:bidi="es-ES"/>
        </w:rPr>
        <w:t xml:space="preserve"> -</w:t>
      </w:r>
      <w:r w:rsidR="00B56352">
        <w:rPr>
          <w:rFonts w:eastAsia="Times New Roman" w:cs="Times New Roman"/>
          <w:szCs w:val="24"/>
          <w:lang w:bidi="es-ES"/>
        </w:rPr>
        <w:t xml:space="preserve"> disponibles</w:t>
      </w:r>
      <w:r>
        <w:rPr>
          <w:rFonts w:eastAsia="Times New Roman" w:cs="Times New Roman"/>
          <w:szCs w:val="24"/>
          <w:lang w:bidi="es-ES"/>
        </w:rPr>
        <w:t>, porque no estaban operativos. En un caso se optó por presentar la solicitud a través del Registro Electrónico General y en el otro, mediante correo electrónico</w:t>
      </w:r>
    </w:p>
    <w:p w:rsidR="006469F3" w:rsidRDefault="000302F6" w:rsidP="000302F6">
      <w:pPr>
        <w:rPr>
          <w:rFonts w:asciiTheme="majorHAnsi" w:hAnsiTheme="majorHAnsi"/>
          <w:color w:val="438086" w:themeColor="accent2"/>
          <w:szCs w:val="24"/>
        </w:rPr>
      </w:pPr>
      <w:r>
        <w:rPr>
          <w:rFonts w:eastAsia="Times New Roman" w:cs="Times New Roman"/>
          <w:szCs w:val="24"/>
          <w:lang w:bidi="es-ES"/>
        </w:rPr>
        <w:t xml:space="preserve">Se recibió acuse de recibo para </w:t>
      </w:r>
      <w:r w:rsidR="00DE364B">
        <w:rPr>
          <w:rFonts w:eastAsia="Times New Roman" w:cs="Times New Roman"/>
          <w:szCs w:val="24"/>
          <w:lang w:bidi="es-ES"/>
        </w:rPr>
        <w:t>13</w:t>
      </w:r>
      <w:r>
        <w:rPr>
          <w:rFonts w:eastAsia="Times New Roman" w:cs="Times New Roman"/>
          <w:szCs w:val="24"/>
          <w:lang w:bidi="es-ES"/>
        </w:rPr>
        <w:t xml:space="preserve"> de las </w:t>
      </w:r>
      <w:r w:rsidR="00DE364B">
        <w:rPr>
          <w:rFonts w:eastAsia="Times New Roman" w:cs="Times New Roman"/>
          <w:szCs w:val="24"/>
          <w:lang w:bidi="es-ES"/>
        </w:rPr>
        <w:t>25</w:t>
      </w:r>
      <w:r>
        <w:rPr>
          <w:rFonts w:eastAsia="Times New Roman" w:cs="Times New Roman"/>
          <w:szCs w:val="24"/>
          <w:lang w:bidi="es-ES"/>
        </w:rPr>
        <w:t xml:space="preserve"> solicitudes presentadas.</w:t>
      </w:r>
    </w:p>
    <w:p w:rsidR="009832A4" w:rsidRPr="00141128" w:rsidRDefault="009832A4" w:rsidP="009832A4">
      <w:pPr>
        <w:rPr>
          <w:rStyle w:val="Ttulo2Car"/>
          <w:rFonts w:ascii="Century Gothic" w:hAnsi="Century Gothic"/>
          <w:i/>
          <w:sz w:val="22"/>
          <w:szCs w:val="22"/>
        </w:rPr>
      </w:pPr>
      <w:bookmarkStart w:id="35" w:name="_Toc69312063"/>
      <w:bookmarkStart w:id="36" w:name="_Toc81309173"/>
      <w:bookmarkStart w:id="37" w:name="_Toc81309500"/>
      <w:bookmarkStart w:id="38" w:name="_Toc81309681"/>
      <w:bookmarkStart w:id="39" w:name="_Toc113366632"/>
      <w:r w:rsidRPr="00141128">
        <w:rPr>
          <w:rStyle w:val="Ttulo2Car"/>
          <w:rFonts w:ascii="Century Gothic" w:hAnsi="Century Gothic"/>
          <w:i/>
          <w:sz w:val="22"/>
          <w:szCs w:val="22"/>
        </w:rPr>
        <w:t>Tramitación</w:t>
      </w:r>
      <w:bookmarkEnd w:id="35"/>
      <w:bookmarkEnd w:id="36"/>
      <w:bookmarkEnd w:id="37"/>
      <w:bookmarkEnd w:id="38"/>
      <w:bookmarkEnd w:id="39"/>
    </w:p>
    <w:p w:rsidR="009832A4" w:rsidRPr="00521A02" w:rsidRDefault="00144B18" w:rsidP="009832A4">
      <w:pPr>
        <w:pStyle w:val="Prrafodelista"/>
        <w:numPr>
          <w:ilvl w:val="0"/>
          <w:numId w:val="44"/>
        </w:numPr>
        <w:rPr>
          <w:rFonts w:eastAsia="Times New Roman" w:cs="Times New Roman"/>
          <w:szCs w:val="24"/>
          <w:lang w:bidi="es-ES"/>
        </w:rPr>
      </w:pPr>
      <w:r>
        <w:rPr>
          <w:rFonts w:eastAsia="Times New Roman" w:cs="Times New Roman"/>
          <w:szCs w:val="24"/>
          <w:lang w:bidi="es-ES"/>
        </w:rPr>
        <w:t xml:space="preserve">En </w:t>
      </w:r>
      <w:r w:rsidR="00DE364B">
        <w:rPr>
          <w:rFonts w:eastAsia="Times New Roman" w:cs="Times New Roman"/>
          <w:szCs w:val="24"/>
          <w:lang w:bidi="es-ES"/>
        </w:rPr>
        <w:t>5</w:t>
      </w:r>
      <w:r>
        <w:rPr>
          <w:rFonts w:eastAsia="Times New Roman" w:cs="Times New Roman"/>
          <w:szCs w:val="24"/>
          <w:lang w:bidi="es-ES"/>
        </w:rPr>
        <w:t xml:space="preserve"> casos se</w:t>
      </w:r>
      <w:r w:rsidR="009832A4" w:rsidRPr="00521A02">
        <w:rPr>
          <w:rFonts w:eastAsia="Times New Roman" w:cs="Times New Roman"/>
          <w:szCs w:val="24"/>
          <w:lang w:bidi="es-ES"/>
        </w:rPr>
        <w:t xml:space="preserve"> comunica</w:t>
      </w:r>
      <w:r w:rsidR="00D67951">
        <w:rPr>
          <w:rFonts w:eastAsia="Times New Roman" w:cs="Times New Roman"/>
          <w:szCs w:val="24"/>
          <w:lang w:bidi="es-ES"/>
        </w:rPr>
        <w:t xml:space="preserve"> </w:t>
      </w:r>
      <w:r w:rsidR="009832A4" w:rsidRPr="00521A02">
        <w:rPr>
          <w:rFonts w:eastAsia="Times New Roman" w:cs="Times New Roman"/>
          <w:szCs w:val="24"/>
          <w:lang w:bidi="es-ES"/>
        </w:rPr>
        <w:t>e</w:t>
      </w:r>
      <w:r w:rsidR="00D67951">
        <w:rPr>
          <w:rFonts w:eastAsia="Times New Roman" w:cs="Times New Roman"/>
          <w:szCs w:val="24"/>
          <w:lang w:bidi="es-ES"/>
        </w:rPr>
        <w:t>l inicio de la tramitación</w:t>
      </w:r>
      <w:r w:rsidR="009832A4" w:rsidRPr="00521A02">
        <w:rPr>
          <w:rFonts w:eastAsia="Times New Roman" w:cs="Times New Roman"/>
          <w:szCs w:val="24"/>
          <w:lang w:bidi="es-ES"/>
        </w:rPr>
        <w:t xml:space="preserve">. </w:t>
      </w:r>
    </w:p>
    <w:p w:rsidR="009832A4" w:rsidRDefault="00144B18" w:rsidP="009832A4">
      <w:pPr>
        <w:pStyle w:val="Prrafodelista"/>
        <w:numPr>
          <w:ilvl w:val="0"/>
          <w:numId w:val="44"/>
        </w:numPr>
        <w:rPr>
          <w:rFonts w:eastAsia="Times New Roman" w:cs="Times New Roman"/>
          <w:szCs w:val="24"/>
          <w:lang w:bidi="es-ES"/>
        </w:rPr>
      </w:pPr>
      <w:r>
        <w:rPr>
          <w:rFonts w:eastAsia="Times New Roman" w:cs="Times New Roman"/>
          <w:szCs w:val="24"/>
          <w:lang w:bidi="es-ES"/>
        </w:rPr>
        <w:t xml:space="preserve">En </w:t>
      </w:r>
      <w:r w:rsidR="007D7BE3">
        <w:rPr>
          <w:rFonts w:eastAsia="Times New Roman" w:cs="Times New Roman"/>
          <w:szCs w:val="24"/>
          <w:lang w:bidi="es-ES"/>
        </w:rPr>
        <w:t>dos</w:t>
      </w:r>
      <w:r w:rsidR="000D2D9C">
        <w:rPr>
          <w:rFonts w:eastAsia="Times New Roman" w:cs="Times New Roman"/>
          <w:szCs w:val="24"/>
          <w:lang w:bidi="es-ES"/>
        </w:rPr>
        <w:t xml:space="preserve"> caso</w:t>
      </w:r>
      <w:r w:rsidR="007D7BE3">
        <w:rPr>
          <w:rFonts w:eastAsia="Times New Roman" w:cs="Times New Roman"/>
          <w:szCs w:val="24"/>
          <w:lang w:bidi="es-ES"/>
        </w:rPr>
        <w:t>s</w:t>
      </w:r>
      <w:r w:rsidR="000D2D9C">
        <w:rPr>
          <w:rFonts w:eastAsia="Times New Roman" w:cs="Times New Roman"/>
          <w:szCs w:val="24"/>
          <w:lang w:bidi="es-ES"/>
        </w:rPr>
        <w:t>,</w:t>
      </w:r>
      <w:r>
        <w:rPr>
          <w:rFonts w:eastAsia="Times New Roman" w:cs="Times New Roman"/>
          <w:szCs w:val="24"/>
          <w:lang w:bidi="es-ES"/>
        </w:rPr>
        <w:t xml:space="preserve"> la fecha de inicio del cómputo del plazo para resolver que se comunica</w:t>
      </w:r>
      <w:r w:rsidR="000D2D9C">
        <w:rPr>
          <w:rFonts w:eastAsia="Times New Roman" w:cs="Times New Roman"/>
          <w:szCs w:val="24"/>
          <w:lang w:bidi="es-ES"/>
        </w:rPr>
        <w:t>,</w:t>
      </w:r>
      <w:r>
        <w:rPr>
          <w:rFonts w:eastAsia="Times New Roman" w:cs="Times New Roman"/>
          <w:szCs w:val="24"/>
          <w:lang w:bidi="es-ES"/>
        </w:rPr>
        <w:t xml:space="preserve"> no se corresponde con la fecha de la solicitud. </w:t>
      </w:r>
      <w:r w:rsidR="000D2D9C">
        <w:rPr>
          <w:rFonts w:eastAsia="Times New Roman" w:cs="Times New Roman"/>
          <w:szCs w:val="24"/>
          <w:lang w:bidi="es-ES"/>
        </w:rPr>
        <w:t>L</w:t>
      </w:r>
      <w:r>
        <w:rPr>
          <w:rFonts w:eastAsia="Times New Roman" w:cs="Times New Roman"/>
          <w:szCs w:val="24"/>
          <w:lang w:bidi="es-ES"/>
        </w:rPr>
        <w:t>a</w:t>
      </w:r>
      <w:r w:rsidR="00A301DD">
        <w:rPr>
          <w:rFonts w:eastAsia="Times New Roman" w:cs="Times New Roman"/>
          <w:szCs w:val="24"/>
          <w:lang w:bidi="es-ES"/>
        </w:rPr>
        <w:t>s</w:t>
      </w:r>
      <w:r>
        <w:rPr>
          <w:rFonts w:eastAsia="Times New Roman" w:cs="Times New Roman"/>
          <w:szCs w:val="24"/>
          <w:lang w:bidi="es-ES"/>
        </w:rPr>
        <w:t xml:space="preserve"> diferencia</w:t>
      </w:r>
      <w:r w:rsidR="00A301DD">
        <w:rPr>
          <w:rFonts w:eastAsia="Times New Roman" w:cs="Times New Roman"/>
          <w:szCs w:val="24"/>
          <w:lang w:bidi="es-ES"/>
        </w:rPr>
        <w:t>s</w:t>
      </w:r>
      <w:r>
        <w:rPr>
          <w:rFonts w:eastAsia="Times New Roman" w:cs="Times New Roman"/>
          <w:szCs w:val="24"/>
          <w:lang w:bidi="es-ES"/>
        </w:rPr>
        <w:t xml:space="preserve"> </w:t>
      </w:r>
      <w:r>
        <w:rPr>
          <w:rFonts w:eastAsia="Times New Roman" w:cs="Times New Roman"/>
          <w:szCs w:val="24"/>
          <w:lang w:bidi="es-ES"/>
        </w:rPr>
        <w:lastRenderedPageBreak/>
        <w:t xml:space="preserve">entre la fecha efectiva de presentación de la solicitud y la fecha  que se toma como referencia para el cómputo de este plazo </w:t>
      </w:r>
      <w:r w:rsidR="00A301DD">
        <w:rPr>
          <w:rFonts w:eastAsia="Times New Roman" w:cs="Times New Roman"/>
          <w:szCs w:val="24"/>
          <w:lang w:bidi="es-ES"/>
        </w:rPr>
        <w:t>son</w:t>
      </w:r>
      <w:r>
        <w:rPr>
          <w:rFonts w:eastAsia="Times New Roman" w:cs="Times New Roman"/>
          <w:szCs w:val="24"/>
          <w:lang w:bidi="es-ES"/>
        </w:rPr>
        <w:t xml:space="preserve"> </w:t>
      </w:r>
      <w:r w:rsidR="000D2D9C">
        <w:rPr>
          <w:rFonts w:eastAsia="Times New Roman" w:cs="Times New Roman"/>
          <w:szCs w:val="24"/>
          <w:lang w:bidi="es-ES"/>
        </w:rPr>
        <w:t>de</w:t>
      </w:r>
      <w:r w:rsidR="008E0D35">
        <w:rPr>
          <w:rFonts w:eastAsia="Times New Roman" w:cs="Times New Roman"/>
          <w:szCs w:val="24"/>
          <w:lang w:bidi="es-ES"/>
        </w:rPr>
        <w:t xml:space="preserve"> 11 y </w:t>
      </w:r>
      <w:r w:rsidR="000D2D9C">
        <w:rPr>
          <w:rFonts w:eastAsia="Times New Roman" w:cs="Times New Roman"/>
          <w:szCs w:val="24"/>
          <w:lang w:bidi="es-ES"/>
        </w:rPr>
        <w:t>14 días</w:t>
      </w:r>
      <w:r>
        <w:rPr>
          <w:rFonts w:eastAsia="Times New Roman" w:cs="Times New Roman"/>
          <w:szCs w:val="24"/>
          <w:lang w:bidi="es-ES"/>
        </w:rPr>
        <w:t xml:space="preserve">. </w:t>
      </w:r>
    </w:p>
    <w:p w:rsidR="007D7BE3" w:rsidRDefault="007D7BE3" w:rsidP="009832A4">
      <w:pPr>
        <w:pStyle w:val="Prrafodelista"/>
        <w:numPr>
          <w:ilvl w:val="0"/>
          <w:numId w:val="44"/>
        </w:numPr>
        <w:rPr>
          <w:rFonts w:eastAsia="Times New Roman" w:cs="Times New Roman"/>
          <w:szCs w:val="24"/>
          <w:lang w:bidi="es-ES"/>
        </w:rPr>
      </w:pPr>
      <w:r>
        <w:rPr>
          <w:rFonts w:eastAsia="Times New Roman" w:cs="Times New Roman"/>
          <w:szCs w:val="24"/>
          <w:lang w:bidi="es-ES"/>
        </w:rPr>
        <w:t>Dos organismos solicitan ampliación del plazo para resolver.</w:t>
      </w:r>
    </w:p>
    <w:p w:rsidR="0085057F" w:rsidRDefault="0085057F" w:rsidP="009832A4">
      <w:pPr>
        <w:pStyle w:val="Prrafodelista"/>
        <w:numPr>
          <w:ilvl w:val="0"/>
          <w:numId w:val="44"/>
        </w:numPr>
        <w:rPr>
          <w:rFonts w:eastAsia="Times New Roman" w:cs="Times New Roman"/>
          <w:szCs w:val="24"/>
          <w:lang w:bidi="es-ES"/>
        </w:rPr>
      </w:pPr>
      <w:r>
        <w:rPr>
          <w:rFonts w:eastAsia="Times New Roman" w:cs="Times New Roman"/>
          <w:szCs w:val="24"/>
          <w:lang w:bidi="es-ES"/>
        </w:rPr>
        <w:t>Otro organismo, mediante correo electrónico indica que la solicitud debe presentarse a través del Portal de Transparencia de la AGE, cuestión sobre la que no informa en su portal de transparencia.</w:t>
      </w:r>
    </w:p>
    <w:p w:rsidR="00D67951" w:rsidRDefault="00D67951" w:rsidP="00D67951">
      <w:pPr>
        <w:rPr>
          <w:rStyle w:val="Ttulo2Car"/>
          <w:rFonts w:ascii="Century Gothic" w:hAnsi="Century Gothic"/>
          <w:i/>
          <w:sz w:val="22"/>
          <w:szCs w:val="22"/>
        </w:rPr>
      </w:pPr>
      <w:bookmarkStart w:id="40" w:name="_Toc69312064"/>
      <w:bookmarkStart w:id="41" w:name="_Toc81309174"/>
      <w:bookmarkStart w:id="42" w:name="_Toc81309501"/>
      <w:bookmarkStart w:id="43" w:name="_Toc81309682"/>
      <w:bookmarkStart w:id="44" w:name="_Toc113366633"/>
      <w:r w:rsidRPr="00E62C56">
        <w:rPr>
          <w:rStyle w:val="Ttulo2Car"/>
          <w:rFonts w:ascii="Century Gothic" w:hAnsi="Century Gothic"/>
          <w:i/>
          <w:sz w:val="22"/>
          <w:szCs w:val="22"/>
        </w:rPr>
        <w:t>Resolución</w:t>
      </w:r>
      <w:bookmarkEnd w:id="40"/>
      <w:bookmarkEnd w:id="41"/>
      <w:bookmarkEnd w:id="42"/>
      <w:bookmarkEnd w:id="43"/>
      <w:bookmarkEnd w:id="44"/>
    </w:p>
    <w:p w:rsidR="00D67951" w:rsidRPr="006C4499" w:rsidRDefault="00D67951" w:rsidP="00D67951">
      <w:pPr>
        <w:pStyle w:val="Prrafodelista"/>
        <w:numPr>
          <w:ilvl w:val="0"/>
          <w:numId w:val="45"/>
        </w:numPr>
        <w:rPr>
          <w:rFonts w:eastAsia="Times New Roman" w:cs="Times New Roman"/>
          <w:szCs w:val="24"/>
          <w:lang w:bidi="es-ES"/>
        </w:rPr>
      </w:pPr>
      <w:r w:rsidRPr="006C4499">
        <w:rPr>
          <w:rFonts w:eastAsia="Times New Roman" w:cs="Times New Roman"/>
          <w:szCs w:val="24"/>
          <w:lang w:bidi="es-ES"/>
        </w:rPr>
        <w:t xml:space="preserve">No consta que se haya emitido respuesta </w:t>
      </w:r>
      <w:r w:rsidR="008E0D35" w:rsidRPr="006C4499">
        <w:rPr>
          <w:rFonts w:eastAsia="Times New Roman" w:cs="Times New Roman"/>
          <w:szCs w:val="24"/>
          <w:lang w:bidi="es-ES"/>
        </w:rPr>
        <w:t>para</w:t>
      </w:r>
      <w:r w:rsidRPr="006C4499">
        <w:rPr>
          <w:rFonts w:eastAsia="Times New Roman" w:cs="Times New Roman"/>
          <w:szCs w:val="24"/>
          <w:lang w:bidi="es-ES"/>
        </w:rPr>
        <w:t xml:space="preserve"> </w:t>
      </w:r>
      <w:r w:rsidR="008E0D35" w:rsidRPr="006C4499">
        <w:rPr>
          <w:rFonts w:eastAsia="Times New Roman" w:cs="Times New Roman"/>
          <w:szCs w:val="24"/>
          <w:lang w:bidi="es-ES"/>
        </w:rPr>
        <w:t>diez</w:t>
      </w:r>
      <w:r w:rsidR="007D7BE3" w:rsidRPr="006C4499">
        <w:rPr>
          <w:rFonts w:eastAsia="Times New Roman" w:cs="Times New Roman"/>
          <w:szCs w:val="24"/>
          <w:lang w:bidi="es-ES"/>
        </w:rPr>
        <w:t xml:space="preserve"> de </w:t>
      </w:r>
      <w:r w:rsidR="008E0D35" w:rsidRPr="006C4499">
        <w:rPr>
          <w:rFonts w:eastAsia="Times New Roman" w:cs="Times New Roman"/>
          <w:szCs w:val="24"/>
          <w:lang w:bidi="es-ES"/>
        </w:rPr>
        <w:t>las solicitudes</w:t>
      </w:r>
      <w:r w:rsidRPr="006C4499">
        <w:rPr>
          <w:rFonts w:eastAsia="Times New Roman" w:cs="Times New Roman"/>
          <w:szCs w:val="24"/>
          <w:lang w:bidi="es-ES"/>
        </w:rPr>
        <w:t>, por lo que cabe entender que ha</w:t>
      </w:r>
      <w:r w:rsidR="00181303" w:rsidRPr="006C4499">
        <w:rPr>
          <w:rFonts w:eastAsia="Times New Roman" w:cs="Times New Roman"/>
          <w:szCs w:val="24"/>
          <w:lang w:bidi="es-ES"/>
        </w:rPr>
        <w:t>n</w:t>
      </w:r>
      <w:r w:rsidRPr="006C4499">
        <w:rPr>
          <w:rFonts w:eastAsia="Times New Roman" w:cs="Times New Roman"/>
          <w:szCs w:val="24"/>
          <w:lang w:bidi="es-ES"/>
        </w:rPr>
        <w:t xml:space="preserve"> sido </w:t>
      </w:r>
      <w:r w:rsidR="008E0D35" w:rsidRPr="006C4499">
        <w:rPr>
          <w:rFonts w:eastAsia="Times New Roman" w:cs="Times New Roman"/>
          <w:szCs w:val="24"/>
          <w:lang w:bidi="es-ES"/>
        </w:rPr>
        <w:t>desestimadas</w:t>
      </w:r>
      <w:r w:rsidRPr="006C4499">
        <w:rPr>
          <w:rFonts w:eastAsia="Times New Roman" w:cs="Times New Roman"/>
          <w:szCs w:val="24"/>
          <w:lang w:bidi="es-ES"/>
        </w:rPr>
        <w:t xml:space="preserve"> por silencio administrativo al haber transcurrido el plazo de un mes sin obtener respuesta</w:t>
      </w:r>
      <w:r w:rsidR="006C4499">
        <w:rPr>
          <w:rStyle w:val="Refdenotaalpie"/>
          <w:rFonts w:eastAsia="Times New Roman" w:cs="Times New Roman"/>
          <w:szCs w:val="24"/>
          <w:lang w:bidi="es-ES"/>
        </w:rPr>
        <w:footnoteReference w:id="9"/>
      </w:r>
      <w:r w:rsidR="00956AEB">
        <w:rPr>
          <w:rFonts w:eastAsia="Times New Roman" w:cs="Times New Roman"/>
          <w:szCs w:val="24"/>
          <w:lang w:bidi="es-ES"/>
        </w:rPr>
        <w:t xml:space="preserve">. </w:t>
      </w:r>
    </w:p>
    <w:p w:rsidR="00D67951" w:rsidRDefault="00FF72DE" w:rsidP="00D67951">
      <w:pPr>
        <w:pStyle w:val="Prrafodelista"/>
        <w:numPr>
          <w:ilvl w:val="0"/>
          <w:numId w:val="45"/>
        </w:numPr>
        <w:rPr>
          <w:rFonts w:eastAsia="Times New Roman" w:cs="Times New Roman"/>
          <w:szCs w:val="24"/>
          <w:lang w:bidi="es-ES"/>
        </w:rPr>
      </w:pPr>
      <w:r w:rsidRPr="006C4499">
        <w:rPr>
          <w:rFonts w:eastAsia="Times New Roman" w:cs="Times New Roman"/>
          <w:szCs w:val="24"/>
          <w:lang w:bidi="es-ES"/>
        </w:rPr>
        <w:t>Cuatro</w:t>
      </w:r>
      <w:r w:rsidR="00D67951" w:rsidRPr="006C4499">
        <w:rPr>
          <w:rFonts w:eastAsia="Times New Roman" w:cs="Times New Roman"/>
          <w:szCs w:val="24"/>
          <w:lang w:bidi="es-ES"/>
        </w:rPr>
        <w:t xml:space="preserve"> de </w:t>
      </w:r>
      <w:r w:rsidR="009318F3" w:rsidRPr="006C4499">
        <w:rPr>
          <w:rFonts w:eastAsia="Times New Roman" w:cs="Times New Roman"/>
          <w:szCs w:val="24"/>
          <w:lang w:bidi="es-ES"/>
        </w:rPr>
        <w:t>los organismos</w:t>
      </w:r>
      <w:r w:rsidR="00D67951" w:rsidRPr="006C4499">
        <w:rPr>
          <w:rFonts w:eastAsia="Times New Roman" w:cs="Times New Roman"/>
          <w:szCs w:val="24"/>
          <w:lang w:bidi="es-ES"/>
        </w:rPr>
        <w:t xml:space="preserve"> responden</w:t>
      </w:r>
      <w:r w:rsidR="001C07E7" w:rsidRPr="006C4499">
        <w:rPr>
          <w:rFonts w:eastAsia="Times New Roman" w:cs="Times New Roman"/>
          <w:szCs w:val="24"/>
          <w:lang w:bidi="es-ES"/>
        </w:rPr>
        <w:t>,</w:t>
      </w:r>
      <w:r w:rsidR="00D67951" w:rsidRPr="006C4499">
        <w:rPr>
          <w:rFonts w:eastAsia="Times New Roman" w:cs="Times New Roman"/>
          <w:szCs w:val="24"/>
          <w:lang w:bidi="es-ES"/>
        </w:rPr>
        <w:t xml:space="preserve"> pero no</w:t>
      </w:r>
      <w:r w:rsidR="00D67951">
        <w:rPr>
          <w:rFonts w:eastAsia="Times New Roman" w:cs="Times New Roman"/>
          <w:szCs w:val="24"/>
          <w:lang w:bidi="es-ES"/>
        </w:rPr>
        <w:t xml:space="preserve"> </w:t>
      </w:r>
      <w:r w:rsidR="001C07E7">
        <w:rPr>
          <w:rFonts w:eastAsia="Times New Roman" w:cs="Times New Roman"/>
          <w:szCs w:val="24"/>
          <w:lang w:bidi="es-ES"/>
        </w:rPr>
        <w:t>dictan</w:t>
      </w:r>
      <w:r w:rsidR="00D67951">
        <w:rPr>
          <w:rFonts w:eastAsia="Times New Roman" w:cs="Times New Roman"/>
          <w:szCs w:val="24"/>
          <w:lang w:bidi="es-ES"/>
        </w:rPr>
        <w:t xml:space="preserve"> resolución expresa. La información solicitada se remite mediante un correo electrónico.</w:t>
      </w:r>
    </w:p>
    <w:p w:rsidR="0085057F" w:rsidRDefault="008E0D35" w:rsidP="00D67951">
      <w:pPr>
        <w:pStyle w:val="Prrafodelista"/>
        <w:numPr>
          <w:ilvl w:val="0"/>
          <w:numId w:val="45"/>
        </w:numPr>
        <w:rPr>
          <w:rFonts w:eastAsia="Times New Roman" w:cs="Times New Roman"/>
          <w:szCs w:val="24"/>
          <w:lang w:bidi="es-ES"/>
        </w:rPr>
      </w:pPr>
      <w:r w:rsidRPr="0085057F">
        <w:rPr>
          <w:rFonts w:eastAsia="Times New Roman" w:cs="Times New Roman"/>
          <w:szCs w:val="24"/>
          <w:lang w:bidi="es-ES"/>
        </w:rPr>
        <w:t xml:space="preserve">Ocho de las </w:t>
      </w:r>
      <w:r w:rsidR="0085057F" w:rsidRPr="0085057F">
        <w:rPr>
          <w:rFonts w:eastAsia="Times New Roman" w:cs="Times New Roman"/>
          <w:szCs w:val="24"/>
          <w:lang w:bidi="es-ES"/>
        </w:rPr>
        <w:t>once</w:t>
      </w:r>
      <w:r w:rsidRPr="0085057F">
        <w:rPr>
          <w:rFonts w:eastAsia="Times New Roman" w:cs="Times New Roman"/>
          <w:szCs w:val="24"/>
          <w:lang w:bidi="es-ES"/>
        </w:rPr>
        <w:t xml:space="preserve"> resoluciones expresas</w:t>
      </w:r>
      <w:r w:rsidR="00FF72DE" w:rsidRPr="0085057F">
        <w:rPr>
          <w:rFonts w:eastAsia="Times New Roman" w:cs="Times New Roman"/>
          <w:szCs w:val="24"/>
          <w:lang w:bidi="es-ES"/>
        </w:rPr>
        <w:t xml:space="preserve"> incluyen pie de recurso</w:t>
      </w:r>
      <w:r w:rsidR="00D67951" w:rsidRPr="0085057F">
        <w:rPr>
          <w:rFonts w:eastAsia="Times New Roman" w:cs="Times New Roman"/>
          <w:szCs w:val="24"/>
          <w:lang w:bidi="es-ES"/>
        </w:rPr>
        <w:t>.</w:t>
      </w:r>
      <w:r w:rsidR="00FF72DE" w:rsidRPr="0085057F">
        <w:rPr>
          <w:rFonts w:eastAsia="Times New Roman" w:cs="Times New Roman"/>
          <w:szCs w:val="24"/>
          <w:lang w:bidi="es-ES"/>
        </w:rPr>
        <w:t xml:space="preserve"> </w:t>
      </w:r>
    </w:p>
    <w:p w:rsidR="00D67951" w:rsidRPr="0085057F" w:rsidRDefault="00FF72DE" w:rsidP="00D67951">
      <w:pPr>
        <w:pStyle w:val="Prrafodelista"/>
        <w:numPr>
          <w:ilvl w:val="0"/>
          <w:numId w:val="45"/>
        </w:numPr>
        <w:rPr>
          <w:rFonts w:eastAsia="Times New Roman" w:cs="Times New Roman"/>
          <w:szCs w:val="24"/>
          <w:lang w:bidi="es-ES"/>
        </w:rPr>
      </w:pPr>
      <w:r w:rsidRPr="0085057F">
        <w:rPr>
          <w:rFonts w:eastAsia="Times New Roman" w:cs="Times New Roman"/>
          <w:szCs w:val="24"/>
          <w:lang w:bidi="es-ES"/>
        </w:rPr>
        <w:t xml:space="preserve">Las </w:t>
      </w:r>
      <w:r w:rsidR="0085057F">
        <w:rPr>
          <w:rFonts w:eastAsia="Times New Roman" w:cs="Times New Roman"/>
          <w:szCs w:val="24"/>
          <w:lang w:bidi="es-ES"/>
        </w:rPr>
        <w:t xml:space="preserve">once resoluciones </w:t>
      </w:r>
      <w:r w:rsidR="00D67951" w:rsidRPr="0085057F">
        <w:rPr>
          <w:rFonts w:eastAsia="Times New Roman" w:cs="Times New Roman"/>
          <w:szCs w:val="24"/>
          <w:lang w:bidi="es-ES"/>
        </w:rPr>
        <w:t>son claras y comprensibles.</w:t>
      </w:r>
    </w:p>
    <w:p w:rsidR="00EB204B" w:rsidRDefault="0085057F" w:rsidP="00D67951">
      <w:pPr>
        <w:pStyle w:val="Prrafodelista"/>
        <w:numPr>
          <w:ilvl w:val="0"/>
          <w:numId w:val="45"/>
        </w:numPr>
        <w:rPr>
          <w:rFonts w:eastAsia="Times New Roman" w:cs="Times New Roman"/>
          <w:szCs w:val="24"/>
          <w:lang w:bidi="es-ES"/>
        </w:rPr>
      </w:pPr>
      <w:r>
        <w:rPr>
          <w:rFonts w:eastAsia="Times New Roman" w:cs="Times New Roman"/>
          <w:szCs w:val="24"/>
          <w:lang w:bidi="es-ES"/>
        </w:rPr>
        <w:t>Una de las</w:t>
      </w:r>
      <w:r w:rsidR="00EB204B">
        <w:rPr>
          <w:rFonts w:eastAsia="Times New Roman" w:cs="Times New Roman"/>
          <w:szCs w:val="24"/>
          <w:lang w:bidi="es-ES"/>
        </w:rPr>
        <w:t xml:space="preserve"> resoluciones se </w:t>
      </w:r>
      <w:r>
        <w:rPr>
          <w:rFonts w:eastAsia="Times New Roman" w:cs="Times New Roman"/>
          <w:szCs w:val="24"/>
          <w:lang w:bidi="es-ES"/>
        </w:rPr>
        <w:t>dicta</w:t>
      </w:r>
      <w:r w:rsidR="00EB204B">
        <w:rPr>
          <w:rFonts w:eastAsia="Times New Roman" w:cs="Times New Roman"/>
          <w:szCs w:val="24"/>
          <w:lang w:bidi="es-ES"/>
        </w:rPr>
        <w:t xml:space="preserve"> fuera de plazo.</w:t>
      </w:r>
    </w:p>
    <w:p w:rsidR="00D67951" w:rsidRPr="00052CDD" w:rsidRDefault="00B842CF" w:rsidP="00D67951">
      <w:pPr>
        <w:pStyle w:val="Prrafodelista"/>
        <w:numPr>
          <w:ilvl w:val="0"/>
          <w:numId w:val="45"/>
        </w:numPr>
        <w:rPr>
          <w:i/>
          <w:color w:val="438086" w:themeColor="accent2"/>
          <w:szCs w:val="22"/>
        </w:rPr>
      </w:pPr>
      <w:r>
        <w:rPr>
          <w:rFonts w:eastAsia="Times New Roman" w:cs="Times New Roman"/>
          <w:szCs w:val="24"/>
          <w:lang w:bidi="es-ES"/>
        </w:rPr>
        <w:t>Una de</w:t>
      </w:r>
      <w:r w:rsidR="00D67951">
        <w:rPr>
          <w:rFonts w:eastAsia="Times New Roman" w:cs="Times New Roman"/>
          <w:szCs w:val="24"/>
          <w:lang w:bidi="es-ES"/>
        </w:rPr>
        <w:t xml:space="preserve"> las resoluciones </w:t>
      </w:r>
      <w:r>
        <w:rPr>
          <w:rFonts w:eastAsia="Times New Roman" w:cs="Times New Roman"/>
          <w:szCs w:val="24"/>
          <w:lang w:bidi="es-ES"/>
        </w:rPr>
        <w:t xml:space="preserve">no </w:t>
      </w:r>
      <w:r w:rsidR="00D67951">
        <w:rPr>
          <w:rFonts w:eastAsia="Times New Roman" w:cs="Times New Roman"/>
          <w:szCs w:val="24"/>
          <w:lang w:bidi="es-ES"/>
        </w:rPr>
        <w:t>se notifica por el medio solicitado.</w:t>
      </w:r>
    </w:p>
    <w:p w:rsidR="00D67951" w:rsidRPr="00DB5874" w:rsidRDefault="00D67951" w:rsidP="00D67951">
      <w:pPr>
        <w:pStyle w:val="Prrafodelista"/>
        <w:numPr>
          <w:ilvl w:val="0"/>
          <w:numId w:val="45"/>
        </w:numPr>
        <w:rPr>
          <w:i/>
          <w:color w:val="438086" w:themeColor="accent2"/>
          <w:szCs w:val="22"/>
        </w:rPr>
      </w:pPr>
      <w:r w:rsidRPr="00DB5874">
        <w:rPr>
          <w:rFonts w:eastAsia="Times New Roman" w:cs="Times New Roman"/>
          <w:szCs w:val="24"/>
          <w:lang w:bidi="es-ES"/>
        </w:rPr>
        <w:t>En todos los casos – salvo</w:t>
      </w:r>
      <w:r w:rsidR="00956AEB">
        <w:rPr>
          <w:rFonts w:eastAsia="Times New Roman" w:cs="Times New Roman"/>
          <w:szCs w:val="24"/>
          <w:lang w:bidi="es-ES"/>
        </w:rPr>
        <w:t>,</w:t>
      </w:r>
      <w:r w:rsidRPr="00DB5874">
        <w:rPr>
          <w:rFonts w:eastAsia="Times New Roman" w:cs="Times New Roman"/>
          <w:szCs w:val="24"/>
          <w:lang w:bidi="es-ES"/>
        </w:rPr>
        <w:t xml:space="preserve"> obviamente</w:t>
      </w:r>
      <w:r w:rsidR="00956AEB">
        <w:rPr>
          <w:rFonts w:eastAsia="Times New Roman" w:cs="Times New Roman"/>
          <w:szCs w:val="24"/>
          <w:lang w:bidi="es-ES"/>
        </w:rPr>
        <w:t>,</w:t>
      </w:r>
      <w:r w:rsidRPr="00DB5874">
        <w:rPr>
          <w:rFonts w:eastAsia="Times New Roman" w:cs="Times New Roman"/>
          <w:szCs w:val="24"/>
          <w:lang w:bidi="es-ES"/>
        </w:rPr>
        <w:t xml:space="preserve"> en la</w:t>
      </w:r>
      <w:r w:rsidR="00EB204B">
        <w:rPr>
          <w:rFonts w:eastAsia="Times New Roman" w:cs="Times New Roman"/>
          <w:szCs w:val="24"/>
          <w:lang w:bidi="es-ES"/>
        </w:rPr>
        <w:t>s</w:t>
      </w:r>
      <w:r w:rsidRPr="00DB5874">
        <w:rPr>
          <w:rFonts w:eastAsia="Times New Roman" w:cs="Times New Roman"/>
          <w:szCs w:val="24"/>
          <w:lang w:bidi="es-ES"/>
        </w:rPr>
        <w:t xml:space="preserve"> solicitud</w:t>
      </w:r>
      <w:r w:rsidR="00EB204B">
        <w:rPr>
          <w:rFonts w:eastAsia="Times New Roman" w:cs="Times New Roman"/>
          <w:szCs w:val="24"/>
          <w:lang w:bidi="es-ES"/>
        </w:rPr>
        <w:t>es</w:t>
      </w:r>
      <w:r w:rsidRPr="00DB5874">
        <w:rPr>
          <w:rFonts w:eastAsia="Times New Roman" w:cs="Times New Roman"/>
          <w:szCs w:val="24"/>
          <w:lang w:bidi="es-ES"/>
        </w:rPr>
        <w:t xml:space="preserve"> </w:t>
      </w:r>
      <w:r w:rsidR="00B044F3">
        <w:rPr>
          <w:rFonts w:eastAsia="Times New Roman" w:cs="Times New Roman"/>
          <w:szCs w:val="24"/>
          <w:lang w:bidi="es-ES"/>
        </w:rPr>
        <w:t>para la</w:t>
      </w:r>
      <w:r w:rsidR="00EB204B">
        <w:rPr>
          <w:rFonts w:eastAsia="Times New Roman" w:cs="Times New Roman"/>
          <w:szCs w:val="24"/>
          <w:lang w:bidi="es-ES"/>
        </w:rPr>
        <w:t>s</w:t>
      </w:r>
      <w:r w:rsidR="00B044F3">
        <w:rPr>
          <w:rFonts w:eastAsia="Times New Roman" w:cs="Times New Roman"/>
          <w:szCs w:val="24"/>
          <w:lang w:bidi="es-ES"/>
        </w:rPr>
        <w:t xml:space="preserve"> que no consta respuesta</w:t>
      </w:r>
      <w:r w:rsidRPr="00DB5874">
        <w:rPr>
          <w:rFonts w:eastAsia="Times New Roman" w:cs="Times New Roman"/>
          <w:szCs w:val="24"/>
          <w:lang w:bidi="es-ES"/>
        </w:rPr>
        <w:t xml:space="preserve"> – se da acceso a la información. </w:t>
      </w:r>
    </w:p>
    <w:p w:rsidR="00D67951" w:rsidRPr="00E838E6" w:rsidRDefault="00D67951" w:rsidP="00D67951">
      <w:pPr>
        <w:pStyle w:val="Prrafodelista"/>
        <w:numPr>
          <w:ilvl w:val="0"/>
          <w:numId w:val="45"/>
        </w:numPr>
        <w:rPr>
          <w:i/>
          <w:color w:val="438086" w:themeColor="accent2"/>
          <w:szCs w:val="22"/>
        </w:rPr>
      </w:pPr>
      <w:r>
        <w:rPr>
          <w:rFonts w:eastAsia="Times New Roman" w:cs="Times New Roman"/>
          <w:szCs w:val="24"/>
          <w:lang w:bidi="es-ES"/>
        </w:rPr>
        <w:t>En todos los casos se proporciona la información en el momento de la notificación</w:t>
      </w:r>
      <w:r w:rsidR="001C07E7">
        <w:rPr>
          <w:rFonts w:eastAsia="Times New Roman" w:cs="Times New Roman"/>
          <w:szCs w:val="24"/>
          <w:lang w:bidi="es-ES"/>
        </w:rPr>
        <w:t>,</w:t>
      </w:r>
      <w:r>
        <w:rPr>
          <w:rFonts w:eastAsia="Times New Roman" w:cs="Times New Roman"/>
          <w:szCs w:val="24"/>
          <w:lang w:bidi="es-ES"/>
        </w:rPr>
        <w:t xml:space="preserve"> </w:t>
      </w:r>
      <w:r w:rsidR="00604BD2">
        <w:rPr>
          <w:rFonts w:eastAsia="Times New Roman" w:cs="Times New Roman"/>
          <w:szCs w:val="24"/>
          <w:lang w:bidi="es-ES"/>
        </w:rPr>
        <w:t xml:space="preserve">pero sólo en una ocasión </w:t>
      </w:r>
      <w:r w:rsidR="00EB204B">
        <w:rPr>
          <w:rFonts w:eastAsia="Times New Roman" w:cs="Times New Roman"/>
          <w:szCs w:val="24"/>
          <w:lang w:bidi="es-ES"/>
        </w:rPr>
        <w:t xml:space="preserve">en </w:t>
      </w:r>
      <w:r>
        <w:rPr>
          <w:rFonts w:eastAsia="Times New Roman" w:cs="Times New Roman"/>
          <w:szCs w:val="24"/>
          <w:lang w:bidi="es-ES"/>
        </w:rPr>
        <w:t>el formato solicitado</w:t>
      </w:r>
      <w:r w:rsidR="00E838E6">
        <w:rPr>
          <w:rFonts w:eastAsia="Times New Roman" w:cs="Times New Roman"/>
          <w:szCs w:val="24"/>
          <w:lang w:bidi="es-ES"/>
        </w:rPr>
        <w:t>, aunque es preciso señalar que</w:t>
      </w:r>
      <w:r w:rsidR="00956AEB">
        <w:rPr>
          <w:rFonts w:eastAsia="Times New Roman" w:cs="Times New Roman"/>
          <w:szCs w:val="24"/>
          <w:lang w:bidi="es-ES"/>
        </w:rPr>
        <w:t>,</w:t>
      </w:r>
      <w:r w:rsidR="00E838E6">
        <w:rPr>
          <w:rFonts w:eastAsia="Times New Roman" w:cs="Times New Roman"/>
          <w:szCs w:val="24"/>
          <w:lang w:bidi="es-ES"/>
        </w:rPr>
        <w:t xml:space="preserve"> en la mayoría</w:t>
      </w:r>
      <w:r w:rsidR="00956AEB">
        <w:rPr>
          <w:rFonts w:eastAsia="Times New Roman" w:cs="Times New Roman"/>
          <w:szCs w:val="24"/>
          <w:lang w:bidi="es-ES"/>
        </w:rPr>
        <w:t xml:space="preserve"> de los casos,</w:t>
      </w:r>
      <w:r w:rsidR="00E838E6">
        <w:rPr>
          <w:rFonts w:eastAsia="Times New Roman" w:cs="Times New Roman"/>
          <w:szCs w:val="24"/>
          <w:lang w:bidi="es-ES"/>
        </w:rPr>
        <w:t xml:space="preserve"> no se había producido actividad en el ámbito al que se refería la solicitud de información</w:t>
      </w:r>
      <w:r w:rsidR="00604BD2">
        <w:rPr>
          <w:rFonts w:eastAsia="Times New Roman" w:cs="Times New Roman"/>
          <w:szCs w:val="24"/>
          <w:lang w:bidi="es-ES"/>
        </w:rPr>
        <w:t xml:space="preserve"> o bien el volumen de expedientes relacionados con la información solicitada era muy reducido</w:t>
      </w:r>
      <w:r w:rsidR="00E838E6">
        <w:rPr>
          <w:rFonts w:eastAsia="Times New Roman" w:cs="Times New Roman"/>
          <w:szCs w:val="24"/>
          <w:lang w:bidi="es-ES"/>
        </w:rPr>
        <w:t>.</w:t>
      </w:r>
      <w:r w:rsidR="00EB204B">
        <w:rPr>
          <w:rFonts w:eastAsia="Times New Roman" w:cs="Times New Roman"/>
          <w:szCs w:val="24"/>
          <w:lang w:bidi="es-ES"/>
        </w:rPr>
        <w:t xml:space="preserve"> </w:t>
      </w:r>
    </w:p>
    <w:p w:rsidR="00E838E6" w:rsidRPr="00B842CF" w:rsidRDefault="00E838E6" w:rsidP="00604BD2">
      <w:pPr>
        <w:pStyle w:val="Prrafodelista"/>
        <w:rPr>
          <w:i/>
          <w:color w:val="438086" w:themeColor="accent2"/>
          <w:szCs w:val="22"/>
        </w:rPr>
      </w:pPr>
    </w:p>
    <w:p w:rsidR="00D67951" w:rsidRPr="00B044F3" w:rsidRDefault="00D67951" w:rsidP="00B044F3">
      <w:pPr>
        <w:pStyle w:val="Ttulo2"/>
        <w:rPr>
          <w:rStyle w:val="Ttulo2Car"/>
          <w:rFonts w:ascii="Century Gothic" w:hAnsi="Century Gothic"/>
          <w:i/>
          <w:sz w:val="22"/>
          <w:szCs w:val="22"/>
        </w:rPr>
      </w:pPr>
      <w:bookmarkStart w:id="45" w:name="_Toc113366634"/>
      <w:r w:rsidRPr="00B044F3">
        <w:t>I</w:t>
      </w:r>
      <w:r w:rsidR="00B044F3">
        <w:t>V</w:t>
      </w:r>
      <w:r w:rsidRPr="00B044F3">
        <w:t>.4 Reclamaciones ante el Consejo de Transparencia y Buen Gobierno</w:t>
      </w:r>
      <w:bookmarkEnd w:id="45"/>
    </w:p>
    <w:p w:rsidR="00F95EE9" w:rsidRDefault="00F95EE9" w:rsidP="00F95EE9">
      <w:pPr>
        <w:ind w:left="426"/>
        <w:rPr>
          <w:rFonts w:eastAsia="Times New Roman" w:cs="Times New Roman"/>
          <w:color w:val="000000"/>
          <w:szCs w:val="24"/>
        </w:rPr>
      </w:pPr>
    </w:p>
    <w:p w:rsidR="00F95EE9" w:rsidRPr="00F95EE9" w:rsidRDefault="00F95EE9" w:rsidP="0026153E">
      <w:pPr>
        <w:rPr>
          <w:rFonts w:eastAsia="Times New Roman" w:cs="Times New Roman"/>
          <w:color w:val="000000"/>
          <w:szCs w:val="24"/>
        </w:rPr>
      </w:pPr>
      <w:r w:rsidRPr="00F95EE9">
        <w:rPr>
          <w:rFonts w:eastAsia="Times New Roman" w:cs="Times New Roman"/>
          <w:color w:val="000000"/>
          <w:szCs w:val="24"/>
        </w:rPr>
        <w:t xml:space="preserve">El CTBG ha recibido un total de </w:t>
      </w:r>
      <w:r w:rsidR="00604BD2">
        <w:rPr>
          <w:rFonts w:eastAsia="Times New Roman" w:cs="Times New Roman"/>
          <w:color w:val="000000"/>
          <w:szCs w:val="24"/>
        </w:rPr>
        <w:t>67</w:t>
      </w:r>
      <w:r w:rsidRPr="00F95EE9">
        <w:rPr>
          <w:rFonts w:eastAsia="Times New Roman" w:cs="Times New Roman"/>
          <w:color w:val="000000"/>
          <w:szCs w:val="24"/>
        </w:rPr>
        <w:t xml:space="preserve"> reclamac</w:t>
      </w:r>
      <w:r w:rsidR="0077256F">
        <w:rPr>
          <w:rFonts w:eastAsia="Times New Roman" w:cs="Times New Roman"/>
          <w:color w:val="000000"/>
          <w:szCs w:val="24"/>
        </w:rPr>
        <w:t xml:space="preserve">iones contra resoluciones de los organismos pertenecientes a este grupo de sujetos obligados </w:t>
      </w:r>
      <w:r w:rsidRPr="00F95EE9">
        <w:rPr>
          <w:rFonts w:eastAsia="Times New Roman" w:cs="Times New Roman"/>
          <w:color w:val="000000"/>
          <w:szCs w:val="24"/>
        </w:rPr>
        <w:t xml:space="preserve">en materia de acceso a la información pública. De éstas, </w:t>
      </w:r>
      <w:r w:rsidR="00604BD2">
        <w:rPr>
          <w:rFonts w:eastAsia="Times New Roman" w:cs="Times New Roman"/>
          <w:color w:val="000000"/>
          <w:szCs w:val="24"/>
        </w:rPr>
        <w:t>30</w:t>
      </w:r>
      <w:r w:rsidRPr="00F95EE9">
        <w:rPr>
          <w:rFonts w:eastAsia="Times New Roman" w:cs="Times New Roman"/>
          <w:color w:val="000000"/>
          <w:szCs w:val="24"/>
        </w:rPr>
        <w:t xml:space="preserve"> fueron estimadas –en </w:t>
      </w:r>
      <w:r w:rsidR="00604BD2">
        <w:rPr>
          <w:rFonts w:eastAsia="Times New Roman" w:cs="Times New Roman"/>
          <w:color w:val="000000"/>
          <w:szCs w:val="24"/>
        </w:rPr>
        <w:t>3</w:t>
      </w:r>
      <w:r w:rsidRPr="00F95EE9">
        <w:rPr>
          <w:rFonts w:eastAsia="Times New Roman" w:cs="Times New Roman"/>
          <w:color w:val="000000"/>
          <w:szCs w:val="24"/>
        </w:rPr>
        <w:t xml:space="preserve"> casos </w:t>
      </w:r>
      <w:r w:rsidR="0077256F">
        <w:rPr>
          <w:rFonts w:eastAsia="Times New Roman" w:cs="Times New Roman"/>
          <w:color w:val="000000"/>
          <w:szCs w:val="24"/>
        </w:rPr>
        <w:t>se</w:t>
      </w:r>
      <w:r w:rsidRPr="00F95EE9">
        <w:rPr>
          <w:rFonts w:eastAsia="Times New Roman" w:cs="Times New Roman"/>
          <w:color w:val="000000"/>
          <w:szCs w:val="24"/>
        </w:rPr>
        <w:t xml:space="preserve"> concedió la información antes de finalizar el procedimiento de reclamación</w:t>
      </w:r>
      <w:r w:rsidR="008469AD">
        <w:rPr>
          <w:rFonts w:eastAsia="Times New Roman" w:cs="Times New Roman"/>
          <w:color w:val="000000"/>
          <w:szCs w:val="24"/>
        </w:rPr>
        <w:t xml:space="preserve"> y en otros </w:t>
      </w:r>
      <w:r w:rsidR="00604BD2">
        <w:rPr>
          <w:rFonts w:eastAsia="Times New Roman" w:cs="Times New Roman"/>
          <w:color w:val="000000"/>
          <w:szCs w:val="24"/>
        </w:rPr>
        <w:t>4</w:t>
      </w:r>
      <w:r w:rsidR="008469AD">
        <w:rPr>
          <w:rFonts w:eastAsia="Times New Roman" w:cs="Times New Roman"/>
          <w:color w:val="000000"/>
          <w:szCs w:val="24"/>
        </w:rPr>
        <w:t xml:space="preserve"> la estimación de la reclamación fue parcial</w:t>
      </w:r>
      <w:r w:rsidRPr="00F95EE9">
        <w:rPr>
          <w:rFonts w:eastAsia="Times New Roman" w:cs="Times New Roman"/>
          <w:color w:val="000000"/>
          <w:szCs w:val="24"/>
        </w:rPr>
        <w:t xml:space="preserve"> -. Otras </w:t>
      </w:r>
      <w:r w:rsidR="00604BD2">
        <w:rPr>
          <w:rFonts w:eastAsia="Times New Roman" w:cs="Times New Roman"/>
          <w:color w:val="000000"/>
          <w:szCs w:val="24"/>
        </w:rPr>
        <w:t>26</w:t>
      </w:r>
      <w:r w:rsidRPr="00F95EE9">
        <w:rPr>
          <w:rFonts w:eastAsia="Times New Roman" w:cs="Times New Roman"/>
          <w:color w:val="000000"/>
          <w:szCs w:val="24"/>
        </w:rPr>
        <w:t xml:space="preserve"> fueron desestimadas, </w:t>
      </w:r>
      <w:r w:rsidR="00604BD2">
        <w:rPr>
          <w:rFonts w:eastAsia="Times New Roman" w:cs="Times New Roman"/>
          <w:color w:val="000000"/>
          <w:szCs w:val="24"/>
        </w:rPr>
        <w:t>5</w:t>
      </w:r>
      <w:r w:rsidRPr="00F95EE9">
        <w:rPr>
          <w:rFonts w:eastAsia="Times New Roman" w:cs="Times New Roman"/>
          <w:color w:val="000000"/>
          <w:szCs w:val="24"/>
        </w:rPr>
        <w:t xml:space="preserve"> inadmitidas</w:t>
      </w:r>
      <w:r w:rsidR="008469AD">
        <w:rPr>
          <w:rFonts w:eastAsia="Times New Roman" w:cs="Times New Roman"/>
          <w:color w:val="000000"/>
          <w:szCs w:val="24"/>
        </w:rPr>
        <w:t xml:space="preserve"> y </w:t>
      </w:r>
      <w:r w:rsidR="00604BD2">
        <w:rPr>
          <w:rFonts w:eastAsia="Times New Roman" w:cs="Times New Roman"/>
          <w:color w:val="000000"/>
          <w:szCs w:val="24"/>
        </w:rPr>
        <w:t>otras 5</w:t>
      </w:r>
      <w:r w:rsidRPr="00F95EE9">
        <w:rPr>
          <w:rFonts w:eastAsia="Times New Roman" w:cs="Times New Roman"/>
          <w:color w:val="000000"/>
          <w:szCs w:val="24"/>
        </w:rPr>
        <w:t xml:space="preserve"> archivada</w:t>
      </w:r>
      <w:r w:rsidR="0077256F">
        <w:rPr>
          <w:rFonts w:eastAsia="Times New Roman" w:cs="Times New Roman"/>
          <w:color w:val="000000"/>
          <w:szCs w:val="24"/>
        </w:rPr>
        <w:t>s</w:t>
      </w:r>
      <w:r w:rsidRPr="00F95EE9">
        <w:rPr>
          <w:rFonts w:eastAsia="Times New Roman" w:cs="Times New Roman"/>
          <w:color w:val="000000"/>
          <w:szCs w:val="24"/>
        </w:rPr>
        <w:t>.</w:t>
      </w:r>
    </w:p>
    <w:p w:rsidR="00F95EE9" w:rsidRPr="00F95EE9" w:rsidRDefault="00F95EE9" w:rsidP="0026153E">
      <w:pPr>
        <w:rPr>
          <w:rFonts w:eastAsia="Times New Roman" w:cs="Times New Roman"/>
          <w:color w:val="000000"/>
          <w:szCs w:val="24"/>
        </w:rPr>
      </w:pPr>
      <w:r w:rsidRPr="00F95EE9">
        <w:rPr>
          <w:rFonts w:eastAsia="Times New Roman" w:cs="Times New Roman"/>
          <w:color w:val="000000"/>
          <w:szCs w:val="24"/>
        </w:rPr>
        <w:t xml:space="preserve">Por lo tanto, de las </w:t>
      </w:r>
      <w:r w:rsidR="00604BD2">
        <w:rPr>
          <w:rFonts w:eastAsia="Times New Roman" w:cs="Times New Roman"/>
          <w:color w:val="000000"/>
          <w:szCs w:val="24"/>
        </w:rPr>
        <w:t>57</w:t>
      </w:r>
      <w:r w:rsidRPr="00F95EE9">
        <w:rPr>
          <w:rFonts w:eastAsia="Times New Roman" w:cs="Times New Roman"/>
          <w:color w:val="000000"/>
          <w:szCs w:val="24"/>
        </w:rPr>
        <w:t xml:space="preserve"> reclamaciones admitidas a trámite, </w:t>
      </w:r>
      <w:r w:rsidR="00604BD2">
        <w:rPr>
          <w:rFonts w:eastAsia="Times New Roman" w:cs="Times New Roman"/>
          <w:color w:val="000000"/>
          <w:szCs w:val="24"/>
        </w:rPr>
        <w:t>poco más del 44</w:t>
      </w:r>
      <w:r w:rsidRPr="00F95EE9">
        <w:rPr>
          <w:rFonts w:eastAsia="Times New Roman" w:cs="Times New Roman"/>
          <w:color w:val="000000"/>
          <w:szCs w:val="24"/>
        </w:rPr>
        <w:t>% ha sido favorable a la entidad y</w:t>
      </w:r>
      <w:r w:rsidR="00604BD2">
        <w:rPr>
          <w:rFonts w:eastAsia="Times New Roman" w:cs="Times New Roman"/>
          <w:color w:val="000000"/>
          <w:szCs w:val="24"/>
        </w:rPr>
        <w:t>,</w:t>
      </w:r>
      <w:r w:rsidRPr="00F95EE9">
        <w:rPr>
          <w:rFonts w:eastAsia="Times New Roman" w:cs="Times New Roman"/>
          <w:color w:val="000000"/>
          <w:szCs w:val="24"/>
        </w:rPr>
        <w:t xml:space="preserve"> </w:t>
      </w:r>
      <w:r w:rsidR="00604BD2">
        <w:rPr>
          <w:rFonts w:eastAsia="Times New Roman" w:cs="Times New Roman"/>
          <w:color w:val="000000"/>
          <w:szCs w:val="24"/>
        </w:rPr>
        <w:t>casi</w:t>
      </w:r>
      <w:r w:rsidR="001C07E7">
        <w:rPr>
          <w:rFonts w:eastAsia="Times New Roman" w:cs="Times New Roman"/>
          <w:color w:val="000000"/>
          <w:szCs w:val="24"/>
        </w:rPr>
        <w:t>,</w:t>
      </w:r>
      <w:r w:rsidR="00604BD2">
        <w:rPr>
          <w:rFonts w:eastAsia="Times New Roman" w:cs="Times New Roman"/>
          <w:color w:val="000000"/>
          <w:szCs w:val="24"/>
        </w:rPr>
        <w:t xml:space="preserve"> el</w:t>
      </w:r>
      <w:r w:rsidRPr="00F95EE9">
        <w:rPr>
          <w:rFonts w:eastAsia="Times New Roman" w:cs="Times New Roman"/>
          <w:color w:val="000000"/>
          <w:szCs w:val="24"/>
        </w:rPr>
        <w:t xml:space="preserve"> </w:t>
      </w:r>
      <w:r w:rsidR="00604BD2">
        <w:rPr>
          <w:rFonts w:eastAsia="Times New Roman" w:cs="Times New Roman"/>
          <w:color w:val="000000"/>
          <w:szCs w:val="24"/>
        </w:rPr>
        <w:t>56</w:t>
      </w:r>
      <w:r w:rsidRPr="00F95EE9">
        <w:rPr>
          <w:rFonts w:eastAsia="Times New Roman" w:cs="Times New Roman"/>
          <w:color w:val="000000"/>
          <w:szCs w:val="24"/>
        </w:rPr>
        <w:t xml:space="preserve">%  a los reclamantes. </w:t>
      </w:r>
    </w:p>
    <w:p w:rsidR="00F95EE9" w:rsidRPr="00F95EE9" w:rsidRDefault="00B7453A" w:rsidP="0026153E">
      <w:pPr>
        <w:rPr>
          <w:rFonts w:eastAsia="Times New Roman" w:cs="Times New Roman"/>
          <w:color w:val="000000"/>
          <w:szCs w:val="24"/>
        </w:rPr>
      </w:pPr>
      <w:r>
        <w:rPr>
          <w:rFonts w:eastAsia="Times New Roman" w:cs="Times New Roman"/>
          <w:color w:val="000000"/>
          <w:szCs w:val="24"/>
        </w:rPr>
        <w:lastRenderedPageBreak/>
        <w:t>Los organismos evaluados</w:t>
      </w:r>
      <w:r w:rsidR="00F95EE9" w:rsidRPr="00F95EE9">
        <w:rPr>
          <w:rFonts w:eastAsia="Times New Roman" w:cs="Times New Roman"/>
          <w:color w:val="000000"/>
          <w:szCs w:val="24"/>
        </w:rPr>
        <w:t xml:space="preserve"> ha</w:t>
      </w:r>
      <w:r>
        <w:rPr>
          <w:rFonts w:eastAsia="Times New Roman" w:cs="Times New Roman"/>
          <w:color w:val="000000"/>
          <w:szCs w:val="24"/>
        </w:rPr>
        <w:t>n</w:t>
      </w:r>
      <w:r w:rsidR="00F95EE9" w:rsidRPr="00F95EE9">
        <w:rPr>
          <w:rFonts w:eastAsia="Times New Roman" w:cs="Times New Roman"/>
          <w:color w:val="000000"/>
          <w:szCs w:val="24"/>
        </w:rPr>
        <w:t xml:space="preserve"> presentado </w:t>
      </w:r>
      <w:r w:rsidR="00604BD2">
        <w:rPr>
          <w:rFonts w:eastAsia="Times New Roman" w:cs="Times New Roman"/>
          <w:color w:val="000000"/>
          <w:szCs w:val="24"/>
        </w:rPr>
        <w:t>9</w:t>
      </w:r>
      <w:r w:rsidR="00047DDB">
        <w:rPr>
          <w:rFonts w:eastAsia="Times New Roman" w:cs="Times New Roman"/>
          <w:color w:val="000000"/>
          <w:szCs w:val="24"/>
        </w:rPr>
        <w:t xml:space="preserve"> </w:t>
      </w:r>
      <w:r w:rsidR="00F95EE9" w:rsidRPr="00F95EE9">
        <w:rPr>
          <w:rFonts w:eastAsia="Times New Roman" w:cs="Times New Roman"/>
          <w:color w:val="000000"/>
          <w:szCs w:val="24"/>
        </w:rPr>
        <w:t xml:space="preserve">recursos contencioso-administrativos contra resoluciones del CTBG, lo que sitúa la tasa de litigiosidad en </w:t>
      </w:r>
      <w:r w:rsidR="00047DDB">
        <w:rPr>
          <w:rFonts w:eastAsia="Times New Roman" w:cs="Times New Roman"/>
          <w:color w:val="000000"/>
          <w:szCs w:val="24"/>
        </w:rPr>
        <w:t>poco más d</w:t>
      </w:r>
      <w:r w:rsidR="00F95EE9" w:rsidRPr="00F95EE9">
        <w:rPr>
          <w:rFonts w:eastAsia="Times New Roman" w:cs="Times New Roman"/>
          <w:color w:val="000000"/>
          <w:szCs w:val="24"/>
        </w:rPr>
        <w:t xml:space="preserve">el </w:t>
      </w:r>
      <w:r w:rsidR="003B18E0">
        <w:rPr>
          <w:rFonts w:eastAsia="Times New Roman" w:cs="Times New Roman"/>
          <w:color w:val="000000"/>
          <w:szCs w:val="24"/>
        </w:rPr>
        <w:t>26</w:t>
      </w:r>
      <w:r w:rsidR="00F95EE9" w:rsidRPr="00F95EE9">
        <w:rPr>
          <w:rFonts w:eastAsia="Times New Roman" w:cs="Times New Roman"/>
          <w:color w:val="000000"/>
          <w:szCs w:val="24"/>
        </w:rPr>
        <w:t xml:space="preserve">%. </w:t>
      </w:r>
      <w:r w:rsidR="003B18E0">
        <w:rPr>
          <w:rFonts w:eastAsia="Times New Roman" w:cs="Times New Roman"/>
          <w:color w:val="000000"/>
          <w:szCs w:val="24"/>
        </w:rPr>
        <w:t>El 50</w:t>
      </w:r>
      <w:r w:rsidR="00B14C7B">
        <w:rPr>
          <w:rFonts w:eastAsia="Times New Roman" w:cs="Times New Roman"/>
          <w:color w:val="000000"/>
          <w:szCs w:val="24"/>
        </w:rPr>
        <w:t>% de las</w:t>
      </w:r>
      <w:r>
        <w:rPr>
          <w:rFonts w:eastAsia="Times New Roman" w:cs="Times New Roman"/>
          <w:color w:val="000000"/>
          <w:szCs w:val="24"/>
        </w:rPr>
        <w:t xml:space="preserve"> sentencias</w:t>
      </w:r>
      <w:r w:rsidR="00F95EE9" w:rsidRPr="00F95EE9">
        <w:rPr>
          <w:rFonts w:eastAsia="Times New Roman" w:cs="Times New Roman"/>
          <w:color w:val="000000"/>
          <w:szCs w:val="24"/>
        </w:rPr>
        <w:t xml:space="preserve"> </w:t>
      </w:r>
      <w:r w:rsidR="00B14C7B">
        <w:rPr>
          <w:rFonts w:eastAsia="Times New Roman" w:cs="Times New Roman"/>
          <w:color w:val="000000"/>
          <w:szCs w:val="24"/>
        </w:rPr>
        <w:t>que han adquirido firmeza</w:t>
      </w:r>
      <w:r w:rsidR="00F95EE9" w:rsidRPr="00F95EE9">
        <w:rPr>
          <w:rFonts w:eastAsia="Times New Roman" w:cs="Times New Roman"/>
          <w:color w:val="000000"/>
          <w:szCs w:val="24"/>
        </w:rPr>
        <w:t>, ha</w:t>
      </w:r>
      <w:r>
        <w:rPr>
          <w:rFonts w:eastAsia="Times New Roman" w:cs="Times New Roman"/>
          <w:color w:val="000000"/>
          <w:szCs w:val="24"/>
        </w:rPr>
        <w:t>n</w:t>
      </w:r>
      <w:r w:rsidR="00F95EE9" w:rsidRPr="00F95EE9">
        <w:rPr>
          <w:rFonts w:eastAsia="Times New Roman" w:cs="Times New Roman"/>
          <w:color w:val="000000"/>
          <w:szCs w:val="24"/>
        </w:rPr>
        <w:t xml:space="preserve"> sido favorable</w:t>
      </w:r>
      <w:r>
        <w:rPr>
          <w:rFonts w:eastAsia="Times New Roman" w:cs="Times New Roman"/>
          <w:color w:val="000000"/>
          <w:szCs w:val="24"/>
        </w:rPr>
        <w:t>s</w:t>
      </w:r>
      <w:r w:rsidR="00F95EE9" w:rsidRPr="00F95EE9">
        <w:rPr>
          <w:rFonts w:eastAsia="Times New Roman" w:cs="Times New Roman"/>
          <w:color w:val="000000"/>
          <w:szCs w:val="24"/>
        </w:rPr>
        <w:t xml:space="preserve"> al CTBG.</w:t>
      </w:r>
    </w:p>
    <w:p w:rsidR="00D67951" w:rsidRPr="009E3455" w:rsidRDefault="00D67951" w:rsidP="00B044F3">
      <w:pPr>
        <w:pStyle w:val="Epgrafe"/>
        <w:keepNext/>
        <w:ind w:left="360"/>
        <w:rPr>
          <w:color w:val="438086" w:themeColor="accent2"/>
          <w:sz w:val="22"/>
          <w:szCs w:val="22"/>
        </w:rPr>
      </w:pPr>
      <w:r w:rsidRPr="009E3455">
        <w:rPr>
          <w:color w:val="438086" w:themeColor="accent2"/>
          <w:sz w:val="22"/>
          <w:szCs w:val="22"/>
        </w:rPr>
        <w:t xml:space="preserve">Cuadro </w:t>
      </w:r>
      <w:r w:rsidRPr="009E3455">
        <w:rPr>
          <w:color w:val="438086" w:themeColor="accent2"/>
          <w:sz w:val="22"/>
          <w:szCs w:val="22"/>
        </w:rPr>
        <w:fldChar w:fldCharType="begin"/>
      </w:r>
      <w:r w:rsidRPr="009E3455">
        <w:rPr>
          <w:color w:val="438086" w:themeColor="accent2"/>
          <w:sz w:val="22"/>
          <w:szCs w:val="22"/>
        </w:rPr>
        <w:instrText xml:space="preserve"> SEQ Cuadro \* ARABIC </w:instrText>
      </w:r>
      <w:r w:rsidRPr="009E3455">
        <w:rPr>
          <w:color w:val="438086" w:themeColor="accent2"/>
          <w:sz w:val="22"/>
          <w:szCs w:val="22"/>
        </w:rPr>
        <w:fldChar w:fldCharType="separate"/>
      </w:r>
      <w:r>
        <w:rPr>
          <w:noProof/>
          <w:color w:val="438086" w:themeColor="accent2"/>
          <w:sz w:val="22"/>
          <w:szCs w:val="22"/>
        </w:rPr>
        <w:t>6</w:t>
      </w:r>
      <w:r w:rsidRPr="009E3455">
        <w:rPr>
          <w:color w:val="438086" w:themeColor="accent2"/>
          <w:sz w:val="22"/>
          <w:szCs w:val="22"/>
        </w:rPr>
        <w:fldChar w:fldCharType="end"/>
      </w:r>
      <w:r w:rsidRPr="009E3455">
        <w:rPr>
          <w:color w:val="438086" w:themeColor="accent2"/>
          <w:sz w:val="22"/>
          <w:szCs w:val="22"/>
        </w:rPr>
        <w:t>: Reclamaciones ante el Consejo de Transparencia y Buen G</w:t>
      </w:r>
      <w:r>
        <w:rPr>
          <w:color w:val="438086" w:themeColor="accent2"/>
          <w:sz w:val="22"/>
          <w:szCs w:val="22"/>
        </w:rPr>
        <w:t>o</w:t>
      </w:r>
      <w:r w:rsidRPr="009E3455">
        <w:rPr>
          <w:color w:val="438086" w:themeColor="accent2"/>
          <w:sz w:val="22"/>
          <w:szCs w:val="22"/>
        </w:rPr>
        <w:t>bierno</w:t>
      </w:r>
    </w:p>
    <w:tbl>
      <w:tblPr>
        <w:tblStyle w:val="Tablaconcuadrcula"/>
        <w:tblW w:w="0" w:type="auto"/>
        <w:tblInd w:w="959" w:type="dxa"/>
        <w:tblLook w:val="04A0" w:firstRow="1" w:lastRow="0" w:firstColumn="1" w:lastColumn="0" w:noHBand="0" w:noVBand="1"/>
      </w:tblPr>
      <w:tblGrid>
        <w:gridCol w:w="1132"/>
        <w:gridCol w:w="4013"/>
        <w:gridCol w:w="1756"/>
        <w:gridCol w:w="1427"/>
      </w:tblGrid>
      <w:tr w:rsidR="00D67951" w:rsidRPr="0048443D" w:rsidTr="009318F3">
        <w:tc>
          <w:tcPr>
            <w:tcW w:w="1132" w:type="dxa"/>
            <w:vMerge w:val="restart"/>
            <w:tcBorders>
              <w:top w:val="single" w:sz="4" w:space="0" w:color="FFFFFF" w:themeColor="background1"/>
              <w:right w:val="nil"/>
            </w:tcBorders>
            <w:shd w:val="clear" w:color="auto" w:fill="438086" w:themeFill="accent2"/>
            <w:textDirection w:val="btLr"/>
          </w:tcPr>
          <w:p w:rsidR="00D67951" w:rsidRPr="0048443D" w:rsidRDefault="00D67951" w:rsidP="009318F3">
            <w:pPr>
              <w:ind w:left="113" w:right="113"/>
              <w:jc w:val="center"/>
              <w:rPr>
                <w:color w:val="FFFFFF" w:themeColor="background1"/>
              </w:rPr>
            </w:pPr>
          </w:p>
        </w:tc>
        <w:tc>
          <w:tcPr>
            <w:tcW w:w="5769" w:type="dxa"/>
            <w:gridSpan w:val="2"/>
            <w:tcBorders>
              <w:left w:val="nil"/>
            </w:tcBorders>
          </w:tcPr>
          <w:p w:rsidR="00D67951" w:rsidRPr="0048443D" w:rsidRDefault="00D67951" w:rsidP="009318F3">
            <w:pPr>
              <w:rPr>
                <w:sz w:val="20"/>
              </w:rPr>
            </w:pPr>
            <w:r w:rsidRPr="0048443D">
              <w:rPr>
                <w:sz w:val="20"/>
              </w:rPr>
              <w:t>Nº de Resoluciones de la entidad recurridas ante el CTBG</w:t>
            </w:r>
          </w:p>
        </w:tc>
        <w:tc>
          <w:tcPr>
            <w:tcW w:w="1427" w:type="dxa"/>
            <w:vAlign w:val="center"/>
          </w:tcPr>
          <w:p w:rsidR="00D67951" w:rsidRPr="0048443D" w:rsidRDefault="003B18E0" w:rsidP="009318F3">
            <w:pPr>
              <w:jc w:val="center"/>
              <w:rPr>
                <w:sz w:val="20"/>
              </w:rPr>
            </w:pPr>
            <w:r>
              <w:rPr>
                <w:sz w:val="20"/>
              </w:rPr>
              <w:t>67</w:t>
            </w:r>
          </w:p>
        </w:tc>
      </w:tr>
      <w:tr w:rsidR="00D67951" w:rsidRPr="0048443D" w:rsidTr="009318F3">
        <w:trPr>
          <w:trHeight w:val="248"/>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val="restart"/>
            <w:tcBorders>
              <w:left w:val="nil"/>
            </w:tcBorders>
          </w:tcPr>
          <w:p w:rsidR="00D67951" w:rsidRPr="0048443D" w:rsidRDefault="00D67951" w:rsidP="009318F3">
            <w:pPr>
              <w:rPr>
                <w:sz w:val="20"/>
              </w:rPr>
            </w:pPr>
            <w:r w:rsidRPr="0048443D">
              <w:rPr>
                <w:sz w:val="20"/>
              </w:rPr>
              <w:t>Nº de Resoluciones del CTBG favorables a la entidad</w:t>
            </w:r>
          </w:p>
        </w:tc>
        <w:tc>
          <w:tcPr>
            <w:tcW w:w="1756" w:type="dxa"/>
            <w:tcBorders>
              <w:left w:val="nil"/>
            </w:tcBorders>
          </w:tcPr>
          <w:p w:rsidR="00D67951" w:rsidRPr="0048443D" w:rsidRDefault="00D67951" w:rsidP="009318F3">
            <w:pPr>
              <w:rPr>
                <w:sz w:val="20"/>
              </w:rPr>
            </w:pPr>
            <w:r w:rsidRPr="0048443D">
              <w:rPr>
                <w:sz w:val="20"/>
              </w:rPr>
              <w:t>Nº</w:t>
            </w:r>
          </w:p>
        </w:tc>
        <w:tc>
          <w:tcPr>
            <w:tcW w:w="1427" w:type="dxa"/>
            <w:vAlign w:val="center"/>
          </w:tcPr>
          <w:p w:rsidR="00D67951" w:rsidRPr="0048443D" w:rsidRDefault="003B18E0" w:rsidP="009318F3">
            <w:pPr>
              <w:jc w:val="center"/>
              <w:rPr>
                <w:sz w:val="20"/>
              </w:rPr>
            </w:pPr>
            <w:r>
              <w:rPr>
                <w:sz w:val="20"/>
              </w:rPr>
              <w:t>26</w:t>
            </w:r>
          </w:p>
        </w:tc>
      </w:tr>
      <w:tr w:rsidR="00D67951" w:rsidRPr="0048443D" w:rsidTr="009318F3">
        <w:trPr>
          <w:trHeight w:val="247"/>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tcBorders>
              <w:left w:val="nil"/>
            </w:tcBorders>
          </w:tcPr>
          <w:p w:rsidR="00D67951" w:rsidRPr="0048443D" w:rsidRDefault="00D67951" w:rsidP="009318F3">
            <w:pPr>
              <w:rPr>
                <w:sz w:val="20"/>
              </w:rPr>
            </w:pPr>
          </w:p>
        </w:tc>
        <w:tc>
          <w:tcPr>
            <w:tcW w:w="1756" w:type="dxa"/>
            <w:tcBorders>
              <w:left w:val="nil"/>
            </w:tcBorders>
          </w:tcPr>
          <w:p w:rsidR="00D67951" w:rsidRPr="0048443D" w:rsidRDefault="00D67951" w:rsidP="009318F3">
            <w:pPr>
              <w:rPr>
                <w:sz w:val="20"/>
              </w:rPr>
            </w:pPr>
            <w:r w:rsidRPr="0048443D">
              <w:rPr>
                <w:sz w:val="20"/>
              </w:rPr>
              <w:t>Porcentaje</w:t>
            </w:r>
          </w:p>
        </w:tc>
        <w:tc>
          <w:tcPr>
            <w:tcW w:w="1427" w:type="dxa"/>
            <w:vAlign w:val="center"/>
          </w:tcPr>
          <w:p w:rsidR="00D67951" w:rsidRPr="0048443D" w:rsidRDefault="003B18E0" w:rsidP="008469AD">
            <w:pPr>
              <w:jc w:val="center"/>
              <w:rPr>
                <w:sz w:val="20"/>
              </w:rPr>
            </w:pPr>
            <w:r>
              <w:rPr>
                <w:sz w:val="20"/>
              </w:rPr>
              <w:t>44,1</w:t>
            </w:r>
          </w:p>
        </w:tc>
      </w:tr>
      <w:tr w:rsidR="00D67951" w:rsidRPr="0048443D" w:rsidTr="009318F3">
        <w:trPr>
          <w:trHeight w:val="248"/>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val="restart"/>
            <w:tcBorders>
              <w:left w:val="nil"/>
            </w:tcBorders>
          </w:tcPr>
          <w:p w:rsidR="00D67951" w:rsidRPr="0048443D" w:rsidRDefault="00D67951" w:rsidP="009318F3">
            <w:pPr>
              <w:rPr>
                <w:sz w:val="20"/>
              </w:rPr>
            </w:pPr>
            <w:r w:rsidRPr="0048443D">
              <w:rPr>
                <w:sz w:val="20"/>
              </w:rPr>
              <w:t>Nº de Resoluciones del CTBG favorables a los reclamantes</w:t>
            </w:r>
          </w:p>
        </w:tc>
        <w:tc>
          <w:tcPr>
            <w:tcW w:w="1756" w:type="dxa"/>
            <w:tcBorders>
              <w:left w:val="nil"/>
            </w:tcBorders>
          </w:tcPr>
          <w:p w:rsidR="00D67951" w:rsidRPr="0048443D" w:rsidRDefault="00D67951" w:rsidP="009318F3">
            <w:pPr>
              <w:rPr>
                <w:sz w:val="20"/>
              </w:rPr>
            </w:pPr>
            <w:r w:rsidRPr="0048443D">
              <w:rPr>
                <w:sz w:val="20"/>
              </w:rPr>
              <w:t>Nº</w:t>
            </w:r>
          </w:p>
        </w:tc>
        <w:tc>
          <w:tcPr>
            <w:tcW w:w="1427" w:type="dxa"/>
            <w:vAlign w:val="center"/>
          </w:tcPr>
          <w:p w:rsidR="00D67951" w:rsidRPr="0048443D" w:rsidRDefault="003B18E0" w:rsidP="009318F3">
            <w:pPr>
              <w:jc w:val="center"/>
              <w:rPr>
                <w:sz w:val="20"/>
              </w:rPr>
            </w:pPr>
            <w:r>
              <w:rPr>
                <w:sz w:val="20"/>
              </w:rPr>
              <w:t>30</w:t>
            </w:r>
          </w:p>
        </w:tc>
      </w:tr>
      <w:tr w:rsidR="00D67951" w:rsidRPr="0048443D" w:rsidTr="009318F3">
        <w:trPr>
          <w:trHeight w:val="247"/>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tcBorders>
              <w:left w:val="nil"/>
            </w:tcBorders>
          </w:tcPr>
          <w:p w:rsidR="00D67951" w:rsidRPr="0048443D" w:rsidRDefault="00D67951" w:rsidP="009318F3">
            <w:pPr>
              <w:rPr>
                <w:sz w:val="20"/>
              </w:rPr>
            </w:pPr>
          </w:p>
        </w:tc>
        <w:tc>
          <w:tcPr>
            <w:tcW w:w="1756" w:type="dxa"/>
            <w:tcBorders>
              <w:left w:val="nil"/>
            </w:tcBorders>
          </w:tcPr>
          <w:p w:rsidR="00D67951" w:rsidRPr="0048443D" w:rsidRDefault="00D67951" w:rsidP="009318F3">
            <w:pPr>
              <w:rPr>
                <w:sz w:val="20"/>
              </w:rPr>
            </w:pPr>
            <w:r w:rsidRPr="0048443D">
              <w:rPr>
                <w:sz w:val="20"/>
              </w:rPr>
              <w:t>Porcentaje</w:t>
            </w:r>
          </w:p>
        </w:tc>
        <w:tc>
          <w:tcPr>
            <w:tcW w:w="1427" w:type="dxa"/>
            <w:vAlign w:val="center"/>
          </w:tcPr>
          <w:p w:rsidR="00D67951" w:rsidRPr="0048443D" w:rsidRDefault="003B18E0" w:rsidP="009318F3">
            <w:pPr>
              <w:jc w:val="center"/>
              <w:rPr>
                <w:sz w:val="20"/>
              </w:rPr>
            </w:pPr>
            <w:r>
              <w:rPr>
                <w:sz w:val="20"/>
              </w:rPr>
              <w:t>55,9</w:t>
            </w:r>
          </w:p>
        </w:tc>
      </w:tr>
      <w:tr w:rsidR="00D67951" w:rsidRPr="0048443D" w:rsidTr="009318F3">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5769" w:type="dxa"/>
            <w:gridSpan w:val="2"/>
            <w:tcBorders>
              <w:left w:val="nil"/>
            </w:tcBorders>
          </w:tcPr>
          <w:p w:rsidR="00D67951" w:rsidRPr="0048443D" w:rsidRDefault="00D67951" w:rsidP="009318F3">
            <w:pPr>
              <w:rPr>
                <w:sz w:val="20"/>
              </w:rPr>
            </w:pPr>
            <w:r w:rsidRPr="0048443D">
              <w:rPr>
                <w:sz w:val="20"/>
              </w:rPr>
              <w:t>Nº de Resoluciones del CTBG favorables a los reclamantes recurridas ante la jurisdicción contencioso-administrativa</w:t>
            </w:r>
          </w:p>
        </w:tc>
        <w:tc>
          <w:tcPr>
            <w:tcW w:w="1427" w:type="dxa"/>
            <w:vAlign w:val="center"/>
          </w:tcPr>
          <w:p w:rsidR="00D67951" w:rsidRPr="0048443D" w:rsidRDefault="003B18E0" w:rsidP="009318F3">
            <w:pPr>
              <w:jc w:val="center"/>
              <w:rPr>
                <w:sz w:val="20"/>
              </w:rPr>
            </w:pPr>
            <w:r>
              <w:rPr>
                <w:sz w:val="20"/>
              </w:rPr>
              <w:t>9</w:t>
            </w:r>
          </w:p>
        </w:tc>
      </w:tr>
      <w:tr w:rsidR="00D67951" w:rsidRPr="0048443D" w:rsidTr="009318F3">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5769" w:type="dxa"/>
            <w:gridSpan w:val="2"/>
            <w:tcBorders>
              <w:left w:val="nil"/>
            </w:tcBorders>
          </w:tcPr>
          <w:p w:rsidR="00D67951" w:rsidRPr="0048443D" w:rsidRDefault="00D67951" w:rsidP="009318F3">
            <w:pPr>
              <w:rPr>
                <w:sz w:val="20"/>
              </w:rPr>
            </w:pPr>
            <w:r w:rsidRPr="0048443D">
              <w:rPr>
                <w:sz w:val="20"/>
              </w:rPr>
              <w:t>Tasa de litigiosidad</w:t>
            </w:r>
          </w:p>
        </w:tc>
        <w:tc>
          <w:tcPr>
            <w:tcW w:w="1427" w:type="dxa"/>
            <w:vAlign w:val="center"/>
          </w:tcPr>
          <w:p w:rsidR="00D67951" w:rsidRPr="0048443D" w:rsidRDefault="003B18E0" w:rsidP="00047DDB">
            <w:pPr>
              <w:jc w:val="center"/>
              <w:rPr>
                <w:sz w:val="20"/>
              </w:rPr>
            </w:pPr>
            <w:r>
              <w:rPr>
                <w:sz w:val="20"/>
              </w:rPr>
              <w:t>26,1</w:t>
            </w:r>
          </w:p>
        </w:tc>
      </w:tr>
      <w:tr w:rsidR="00D67951" w:rsidRPr="0048443D" w:rsidTr="009318F3">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val="restart"/>
            <w:tcBorders>
              <w:left w:val="nil"/>
            </w:tcBorders>
            <w:vAlign w:val="center"/>
          </w:tcPr>
          <w:p w:rsidR="00D67951" w:rsidRPr="0048443D" w:rsidRDefault="00D67951" w:rsidP="009318F3">
            <w:pPr>
              <w:rPr>
                <w:sz w:val="20"/>
              </w:rPr>
            </w:pPr>
            <w:r w:rsidRPr="0048443D">
              <w:rPr>
                <w:sz w:val="20"/>
              </w:rPr>
              <w:t>Sentencias firmes favorables al CTBG</w:t>
            </w:r>
          </w:p>
        </w:tc>
        <w:tc>
          <w:tcPr>
            <w:tcW w:w="1756" w:type="dxa"/>
            <w:tcBorders>
              <w:left w:val="nil"/>
            </w:tcBorders>
          </w:tcPr>
          <w:p w:rsidR="00D67951" w:rsidRPr="0048443D" w:rsidRDefault="00D67951" w:rsidP="009318F3">
            <w:pPr>
              <w:rPr>
                <w:sz w:val="20"/>
              </w:rPr>
            </w:pPr>
            <w:r w:rsidRPr="0048443D">
              <w:rPr>
                <w:sz w:val="20"/>
              </w:rPr>
              <w:t xml:space="preserve">Nº </w:t>
            </w:r>
          </w:p>
        </w:tc>
        <w:tc>
          <w:tcPr>
            <w:tcW w:w="1427" w:type="dxa"/>
            <w:vAlign w:val="center"/>
          </w:tcPr>
          <w:p w:rsidR="00D67951" w:rsidRPr="0048443D" w:rsidRDefault="003B18E0" w:rsidP="009318F3">
            <w:pPr>
              <w:jc w:val="center"/>
              <w:rPr>
                <w:sz w:val="20"/>
              </w:rPr>
            </w:pPr>
            <w:r>
              <w:rPr>
                <w:sz w:val="20"/>
              </w:rPr>
              <w:t>3</w:t>
            </w:r>
          </w:p>
        </w:tc>
      </w:tr>
      <w:tr w:rsidR="00D67951" w:rsidRPr="0048443D" w:rsidTr="009318F3">
        <w:trPr>
          <w:trHeight w:val="113"/>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tcBorders>
              <w:left w:val="nil"/>
            </w:tcBorders>
            <w:vAlign w:val="center"/>
          </w:tcPr>
          <w:p w:rsidR="00D67951" w:rsidRPr="0048443D" w:rsidRDefault="00D67951" w:rsidP="009318F3">
            <w:pPr>
              <w:rPr>
                <w:sz w:val="20"/>
              </w:rPr>
            </w:pPr>
          </w:p>
        </w:tc>
        <w:tc>
          <w:tcPr>
            <w:tcW w:w="1756" w:type="dxa"/>
            <w:tcBorders>
              <w:left w:val="nil"/>
            </w:tcBorders>
          </w:tcPr>
          <w:p w:rsidR="00D67951" w:rsidRPr="0048443D" w:rsidRDefault="00D67951" w:rsidP="009318F3">
            <w:pPr>
              <w:rPr>
                <w:sz w:val="20"/>
              </w:rPr>
            </w:pPr>
            <w:r w:rsidRPr="0048443D">
              <w:rPr>
                <w:sz w:val="20"/>
              </w:rPr>
              <w:t>Porcentaje</w:t>
            </w:r>
          </w:p>
        </w:tc>
        <w:tc>
          <w:tcPr>
            <w:tcW w:w="1427" w:type="dxa"/>
            <w:vAlign w:val="center"/>
          </w:tcPr>
          <w:p w:rsidR="00D67951" w:rsidRPr="0048443D" w:rsidRDefault="003B18E0" w:rsidP="009318F3">
            <w:pPr>
              <w:jc w:val="center"/>
              <w:rPr>
                <w:sz w:val="20"/>
              </w:rPr>
            </w:pPr>
            <w:r>
              <w:rPr>
                <w:sz w:val="20"/>
              </w:rPr>
              <w:t>50,0</w:t>
            </w:r>
          </w:p>
        </w:tc>
      </w:tr>
      <w:tr w:rsidR="00D67951" w:rsidRPr="0048443D" w:rsidTr="009318F3">
        <w:trPr>
          <w:trHeight w:val="248"/>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val="restart"/>
            <w:tcBorders>
              <w:left w:val="nil"/>
            </w:tcBorders>
            <w:vAlign w:val="center"/>
          </w:tcPr>
          <w:p w:rsidR="00D67951" w:rsidRPr="0048443D" w:rsidRDefault="00D67951" w:rsidP="009318F3">
            <w:pPr>
              <w:rPr>
                <w:sz w:val="20"/>
              </w:rPr>
            </w:pPr>
            <w:r w:rsidRPr="0048443D">
              <w:rPr>
                <w:sz w:val="20"/>
              </w:rPr>
              <w:t>Sentencias firmes favorables a la entidad</w:t>
            </w:r>
          </w:p>
        </w:tc>
        <w:tc>
          <w:tcPr>
            <w:tcW w:w="1756" w:type="dxa"/>
            <w:tcBorders>
              <w:left w:val="nil"/>
            </w:tcBorders>
          </w:tcPr>
          <w:p w:rsidR="00D67951" w:rsidRPr="0048443D" w:rsidRDefault="00D67951" w:rsidP="009318F3">
            <w:pPr>
              <w:rPr>
                <w:sz w:val="20"/>
              </w:rPr>
            </w:pPr>
            <w:r w:rsidRPr="0048443D">
              <w:rPr>
                <w:sz w:val="20"/>
              </w:rPr>
              <w:t xml:space="preserve">Nº </w:t>
            </w:r>
          </w:p>
        </w:tc>
        <w:tc>
          <w:tcPr>
            <w:tcW w:w="1427" w:type="dxa"/>
            <w:vAlign w:val="center"/>
          </w:tcPr>
          <w:p w:rsidR="00D67951" w:rsidRPr="0048443D" w:rsidRDefault="003B18E0" w:rsidP="009318F3">
            <w:pPr>
              <w:jc w:val="center"/>
              <w:rPr>
                <w:sz w:val="20"/>
              </w:rPr>
            </w:pPr>
            <w:r>
              <w:rPr>
                <w:sz w:val="20"/>
              </w:rPr>
              <w:t>3</w:t>
            </w:r>
          </w:p>
        </w:tc>
      </w:tr>
      <w:tr w:rsidR="00D67951" w:rsidRPr="0048443D" w:rsidTr="009318F3">
        <w:trPr>
          <w:trHeight w:val="247"/>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tcBorders>
              <w:left w:val="nil"/>
            </w:tcBorders>
          </w:tcPr>
          <w:p w:rsidR="00D67951" w:rsidRPr="0048443D" w:rsidRDefault="00D67951" w:rsidP="009318F3">
            <w:pPr>
              <w:rPr>
                <w:sz w:val="20"/>
              </w:rPr>
            </w:pPr>
          </w:p>
        </w:tc>
        <w:tc>
          <w:tcPr>
            <w:tcW w:w="1756" w:type="dxa"/>
            <w:tcBorders>
              <w:left w:val="nil"/>
            </w:tcBorders>
          </w:tcPr>
          <w:p w:rsidR="00D67951" w:rsidRPr="0048443D" w:rsidRDefault="00D67951" w:rsidP="009318F3">
            <w:pPr>
              <w:rPr>
                <w:sz w:val="20"/>
              </w:rPr>
            </w:pPr>
            <w:r w:rsidRPr="0048443D">
              <w:rPr>
                <w:sz w:val="20"/>
              </w:rPr>
              <w:t>Porcentaje</w:t>
            </w:r>
          </w:p>
        </w:tc>
        <w:tc>
          <w:tcPr>
            <w:tcW w:w="1427" w:type="dxa"/>
            <w:vAlign w:val="center"/>
          </w:tcPr>
          <w:p w:rsidR="00D67951" w:rsidRPr="0048443D" w:rsidRDefault="003B18E0" w:rsidP="009318F3">
            <w:pPr>
              <w:jc w:val="center"/>
              <w:rPr>
                <w:sz w:val="20"/>
              </w:rPr>
            </w:pPr>
            <w:r>
              <w:rPr>
                <w:sz w:val="20"/>
              </w:rPr>
              <w:t>50,0</w:t>
            </w:r>
          </w:p>
        </w:tc>
      </w:tr>
    </w:tbl>
    <w:p w:rsidR="00D67951" w:rsidRDefault="00D67951" w:rsidP="00D67951">
      <w:pPr>
        <w:pStyle w:val="Prrafodelista"/>
        <w:rPr>
          <w:rFonts w:eastAsia="Times New Roman" w:cs="Times New Roman"/>
          <w:szCs w:val="24"/>
          <w:lang w:bidi="es-ES"/>
        </w:rPr>
      </w:pPr>
    </w:p>
    <w:p w:rsidR="002F71A3" w:rsidRDefault="002F71A3" w:rsidP="00D67951">
      <w:pPr>
        <w:pStyle w:val="Prrafodelista"/>
        <w:rPr>
          <w:rFonts w:eastAsia="Times New Roman" w:cs="Times New Roman"/>
          <w:szCs w:val="24"/>
          <w:lang w:bidi="es-ES"/>
        </w:rPr>
      </w:pPr>
    </w:p>
    <w:p w:rsidR="00D67951" w:rsidRPr="00DB5874" w:rsidRDefault="00D67951" w:rsidP="00B7453A">
      <w:pPr>
        <w:pStyle w:val="Ttulo2"/>
        <w:rPr>
          <w:rStyle w:val="Ttulo2Car"/>
          <w:rFonts w:ascii="Century Gothic" w:hAnsi="Century Gothic"/>
          <w:b/>
          <w:i/>
          <w:sz w:val="22"/>
          <w:szCs w:val="22"/>
        </w:rPr>
      </w:pPr>
      <w:bookmarkStart w:id="46" w:name="_Toc113366635"/>
      <w:r>
        <w:t>IV</w:t>
      </w:r>
      <w:r w:rsidRPr="00DB5874">
        <w:t>.</w:t>
      </w:r>
      <w:r w:rsidR="00B7453A">
        <w:t>5</w:t>
      </w:r>
      <w:r>
        <w:t>.</w:t>
      </w:r>
      <w:r w:rsidRPr="00DB5874">
        <w:t xml:space="preserve"> Buenas Prácticas</w:t>
      </w:r>
      <w:bookmarkEnd w:id="46"/>
    </w:p>
    <w:p w:rsidR="00D67951" w:rsidRDefault="00D67951" w:rsidP="00D67951">
      <w:pPr>
        <w:rPr>
          <w:rStyle w:val="Ttulo2Car"/>
          <w:rFonts w:ascii="Century Gothic" w:hAnsi="Century Gothic"/>
          <w:b w:val="0"/>
          <w:color w:val="auto"/>
          <w:sz w:val="22"/>
          <w:szCs w:val="22"/>
        </w:rPr>
      </w:pPr>
      <w:bookmarkStart w:id="47" w:name="_Toc68778403"/>
      <w:bookmarkStart w:id="48" w:name="_Toc68945181"/>
      <w:bookmarkStart w:id="49" w:name="_Toc69312065"/>
      <w:bookmarkStart w:id="50" w:name="_Toc69550770"/>
      <w:bookmarkStart w:id="51" w:name="_Toc81309177"/>
      <w:bookmarkStart w:id="52" w:name="_Toc81309504"/>
      <w:bookmarkStart w:id="53" w:name="_Toc81309685"/>
      <w:bookmarkStart w:id="54" w:name="_Toc113366636"/>
      <w:r w:rsidRPr="00DD555A">
        <w:rPr>
          <w:rStyle w:val="Ttulo2Car"/>
          <w:rFonts w:ascii="Century Gothic" w:hAnsi="Century Gothic"/>
          <w:b w:val="0"/>
          <w:color w:val="auto"/>
          <w:sz w:val="22"/>
          <w:szCs w:val="22"/>
        </w:rPr>
        <w:t>Tambié</w:t>
      </w:r>
      <w:r>
        <w:rPr>
          <w:rStyle w:val="Ttulo2Car"/>
          <w:rFonts w:ascii="Century Gothic" w:hAnsi="Century Gothic"/>
          <w:b w:val="0"/>
          <w:color w:val="auto"/>
          <w:sz w:val="22"/>
          <w:szCs w:val="22"/>
        </w:rPr>
        <w:t>n en materia de derecho de acceso, las instituciones evaluadas presentan buenas prácticas que podrían ser aplicables por otras instituciones y organizaciones públicas.</w:t>
      </w:r>
      <w:bookmarkEnd w:id="47"/>
      <w:bookmarkEnd w:id="48"/>
      <w:bookmarkEnd w:id="49"/>
      <w:bookmarkEnd w:id="50"/>
      <w:bookmarkEnd w:id="51"/>
      <w:bookmarkEnd w:id="52"/>
      <w:bookmarkEnd w:id="53"/>
      <w:bookmarkEnd w:id="54"/>
    </w:p>
    <w:tbl>
      <w:tblPr>
        <w:tblStyle w:val="Listavistosa-nfasis2"/>
        <w:tblW w:w="9464" w:type="dxa"/>
        <w:tblLook w:val="04A0" w:firstRow="1" w:lastRow="0" w:firstColumn="1" w:lastColumn="0" w:noHBand="0" w:noVBand="1"/>
      </w:tblPr>
      <w:tblGrid>
        <w:gridCol w:w="5920"/>
        <w:gridCol w:w="3544"/>
      </w:tblGrid>
      <w:tr w:rsidR="008F0A3A" w:rsidRPr="00DD555A" w:rsidTr="00F079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rsidR="008F0A3A" w:rsidRPr="00DD555A" w:rsidRDefault="008F0A3A" w:rsidP="00F07996">
            <w:pPr>
              <w:jc w:val="center"/>
              <w:rPr>
                <w:rFonts w:eastAsia="Times New Roman" w:cs="Calibri"/>
                <w:sz w:val="18"/>
                <w:szCs w:val="18"/>
              </w:rPr>
            </w:pPr>
            <w:r w:rsidRPr="00DD555A">
              <w:rPr>
                <w:rFonts w:eastAsia="Times New Roman" w:cs="Calibri"/>
                <w:sz w:val="18"/>
                <w:szCs w:val="18"/>
              </w:rPr>
              <w:t>Buena práctica</w:t>
            </w:r>
          </w:p>
        </w:tc>
        <w:tc>
          <w:tcPr>
            <w:tcW w:w="3544" w:type="dxa"/>
            <w:noWrap/>
            <w:hideMark/>
          </w:tcPr>
          <w:p w:rsidR="008F0A3A" w:rsidRPr="00DD555A" w:rsidRDefault="00E838E6" w:rsidP="00F07996">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Entidad</w:t>
            </w:r>
          </w:p>
        </w:tc>
      </w:tr>
      <w:tr w:rsidR="00E838E6" w:rsidRPr="00DD555A" w:rsidTr="00F0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tcPr>
          <w:p w:rsidR="00E838E6" w:rsidRDefault="00E838E6" w:rsidP="00F07996">
            <w:pPr>
              <w:rPr>
                <w:rFonts w:eastAsia="Times New Roman" w:cs="Calibri"/>
                <w:b w:val="0"/>
                <w:color w:val="000000"/>
                <w:sz w:val="18"/>
                <w:szCs w:val="18"/>
              </w:rPr>
            </w:pPr>
            <w:r>
              <w:rPr>
                <w:rFonts w:eastAsia="Times New Roman" w:cs="Calibri"/>
                <w:b w:val="0"/>
                <w:color w:val="000000"/>
                <w:sz w:val="18"/>
                <w:szCs w:val="18"/>
              </w:rPr>
              <w:t>Disponibilidad de un espacio específico para presentar solicitudes de información</w:t>
            </w:r>
          </w:p>
        </w:tc>
        <w:tc>
          <w:tcPr>
            <w:tcW w:w="3544" w:type="dxa"/>
            <w:noWrap/>
          </w:tcPr>
          <w:p w:rsidR="00E838E6" w:rsidRPr="00DD555A" w:rsidRDefault="005C74FB" w:rsidP="00E838E6">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18"/>
                <w:szCs w:val="18"/>
              </w:rPr>
            </w:pPr>
            <w:r>
              <w:rPr>
                <w:rFonts w:eastAsia="Times New Roman" w:cs="Calibri"/>
                <w:bCs/>
                <w:color w:val="000000"/>
                <w:sz w:val="18"/>
                <w:szCs w:val="18"/>
              </w:rPr>
              <w:t xml:space="preserve">Autoridad Portuaria de Baleares, Autoridad Portuaria de Huelva, Consorcio Centro de Investigación Biomédica en Red, CNH2, Comisionado para el Mercado de Tabacos, EMGRISA, ENWESA, </w:t>
            </w:r>
            <w:r w:rsidR="0034381D">
              <w:rPr>
                <w:rFonts w:eastAsia="Times New Roman" w:cs="Calibri"/>
                <w:bCs/>
                <w:color w:val="000000"/>
                <w:sz w:val="18"/>
                <w:szCs w:val="18"/>
              </w:rPr>
              <w:t>FREMAP, Grupo TRAGSA, HUNOSA, MERCASA, RENFE Operadora, SECEGSA.</w:t>
            </w:r>
          </w:p>
        </w:tc>
      </w:tr>
      <w:tr w:rsidR="008F0A3A" w:rsidRPr="00DD555A" w:rsidTr="00F07996">
        <w:trPr>
          <w:trHeight w:val="300"/>
        </w:trPr>
        <w:tc>
          <w:tcPr>
            <w:cnfStyle w:val="001000000000" w:firstRow="0" w:lastRow="0" w:firstColumn="1" w:lastColumn="0" w:oddVBand="0" w:evenVBand="0" w:oddHBand="0" w:evenHBand="0" w:firstRowFirstColumn="0" w:firstRowLastColumn="0" w:lastRowFirstColumn="0" w:lastRowLastColumn="0"/>
            <w:tcW w:w="5920" w:type="dxa"/>
            <w:noWrap/>
          </w:tcPr>
          <w:p w:rsidR="008F0A3A" w:rsidRPr="00DD555A" w:rsidRDefault="008F0A3A" w:rsidP="00F07996">
            <w:pPr>
              <w:rPr>
                <w:rFonts w:eastAsia="Times New Roman" w:cs="Calibri"/>
                <w:b w:val="0"/>
                <w:color w:val="000000"/>
                <w:sz w:val="18"/>
                <w:szCs w:val="18"/>
              </w:rPr>
            </w:pPr>
            <w:r>
              <w:rPr>
                <w:rFonts w:eastAsia="Times New Roman" w:cs="Calibri"/>
                <w:b w:val="0"/>
                <w:color w:val="000000"/>
                <w:sz w:val="18"/>
                <w:szCs w:val="18"/>
              </w:rPr>
              <w:t>D</w:t>
            </w:r>
            <w:r w:rsidRPr="00DD555A">
              <w:rPr>
                <w:rFonts w:eastAsia="Times New Roman" w:cs="Calibri"/>
                <w:b w:val="0"/>
                <w:color w:val="000000"/>
                <w:sz w:val="18"/>
                <w:szCs w:val="18"/>
              </w:rPr>
              <w:t>isponibilidad de un formulario web</w:t>
            </w:r>
          </w:p>
        </w:tc>
        <w:tc>
          <w:tcPr>
            <w:tcW w:w="3544" w:type="dxa"/>
            <w:noWrap/>
          </w:tcPr>
          <w:p w:rsidR="008F0A3A" w:rsidRPr="00DD555A" w:rsidRDefault="0034381D" w:rsidP="00A526BF">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18"/>
                <w:szCs w:val="18"/>
              </w:rPr>
            </w:pPr>
            <w:r>
              <w:rPr>
                <w:rFonts w:eastAsia="Times New Roman" w:cs="Calibri"/>
                <w:bCs/>
                <w:color w:val="000000"/>
                <w:sz w:val="18"/>
                <w:szCs w:val="18"/>
              </w:rPr>
              <w:t>CNH2, ENWESA, HUNOSA, MERCASA, RENFE Operadora.</w:t>
            </w:r>
          </w:p>
        </w:tc>
      </w:tr>
      <w:tr w:rsidR="008F0A3A" w:rsidRPr="00DD555A" w:rsidTr="00F0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rsidR="008F0A3A" w:rsidRPr="00DD555A" w:rsidRDefault="008F0A3A" w:rsidP="00F07996">
            <w:pPr>
              <w:jc w:val="left"/>
              <w:rPr>
                <w:rFonts w:eastAsia="Times New Roman" w:cs="Calibri"/>
                <w:b w:val="0"/>
                <w:color w:val="000000"/>
                <w:sz w:val="18"/>
                <w:szCs w:val="18"/>
              </w:rPr>
            </w:pPr>
            <w:r w:rsidRPr="00DD555A">
              <w:rPr>
                <w:rFonts w:eastAsia="Times New Roman" w:cs="Calibri"/>
                <w:b w:val="0"/>
                <w:color w:val="000000"/>
                <w:sz w:val="18"/>
                <w:szCs w:val="18"/>
              </w:rPr>
              <w:t>No se exige identificación o ésta no se acredita por medios digitales</w:t>
            </w:r>
          </w:p>
        </w:tc>
        <w:tc>
          <w:tcPr>
            <w:tcW w:w="3544" w:type="dxa"/>
            <w:noWrap/>
            <w:hideMark/>
          </w:tcPr>
          <w:p w:rsidR="008F0A3A" w:rsidRPr="00DD555A" w:rsidRDefault="0034381D" w:rsidP="00AF627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sidRPr="0034381D">
              <w:rPr>
                <w:rFonts w:eastAsia="Times New Roman" w:cs="Calibri"/>
                <w:color w:val="000000"/>
                <w:sz w:val="18"/>
                <w:szCs w:val="18"/>
              </w:rPr>
              <w:t>Autoridad Portuaria de Baleares</w:t>
            </w:r>
            <w:r>
              <w:rPr>
                <w:rFonts w:eastAsia="Times New Roman" w:cs="Calibri"/>
                <w:color w:val="000000"/>
                <w:sz w:val="18"/>
                <w:szCs w:val="18"/>
              </w:rPr>
              <w:t>, CNH2, EMGRISA, ENWESA, FREMAP, HUNOSA, MERCASA</w:t>
            </w:r>
          </w:p>
        </w:tc>
      </w:tr>
      <w:tr w:rsidR="0034381D" w:rsidRPr="00DD555A" w:rsidTr="00F07996">
        <w:trPr>
          <w:trHeight w:val="300"/>
        </w:trPr>
        <w:tc>
          <w:tcPr>
            <w:cnfStyle w:val="001000000000" w:firstRow="0" w:lastRow="0" w:firstColumn="1" w:lastColumn="0" w:oddVBand="0" w:evenVBand="0" w:oddHBand="0" w:evenHBand="0" w:firstRowFirstColumn="0" w:firstRowLastColumn="0" w:lastRowFirstColumn="0" w:lastRowLastColumn="0"/>
            <w:tcW w:w="5920" w:type="dxa"/>
            <w:noWrap/>
          </w:tcPr>
          <w:p w:rsidR="0034381D" w:rsidRPr="00DD555A" w:rsidRDefault="0034381D" w:rsidP="00F07996">
            <w:pPr>
              <w:jc w:val="left"/>
              <w:rPr>
                <w:rFonts w:eastAsia="Times New Roman" w:cs="Calibri"/>
                <w:b w:val="0"/>
                <w:color w:val="000000"/>
                <w:sz w:val="18"/>
                <w:szCs w:val="18"/>
              </w:rPr>
            </w:pPr>
            <w:r>
              <w:rPr>
                <w:rFonts w:eastAsia="Times New Roman" w:cs="Calibri"/>
                <w:b w:val="0"/>
                <w:color w:val="000000"/>
                <w:sz w:val="18"/>
                <w:szCs w:val="18"/>
              </w:rPr>
              <w:t xml:space="preserve">Múltiples canales para la presentación de las solicitudes </w:t>
            </w:r>
          </w:p>
        </w:tc>
        <w:tc>
          <w:tcPr>
            <w:tcW w:w="3544" w:type="dxa"/>
            <w:noWrap/>
          </w:tcPr>
          <w:p w:rsidR="0034381D" w:rsidRPr="000467A9" w:rsidRDefault="0034381D" w:rsidP="000467A9">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eastAsia="Times New Roman" w:cs="Calibri"/>
                <w:bCs/>
                <w:color w:val="000000"/>
                <w:sz w:val="18"/>
                <w:szCs w:val="18"/>
              </w:rPr>
              <w:t>Autoridad Portuaria de Baleares, ENWESA,HUNOSA, RENFE Operadora</w:t>
            </w:r>
          </w:p>
        </w:tc>
      </w:tr>
      <w:tr w:rsidR="008F0A3A" w:rsidRPr="00DD555A" w:rsidTr="00F0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rsidR="008F0A3A" w:rsidRPr="00DD555A" w:rsidRDefault="008F0A3A" w:rsidP="00F07996">
            <w:pPr>
              <w:jc w:val="left"/>
              <w:rPr>
                <w:rFonts w:eastAsia="Times New Roman" w:cs="Calibri"/>
                <w:b w:val="0"/>
                <w:color w:val="000000"/>
                <w:sz w:val="18"/>
                <w:szCs w:val="18"/>
              </w:rPr>
            </w:pPr>
            <w:r w:rsidRPr="00DD555A">
              <w:rPr>
                <w:rFonts w:eastAsia="Times New Roman" w:cs="Calibri"/>
                <w:b w:val="0"/>
                <w:color w:val="000000"/>
                <w:sz w:val="18"/>
                <w:szCs w:val="18"/>
              </w:rPr>
              <w:t>Información adicional, instrucciones o ayudas</w:t>
            </w:r>
          </w:p>
        </w:tc>
        <w:tc>
          <w:tcPr>
            <w:tcW w:w="3544" w:type="dxa"/>
            <w:noWrap/>
            <w:hideMark/>
          </w:tcPr>
          <w:p w:rsidR="008F0A3A" w:rsidRPr="00DD555A" w:rsidRDefault="0034381D" w:rsidP="000467A9">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eastAsia="Times New Roman" w:cs="Calibri"/>
                <w:color w:val="000000"/>
                <w:sz w:val="18"/>
                <w:szCs w:val="18"/>
              </w:rPr>
              <w:t>RENFE Operadora, Grupo TRAGSA</w:t>
            </w:r>
            <w:r w:rsidR="00971688">
              <w:rPr>
                <w:rFonts w:eastAsia="Times New Roman" w:cs="Calibri"/>
                <w:color w:val="000000"/>
                <w:sz w:val="18"/>
                <w:szCs w:val="18"/>
              </w:rPr>
              <w:t xml:space="preserve"> </w:t>
            </w:r>
          </w:p>
        </w:tc>
      </w:tr>
      <w:tr w:rsidR="008F0A3A" w:rsidRPr="00DD555A" w:rsidTr="00F07996">
        <w:trPr>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rsidR="008F0A3A" w:rsidRPr="00DD555A" w:rsidRDefault="0034381D" w:rsidP="00F07996">
            <w:pPr>
              <w:jc w:val="left"/>
              <w:rPr>
                <w:rFonts w:eastAsia="Times New Roman" w:cs="Calibri"/>
                <w:b w:val="0"/>
                <w:color w:val="000000"/>
                <w:sz w:val="18"/>
                <w:szCs w:val="18"/>
              </w:rPr>
            </w:pPr>
            <w:r>
              <w:rPr>
                <w:rFonts w:eastAsia="Times New Roman" w:cs="Calibri"/>
                <w:b w:val="0"/>
                <w:color w:val="000000"/>
                <w:sz w:val="18"/>
                <w:szCs w:val="18"/>
              </w:rPr>
              <w:t xml:space="preserve">Identificación de la unidad responsable de la gestión </w:t>
            </w:r>
          </w:p>
        </w:tc>
        <w:tc>
          <w:tcPr>
            <w:tcW w:w="3544" w:type="dxa"/>
            <w:noWrap/>
            <w:hideMark/>
          </w:tcPr>
          <w:p w:rsidR="008F0A3A" w:rsidRPr="00DD555A" w:rsidRDefault="0034381D" w:rsidP="00F07996">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eastAsia="Times New Roman" w:cs="Calibri"/>
                <w:color w:val="000000"/>
                <w:sz w:val="18"/>
                <w:szCs w:val="18"/>
              </w:rPr>
              <w:t>HUNOSA</w:t>
            </w:r>
          </w:p>
        </w:tc>
      </w:tr>
      <w:tr w:rsidR="008F0A3A" w:rsidRPr="00DD555A" w:rsidTr="00F0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rsidR="008F0A3A" w:rsidRPr="00DD555A" w:rsidRDefault="0034381D" w:rsidP="0034381D">
            <w:pPr>
              <w:jc w:val="left"/>
              <w:rPr>
                <w:rFonts w:eastAsia="Times New Roman" w:cs="Calibri"/>
                <w:b w:val="0"/>
                <w:color w:val="000000"/>
                <w:sz w:val="18"/>
                <w:szCs w:val="18"/>
              </w:rPr>
            </w:pPr>
            <w:r>
              <w:rPr>
                <w:rFonts w:eastAsia="Times New Roman" w:cs="Calibri"/>
                <w:b w:val="0"/>
                <w:color w:val="000000"/>
                <w:sz w:val="18"/>
                <w:szCs w:val="18"/>
              </w:rPr>
              <w:t xml:space="preserve">Publicación de información estadística </w:t>
            </w:r>
            <w:r w:rsidR="008F0A3A" w:rsidRPr="00DD555A">
              <w:rPr>
                <w:rFonts w:eastAsia="Times New Roman" w:cs="Calibri"/>
                <w:b w:val="0"/>
                <w:color w:val="000000"/>
                <w:sz w:val="18"/>
                <w:szCs w:val="18"/>
              </w:rPr>
              <w:t xml:space="preserve"> </w:t>
            </w:r>
            <w:r>
              <w:rPr>
                <w:rFonts w:eastAsia="Times New Roman" w:cs="Calibri"/>
                <w:b w:val="0"/>
                <w:color w:val="000000"/>
                <w:sz w:val="18"/>
                <w:szCs w:val="18"/>
              </w:rPr>
              <w:t>sobre las solicitudes de acceso</w:t>
            </w:r>
          </w:p>
        </w:tc>
        <w:tc>
          <w:tcPr>
            <w:tcW w:w="3544" w:type="dxa"/>
            <w:noWrap/>
            <w:hideMark/>
          </w:tcPr>
          <w:p w:rsidR="008F0A3A" w:rsidRPr="00DD555A" w:rsidRDefault="0034381D" w:rsidP="00F07996">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eastAsia="Times New Roman" w:cs="Calibri"/>
                <w:color w:val="000000"/>
                <w:sz w:val="18"/>
                <w:szCs w:val="18"/>
              </w:rPr>
              <w:t>RENFE Operadora</w:t>
            </w:r>
          </w:p>
        </w:tc>
      </w:tr>
    </w:tbl>
    <w:p w:rsidR="006469F3" w:rsidRDefault="006469F3" w:rsidP="006469F3">
      <w:pPr>
        <w:rPr>
          <w:rStyle w:val="Ttulo2Car"/>
          <w:rFonts w:ascii="Century Gothic" w:hAnsi="Century Gothic"/>
          <w:b w:val="0"/>
          <w:i/>
          <w:sz w:val="22"/>
          <w:szCs w:val="22"/>
        </w:rPr>
      </w:pPr>
    </w:p>
    <w:p w:rsidR="00513EC7" w:rsidRDefault="0065420F" w:rsidP="009F1F97">
      <w:pPr>
        <w:pStyle w:val="Ttulo1"/>
        <w:numPr>
          <w:ilvl w:val="0"/>
          <w:numId w:val="47"/>
        </w:numPr>
      </w:pPr>
      <w:bookmarkStart w:id="55" w:name="_Toc113366637"/>
      <w:r>
        <w:lastRenderedPageBreak/>
        <w:t>Conclusiones y Recomendaciones</w:t>
      </w:r>
      <w:bookmarkEnd w:id="55"/>
    </w:p>
    <w:p w:rsidR="00596EDD" w:rsidRDefault="00596EDD" w:rsidP="00596EDD"/>
    <w:p w:rsidR="00D67951" w:rsidRPr="00DD555A" w:rsidRDefault="00D67951" w:rsidP="00D67951">
      <w:pPr>
        <w:pStyle w:val="Ttulo2"/>
      </w:pPr>
      <w:bookmarkStart w:id="56" w:name="_Toc69312067"/>
      <w:bookmarkStart w:id="57" w:name="_Toc113366638"/>
      <w:r>
        <w:t xml:space="preserve">V.1 </w:t>
      </w:r>
      <w:r w:rsidRPr="00DD555A">
        <w:t>En materia de publicidad activa</w:t>
      </w:r>
      <w:bookmarkEnd w:id="56"/>
      <w:bookmarkEnd w:id="57"/>
    </w:p>
    <w:p w:rsidR="00D67951" w:rsidRDefault="00D67951" w:rsidP="00D67951"/>
    <w:p w:rsidR="00D67951" w:rsidRPr="001836F5" w:rsidRDefault="00D46714" w:rsidP="00D67951">
      <w:pPr>
        <w:rPr>
          <w:b/>
          <w:color w:val="325F64" w:themeColor="accent2" w:themeShade="BF"/>
        </w:rPr>
      </w:pPr>
      <w:r>
        <w:rPr>
          <w:b/>
          <w:color w:val="325F64" w:themeColor="accent2" w:themeShade="BF"/>
        </w:rPr>
        <w:t xml:space="preserve">Más del 78% </w:t>
      </w:r>
      <w:r w:rsidR="006D7EE4">
        <w:rPr>
          <w:b/>
          <w:color w:val="325F64" w:themeColor="accent2" w:themeShade="BF"/>
        </w:rPr>
        <w:t>de los organismos evaluados cuenta con un portal de transparencia que en la mayoría de los casos se encuentra ubicado en un lugar visible de su web institucional.</w:t>
      </w:r>
    </w:p>
    <w:p w:rsidR="00D67951" w:rsidRDefault="00D46714" w:rsidP="00D67951">
      <w:r>
        <w:t>Una quinta parte</w:t>
      </w:r>
      <w:r w:rsidR="006D7EE4">
        <w:t xml:space="preserve"> de los organismos carece de un espacio específico en el que ubicar la información sujeta a obligaciones de publicidad activa, lo que, a su vez, implica q</w:t>
      </w:r>
      <w:r>
        <w:t>ue esta información se encuentre</w:t>
      </w:r>
      <w:r w:rsidR="006D7EE4">
        <w:t xml:space="preserve"> dispersa en los distintos accesos de sus webs institucionales. Entre los organismos y entidades que </w:t>
      </w:r>
      <w:r w:rsidR="00D67951">
        <w:t>disponen de un portal de transparencia</w:t>
      </w:r>
      <w:r w:rsidR="001C07E7">
        <w:t>,</w:t>
      </w:r>
      <w:r w:rsidR="00D67951">
        <w:t xml:space="preserve"> </w:t>
      </w:r>
      <w:r>
        <w:t>lo más frecuente</w:t>
      </w:r>
      <w:r w:rsidR="006D7EE4">
        <w:t xml:space="preserve">, </w:t>
      </w:r>
      <w:r>
        <w:t>el 45,3%</w:t>
      </w:r>
      <w:r w:rsidR="006D7EE4">
        <w:t>,</w:t>
      </w:r>
      <w:r>
        <w:t xml:space="preserve"> es que </w:t>
      </w:r>
      <w:r w:rsidR="00D67951">
        <w:t>la información se organi</w:t>
      </w:r>
      <w:r>
        <w:t>ce</w:t>
      </w:r>
      <w:r w:rsidR="00D67951">
        <w:t xml:space="preserve"> siguiendo la estructura de la LTAIBG. </w:t>
      </w:r>
      <w:r>
        <w:t>Más de</w:t>
      </w:r>
      <w:r w:rsidR="006D7EE4">
        <w:t xml:space="preserve"> la mitad de las entidades </w:t>
      </w:r>
      <w:r w:rsidR="00D67951">
        <w:t>publican información obligatoria al margen de su Portal de Transparencia, lo que dificulta su localización.</w:t>
      </w:r>
    </w:p>
    <w:p w:rsidR="00D46714" w:rsidRDefault="00D46714" w:rsidP="001C07E7">
      <w:pPr>
        <w:pBdr>
          <w:top w:val="single" w:sz="4" w:space="1" w:color="438086" w:themeColor="accent2"/>
          <w:left w:val="single" w:sz="4" w:space="4" w:color="438086" w:themeColor="accent2"/>
          <w:bottom w:val="single" w:sz="4" w:space="1" w:color="438086" w:themeColor="accent2"/>
          <w:right w:val="single" w:sz="4" w:space="4" w:color="438086" w:themeColor="accent2"/>
        </w:pBdr>
      </w:pPr>
      <w:r>
        <w:t>Para facilitar la localización y la accesibilidad a la información, sería deseable que todas las entidades contasen con un espacio diferenciado para la publicación de la información sujeta a obligaciones de publicidad activa. La información obligatoria podría incorporarse directamente a este espacio o bien mediante enlace, en el supuesto de que se encuentre publicada en otros apartados de la web institucional.</w:t>
      </w:r>
    </w:p>
    <w:p w:rsidR="00D67951" w:rsidRDefault="00D67951" w:rsidP="001C07E7">
      <w:pPr>
        <w:pBdr>
          <w:top w:val="single" w:sz="4" w:space="1" w:color="438086" w:themeColor="accent2"/>
          <w:left w:val="single" w:sz="4" w:space="4" w:color="438086" w:themeColor="accent2"/>
          <w:bottom w:val="single" w:sz="4" w:space="1" w:color="438086" w:themeColor="accent2"/>
          <w:right w:val="single" w:sz="4" w:space="4" w:color="438086" w:themeColor="accent2"/>
        </w:pBdr>
      </w:pPr>
      <w:r>
        <w:t>En la medida de lo posible</w:t>
      </w:r>
      <w:r w:rsidR="001C07E7">
        <w:t>,</w:t>
      </w:r>
      <w:r>
        <w:t xml:space="preserve"> la información debe ajustarse al patrón establecido por la LTAIBG: Información Institucional</w:t>
      </w:r>
      <w:r w:rsidR="006D7EE4">
        <w:t>,</w:t>
      </w:r>
      <w:r>
        <w:t xml:space="preserve"> Organizativa</w:t>
      </w:r>
      <w:r w:rsidR="006D7EE4">
        <w:t xml:space="preserve"> y de Planificación, Información de Relevancia Jurídica,</w:t>
      </w:r>
      <w:r>
        <w:t xml:space="preserve"> Información Económica</w:t>
      </w:r>
      <w:r w:rsidR="006D7EE4">
        <w:t>, P</w:t>
      </w:r>
      <w:r>
        <w:t>resupuestaria</w:t>
      </w:r>
      <w:r w:rsidR="006D7EE4">
        <w:t xml:space="preserve"> y Estadística e Información Patrimonial</w:t>
      </w:r>
      <w:r>
        <w:t>, dado que es esperable que los ciudadanos utilicen</w:t>
      </w:r>
      <w:r w:rsidRPr="004612EB">
        <w:t xml:space="preserve"> la Ley </w:t>
      </w:r>
      <w:r>
        <w:t>como referencia para localizar la información.</w:t>
      </w:r>
    </w:p>
    <w:p w:rsidR="00D67951" w:rsidRDefault="00D67951" w:rsidP="001C07E7">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Todas las informaciones obligatorias deberían publicarse en el Portal de Transparencia. </w:t>
      </w:r>
      <w:r w:rsidR="00D46714">
        <w:t>Como se ha indicado, e</w:t>
      </w:r>
      <w:r>
        <w:t xml:space="preserve">n el supuesto de que una información se encuentre publicada en otro lugar de la web institucional, debería enlazarse a ella desde el Portal de Transparencia, ubicando dicho enlace en el bloque de información al que pertenezca.   </w:t>
      </w:r>
    </w:p>
    <w:p w:rsidR="00D67951" w:rsidRPr="002A35CD" w:rsidRDefault="00D67951" w:rsidP="00D67951">
      <w:pPr>
        <w:rPr>
          <w:b/>
          <w:color w:val="325F64" w:themeColor="accent2" w:themeShade="BF"/>
        </w:rPr>
      </w:pPr>
      <w:r w:rsidRPr="002A35CD">
        <w:rPr>
          <w:b/>
          <w:color w:val="325F64" w:themeColor="accent2" w:themeShade="BF"/>
        </w:rPr>
        <w:t>En promedio</w:t>
      </w:r>
      <w:r w:rsidR="00591E4A">
        <w:rPr>
          <w:b/>
          <w:color w:val="325F64" w:themeColor="accent2" w:themeShade="BF"/>
        </w:rPr>
        <w:t>,</w:t>
      </w:r>
      <w:r w:rsidRPr="002A35CD">
        <w:rPr>
          <w:b/>
          <w:color w:val="325F64" w:themeColor="accent2" w:themeShade="BF"/>
        </w:rPr>
        <w:t xml:space="preserve"> </w:t>
      </w:r>
      <w:r w:rsidR="00DA7486">
        <w:rPr>
          <w:b/>
          <w:color w:val="325F64" w:themeColor="accent2" w:themeShade="BF"/>
        </w:rPr>
        <w:t>la proporción</w:t>
      </w:r>
      <w:r w:rsidRPr="002A35CD">
        <w:rPr>
          <w:b/>
          <w:color w:val="325F64" w:themeColor="accent2" w:themeShade="BF"/>
        </w:rPr>
        <w:t xml:space="preserve"> de informaciones obligatorias </w:t>
      </w:r>
      <w:r w:rsidR="00DA7486">
        <w:rPr>
          <w:b/>
          <w:color w:val="325F64" w:themeColor="accent2" w:themeShade="BF"/>
        </w:rPr>
        <w:t xml:space="preserve">que se publican no alcanza el </w:t>
      </w:r>
      <w:r w:rsidR="00D46714">
        <w:rPr>
          <w:b/>
          <w:color w:val="325F64" w:themeColor="accent2" w:themeShade="BF"/>
        </w:rPr>
        <w:t>54</w:t>
      </w:r>
      <w:r w:rsidR="00DA7486">
        <w:rPr>
          <w:b/>
          <w:color w:val="325F64" w:themeColor="accent2" w:themeShade="BF"/>
        </w:rPr>
        <w:t xml:space="preserve">%, </w:t>
      </w:r>
      <w:r w:rsidRPr="002A35CD">
        <w:rPr>
          <w:b/>
          <w:color w:val="325F64" w:themeColor="accent2" w:themeShade="BF"/>
        </w:rPr>
        <w:t xml:space="preserve">aunque existen diferencias entre bloques de información y una gran variabilidad entre las </w:t>
      </w:r>
      <w:r w:rsidR="003A6B5E">
        <w:rPr>
          <w:b/>
          <w:color w:val="325F64" w:themeColor="accent2" w:themeShade="BF"/>
        </w:rPr>
        <w:t>entidades</w:t>
      </w:r>
      <w:r w:rsidRPr="002A35CD">
        <w:rPr>
          <w:b/>
          <w:color w:val="325F64" w:themeColor="accent2" w:themeShade="BF"/>
        </w:rPr>
        <w:t xml:space="preserve"> evaluadas. </w:t>
      </w:r>
    </w:p>
    <w:p w:rsidR="00DA7486" w:rsidRDefault="00D67951" w:rsidP="00D67951">
      <w:r w:rsidRPr="002A35CD">
        <w:t>Mientras en el bloque de</w:t>
      </w:r>
      <w:r w:rsidR="006C3C82">
        <w:t xml:space="preserve"> </w:t>
      </w:r>
      <w:r w:rsidR="001D5FAD">
        <w:t>Información Institucional,</w:t>
      </w:r>
      <w:r>
        <w:t xml:space="preserve"> Organizativa</w:t>
      </w:r>
      <w:r w:rsidR="001D5FAD">
        <w:t xml:space="preserve"> y de Planificación</w:t>
      </w:r>
      <w:r>
        <w:t xml:space="preserve"> </w:t>
      </w:r>
      <w:r w:rsidR="00DA7486">
        <w:t xml:space="preserve">la proporción de contenidos obligatorios publicados alcanza el </w:t>
      </w:r>
      <w:r w:rsidR="001C07E7">
        <w:t>74,4</w:t>
      </w:r>
      <w:r w:rsidR="00DA7486">
        <w:t xml:space="preserve">%, </w:t>
      </w:r>
      <w:r w:rsidR="006C3C82">
        <w:t xml:space="preserve">disminuye hasta </w:t>
      </w:r>
      <w:r w:rsidR="006C3C82">
        <w:lastRenderedPageBreak/>
        <w:t>el</w:t>
      </w:r>
      <w:r>
        <w:t xml:space="preserve"> </w:t>
      </w:r>
      <w:r w:rsidR="001C07E7">
        <w:t>46,1</w:t>
      </w:r>
      <w:r w:rsidR="00DA7486">
        <w:t xml:space="preserve">% en el caso de la información Económica, Presupuestaria </w:t>
      </w:r>
      <w:r w:rsidR="001B45B7">
        <w:t xml:space="preserve">y Estadística </w:t>
      </w:r>
      <w:r w:rsidR="001C07E7">
        <w:t xml:space="preserve"> y de la Información Patrimonial</w:t>
      </w:r>
      <w:r w:rsidR="00DA7486">
        <w:t xml:space="preserve">. </w:t>
      </w:r>
    </w:p>
    <w:p w:rsidR="001C07E7" w:rsidRDefault="001C07E7" w:rsidP="00D67951">
      <w:r>
        <w:t xml:space="preserve">Respecto de 2021, </w:t>
      </w:r>
      <w:r w:rsidR="001F3962">
        <w:t xml:space="preserve">la proporción de informaciones obligatorias publicadas, </w:t>
      </w:r>
      <w:r>
        <w:t xml:space="preserve">se ha incrementado en </w:t>
      </w:r>
      <w:r w:rsidR="00E12B1A">
        <w:t>más de 13 p.p., siendo los bloques de Información de Relevancia Jurídica y de Información Patrimonial, los que presentan una mejor evolución: en torno a 18 p.p.</w:t>
      </w:r>
    </w:p>
    <w:p w:rsidR="00554AE4" w:rsidRDefault="00E12B1A" w:rsidP="00D67951">
      <w:r>
        <w:t>Si se analiza por tipología de entidad evaluada, e</w:t>
      </w:r>
      <w:r w:rsidR="00554AE4">
        <w:t>n general</w:t>
      </w:r>
      <w:r w:rsidR="00DA7486">
        <w:t xml:space="preserve"> las sociedades mercantiles son las entidades que presentan un mejor desempeño </w:t>
      </w:r>
      <w:r w:rsidR="001B45B7">
        <w:t>en la publicación de contenidos obligatorios</w:t>
      </w:r>
      <w:r>
        <w:t>, pero son las MATEPSS las que mejor evolución presentan.</w:t>
      </w:r>
      <w:r w:rsidR="001B45B7">
        <w:t xml:space="preserve"> </w:t>
      </w:r>
    </w:p>
    <w:p w:rsidR="00554AE4" w:rsidRDefault="00554AE4" w:rsidP="00D67951">
      <w:r>
        <w:t xml:space="preserve">Las informaciones que </w:t>
      </w:r>
      <w:r w:rsidR="00956AEB">
        <w:t>muestran</w:t>
      </w:r>
      <w:r>
        <w:t xml:space="preserve"> una menor frecuencia de publicación son </w:t>
      </w:r>
      <w:r w:rsidR="00D67951">
        <w:t>el Registro de Actividades de Tratamiento</w:t>
      </w:r>
      <w:r w:rsidR="006C3C82">
        <w:t xml:space="preserve"> junto a la información relativa </w:t>
      </w:r>
      <w:r>
        <w:t>a planificación</w:t>
      </w:r>
      <w:r w:rsidR="001F3962">
        <w:t xml:space="preserve">, la información patrimonial, </w:t>
      </w:r>
      <w:r w:rsidR="001D5FAD">
        <w:t>y</w:t>
      </w:r>
      <w:r w:rsidR="001F3962">
        <w:t>,</w:t>
      </w:r>
      <w:r w:rsidR="00591E4A">
        <w:t xml:space="preserve"> </w:t>
      </w:r>
      <w:r w:rsidR="00047ECA">
        <w:t xml:space="preserve"> </w:t>
      </w:r>
      <w:r w:rsidR="00D67951">
        <w:t>en el bloque de Información Económica y Presupuestaria</w:t>
      </w:r>
      <w:r w:rsidR="001F3962">
        <w:t>,</w:t>
      </w:r>
      <w:r w:rsidR="00D67951">
        <w:t xml:space="preserve"> </w:t>
      </w:r>
      <w:r>
        <w:t>l</w:t>
      </w:r>
      <w:r w:rsidR="00D67951">
        <w:t>os contenidos que en menor medida se publican son l</w:t>
      </w:r>
      <w:r>
        <w:t>a</w:t>
      </w:r>
      <w:r w:rsidR="00D67951">
        <w:t xml:space="preserve">s </w:t>
      </w:r>
      <w:r>
        <w:t xml:space="preserve">informaciones relativas </w:t>
      </w:r>
      <w:r w:rsidR="001F3962">
        <w:t>a</w:t>
      </w:r>
      <w:r>
        <w:t xml:space="preserve"> autorizaciones para el ejercicio de actividades</w:t>
      </w:r>
      <w:r w:rsidR="003A6B5E">
        <w:t xml:space="preserve"> privadas concedidas a</w:t>
      </w:r>
      <w:r>
        <w:t xml:space="preserve"> altos cargos, </w:t>
      </w:r>
      <w:r w:rsidR="00E12B1A">
        <w:t xml:space="preserve">indemnizaciones percibidas, </w:t>
      </w:r>
      <w:r>
        <w:t>autorizaciones de compatibilidad de empleados,</w:t>
      </w:r>
      <w:r w:rsidR="00E12B1A">
        <w:t xml:space="preserve"> </w:t>
      </w:r>
      <w:r w:rsidR="00E12B1A" w:rsidRPr="00E12B1A">
        <w:t>modificaciones de los contratos adjudicados</w:t>
      </w:r>
      <w:r w:rsidR="00E12B1A">
        <w:t>, desistimientos y renuncias a contratos adjudicados,</w:t>
      </w:r>
      <w:r w:rsidR="003A5C81" w:rsidRPr="003A5C81">
        <w:t xml:space="preserve"> </w:t>
      </w:r>
      <w:r w:rsidR="003A5C81">
        <w:t xml:space="preserve">ejecución presupuestaria, </w:t>
      </w:r>
      <w:r>
        <w:t>subvenciones,</w:t>
      </w:r>
      <w:r w:rsidR="003A5C81">
        <w:t xml:space="preserve"> informes de auditoría y fiscalización elaborados por órganos del control externo, </w:t>
      </w:r>
      <w:r w:rsidR="003A5C81" w:rsidRPr="003A5C81">
        <w:t>encomiendas de gestión</w:t>
      </w:r>
      <w:r w:rsidR="003A5C81">
        <w:t>,</w:t>
      </w:r>
      <w:r>
        <w:t xml:space="preserve"> </w:t>
      </w:r>
      <w:r w:rsidR="00D67951">
        <w:t>datos estadísticos sobre los contratos adjudicados según procedimiento de licitación</w:t>
      </w:r>
      <w:r>
        <w:t xml:space="preserve"> y finalmente,</w:t>
      </w:r>
      <w:r w:rsidR="003A5C81" w:rsidRPr="003A5C81">
        <w:t xml:space="preserve"> los presupuestos</w:t>
      </w:r>
      <w:r>
        <w:t xml:space="preserve">. </w:t>
      </w:r>
      <w:r w:rsidR="006C3C82">
        <w:t xml:space="preserve"> </w:t>
      </w:r>
    </w:p>
    <w:p w:rsidR="00D67951" w:rsidRDefault="00D67951" w:rsidP="00D67951">
      <w:r>
        <w:t xml:space="preserve">Algunas de las </w:t>
      </w:r>
      <w:r w:rsidR="00554AE4">
        <w:t>entidades</w:t>
      </w:r>
      <w:r w:rsidR="00591E4A">
        <w:t>,</w:t>
      </w:r>
      <w:r>
        <w:t xml:space="preserve"> en sus informes de observaciones, han indicado como causa de la falta de publicación de algunas informaciones </w:t>
      </w:r>
      <w:r w:rsidR="003A6B5E">
        <w:t>la inexistencia</w:t>
      </w:r>
      <w:r>
        <w:t xml:space="preserve"> información que publicar por no haber habido actividad en ese ámbito concreto.</w:t>
      </w:r>
    </w:p>
    <w:p w:rsidR="00D67951" w:rsidRDefault="00554AE4" w:rsidP="00554AE4">
      <w:r>
        <w:t>En otros</w:t>
      </w:r>
      <w:r w:rsidR="00D67951">
        <w:t xml:space="preserve"> casos se indica</w:t>
      </w:r>
      <w:r w:rsidR="00591E4A">
        <w:t>,</w:t>
      </w:r>
      <w:r w:rsidR="00D67951">
        <w:t xml:space="preserve"> en las observaciones, que una información no localizada durante la evaluación está publicada conjuntamente con </w:t>
      </w:r>
      <w:r w:rsidR="006C3C82">
        <w:t>otra</w:t>
      </w:r>
      <w:r w:rsidR="00D67951">
        <w:t xml:space="preserve"> información</w:t>
      </w:r>
      <w:r w:rsidR="003A6B5E">
        <w:t xml:space="preserve"> obligatoria</w:t>
      </w:r>
      <w:r w:rsidR="003A5C81">
        <w:t xml:space="preserve"> o en otros documentos mediante los que se publica información no sujeta a obligaciones de publicidad activa</w:t>
      </w:r>
      <w:r>
        <w:t xml:space="preserve"> y</w:t>
      </w:r>
      <w:r w:rsidR="003A5C81">
        <w:t>,</w:t>
      </w:r>
      <w:r>
        <w:t xml:space="preserve"> finalmente</w:t>
      </w:r>
      <w:r w:rsidR="003A5C81">
        <w:t>,</w:t>
      </w:r>
      <w:r>
        <w:t xml:space="preserve"> también se ha </w:t>
      </w:r>
      <w:r w:rsidR="00C02ADF">
        <w:t>argumentado que la información se publicaba en el Portal de Transparencia de la AGE.</w:t>
      </w:r>
    </w:p>
    <w:p w:rsidR="00D67951" w:rsidRDefault="00D67951" w:rsidP="001D5FAD">
      <w:pPr>
        <w:pBdr>
          <w:top w:val="single" w:sz="4" w:space="1" w:color="438086" w:themeColor="accent2"/>
          <w:left w:val="single" w:sz="4" w:space="4" w:color="438086" w:themeColor="accent2"/>
          <w:bottom w:val="single" w:sz="4" w:space="1" w:color="438086" w:themeColor="accent2"/>
          <w:right w:val="single" w:sz="4" w:space="4" w:color="438086" w:themeColor="accent2"/>
        </w:pBdr>
      </w:pPr>
      <w:r>
        <w:t>La primera recomendación</w:t>
      </w:r>
      <w:r w:rsidR="00D85775">
        <w:t>,</w:t>
      </w:r>
      <w:r>
        <w:t xml:space="preserve"> obviamente, es la publicación de todas las informaciones obligatorias. </w:t>
      </w:r>
    </w:p>
    <w:p w:rsidR="00D67951" w:rsidRDefault="00D67951" w:rsidP="001D5FAD">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En </w:t>
      </w:r>
      <w:r w:rsidR="00D85775">
        <w:t>lo que respecta</w:t>
      </w:r>
      <w:r>
        <w:t xml:space="preserve"> a la falta de publicación de algunas informaciones por no haber existido actividad en ese ámbito concreto, d</w:t>
      </w:r>
      <w:r w:rsidRPr="00F6070C">
        <w:t>esde este Consejo viene señalándose que la única manera de distinguir si la falta de publicación de una información sujeta a obligaciones de publicidad activa se debe a un incumplimiento de la obligación de publicar o a que no hay información que publicar porque no ha habido actividad en ese ámbito concreto</w:t>
      </w:r>
      <w:r>
        <w:t xml:space="preserve"> o porque algún tipo de regulación no </w:t>
      </w:r>
      <w:r>
        <w:lastRenderedPageBreak/>
        <w:t>permite su publicación</w:t>
      </w:r>
      <w:r w:rsidRPr="00F6070C">
        <w:t>, es que se indique tal circunstancia. Por esta razón, este Consejo, recomienda que en el apartado correspondiente a la obligación de publicidad activa para la que no ha existido actividad</w:t>
      </w:r>
      <w:r>
        <w:t xml:space="preserve"> o cuando no sea posible su publicación porque existan restricciones legales, </w:t>
      </w:r>
      <w:r w:rsidRPr="00F6070C">
        <w:t>se haga constar expresamente.</w:t>
      </w:r>
    </w:p>
    <w:p w:rsidR="00C02ADF" w:rsidRDefault="00D67951"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En cuanto a la publicación de información de una obligación a través de otra, este CTBG recuerda que la publicación de las informaciones obligatorias debe realizarse manera individualizada. </w:t>
      </w:r>
      <w:r w:rsidR="00D85775">
        <w:t>Una cuestión adicional</w:t>
      </w:r>
      <w:r w:rsidR="001F3962">
        <w:t xml:space="preserve"> es que</w:t>
      </w:r>
      <w:r w:rsidR="00D85775">
        <w:t>,</w:t>
      </w:r>
      <w:r w:rsidR="001F3962">
        <w:t xml:space="preserve"> en muchas ocasiones, se redirige, para la publicación de informaciones como</w:t>
      </w:r>
      <w:r w:rsidR="00047ECA">
        <w:t xml:space="preserve">, por ejemplo, </w:t>
      </w:r>
      <w:r w:rsidR="001F3962">
        <w:t xml:space="preserve"> las retribuciones o las subvenciones, a las cuentas anuales. La documentación relativa a las cuentas anuales</w:t>
      </w:r>
      <w:r w:rsidR="00D85775">
        <w:t>,</w:t>
      </w:r>
      <w:r w:rsidR="001F3962">
        <w:t xml:space="preserve"> además de </w:t>
      </w:r>
      <w:r w:rsidR="00047ECA">
        <w:t>extensa</w:t>
      </w:r>
      <w:r w:rsidR="00D85775">
        <w:t>,</w:t>
      </w:r>
      <w:r w:rsidR="001F3962">
        <w:t xml:space="preserve"> es de muy difícil comprensión para personas no expertas en la materia, lo que supone una barrera añadida </w:t>
      </w:r>
      <w:r w:rsidR="00591E4A">
        <w:t>a la accesibilidad a la información.</w:t>
      </w:r>
    </w:p>
    <w:p w:rsidR="00C02ADF" w:rsidRDefault="00D67951"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rPr>
          <w:rFonts w:cstheme="minorHAnsi"/>
          <w:szCs w:val="24"/>
        </w:rPr>
      </w:pPr>
      <w:r>
        <w:t>Finalmente</w:t>
      </w:r>
      <w:r w:rsidR="003A5C81">
        <w:t>,</w:t>
      </w:r>
      <w:r>
        <w:t xml:space="preserve"> en relación con el tercer supuesto, no publicación porque la información </w:t>
      </w:r>
      <w:r w:rsidR="00C02ADF">
        <w:t xml:space="preserve">se encuentra publicada en el Portal de Transparencia de la AGE, </w:t>
      </w:r>
      <w:r w:rsidR="00C02ADF">
        <w:rPr>
          <w:rFonts w:cstheme="minorHAnsi"/>
          <w:szCs w:val="24"/>
        </w:rPr>
        <w:t xml:space="preserve">este CTBG quiere recordar que el </w:t>
      </w:r>
      <w:r w:rsidR="00C02ADF" w:rsidRPr="005C4D90">
        <w:rPr>
          <w:rFonts w:cstheme="minorHAnsi"/>
          <w:szCs w:val="24"/>
        </w:rPr>
        <w:t xml:space="preserve">artículo 55.2 de la Ley </w:t>
      </w:r>
      <w:r w:rsidR="00591E4A">
        <w:rPr>
          <w:rFonts w:cstheme="minorHAnsi"/>
          <w:szCs w:val="24"/>
        </w:rPr>
        <w:t xml:space="preserve">40/2015, </w:t>
      </w:r>
      <w:r w:rsidR="00C02ADF" w:rsidRPr="005C4D90">
        <w:rPr>
          <w:rFonts w:cstheme="minorHAnsi"/>
          <w:szCs w:val="24"/>
        </w:rPr>
        <w:t xml:space="preserve">de Régimen Jurídico del Sector Público, establece que la Administración General del Estado comprende la organización central (Ministerios y servicios comunes), la organización territorial (Delegaciones y Subdelegaciones del Gobierno) y finalmente, la Administración General del Estado en el exterior. Por tanto, los organismos públicos vinculados </w:t>
      </w:r>
      <w:r w:rsidR="00C02ADF">
        <w:rPr>
          <w:rFonts w:cstheme="minorHAnsi"/>
          <w:szCs w:val="24"/>
        </w:rPr>
        <w:t>o</w:t>
      </w:r>
      <w:r w:rsidR="00C02ADF" w:rsidRPr="005C4D90">
        <w:rPr>
          <w:rFonts w:cstheme="minorHAnsi"/>
          <w:szCs w:val="24"/>
        </w:rPr>
        <w:t xml:space="preserve"> dependientes no forman parte de la AGE</w:t>
      </w:r>
      <w:r w:rsidR="003A5C81">
        <w:rPr>
          <w:rFonts w:cstheme="minorHAnsi"/>
          <w:szCs w:val="24"/>
        </w:rPr>
        <w:t xml:space="preserve"> en los términos establecidos por la Ley 40/2015, </w:t>
      </w:r>
      <w:r w:rsidR="00C02ADF" w:rsidRPr="005C4D90">
        <w:rPr>
          <w:rFonts w:cstheme="minorHAnsi"/>
          <w:szCs w:val="24"/>
        </w:rPr>
        <w:t>y no deberían publicar en el Portal propio de ésta los datos o informaciones relativos a su actividad. Es decir</w:t>
      </w:r>
      <w:r w:rsidR="00D85775">
        <w:rPr>
          <w:rFonts w:cstheme="minorHAnsi"/>
          <w:szCs w:val="24"/>
        </w:rPr>
        <w:t>,</w:t>
      </w:r>
      <w:r w:rsidR="00C02ADF" w:rsidRPr="005C4D90">
        <w:rPr>
          <w:rFonts w:cstheme="minorHAnsi"/>
          <w:szCs w:val="24"/>
        </w:rPr>
        <w:t xml:space="preserve"> al conjunto de entidades que forman parte del Sector Público Institucional Estatal, les aplica directamente la obligación establecida en artículo 5.4 de la LTAIBG de publicar la información sujeta a obligaciones de publicidad activa en sus webs institucionales o en su</w:t>
      </w:r>
      <w:r w:rsidR="003A6B5E">
        <w:rPr>
          <w:rFonts w:cstheme="minorHAnsi"/>
          <w:szCs w:val="24"/>
        </w:rPr>
        <w:t>s</w:t>
      </w:r>
      <w:r w:rsidR="00C02ADF" w:rsidRPr="005C4D90">
        <w:rPr>
          <w:rFonts w:cstheme="minorHAnsi"/>
          <w:szCs w:val="24"/>
        </w:rPr>
        <w:t xml:space="preserve"> sede</w:t>
      </w:r>
      <w:r w:rsidR="003A6B5E">
        <w:rPr>
          <w:rFonts w:cstheme="minorHAnsi"/>
          <w:szCs w:val="24"/>
        </w:rPr>
        <w:t>s</w:t>
      </w:r>
      <w:r w:rsidR="00C02ADF" w:rsidRPr="005C4D90">
        <w:rPr>
          <w:rFonts w:cstheme="minorHAnsi"/>
          <w:szCs w:val="24"/>
        </w:rPr>
        <w:t xml:space="preserve"> electrónica</w:t>
      </w:r>
      <w:r w:rsidR="003A6B5E">
        <w:rPr>
          <w:rFonts w:cstheme="minorHAnsi"/>
          <w:szCs w:val="24"/>
        </w:rPr>
        <w:t>s</w:t>
      </w:r>
      <w:r w:rsidR="00C02ADF" w:rsidRPr="005C4D90">
        <w:rPr>
          <w:rFonts w:cstheme="minorHAnsi"/>
          <w:szCs w:val="24"/>
        </w:rPr>
        <w:t>.</w:t>
      </w:r>
    </w:p>
    <w:p w:rsidR="003A5C81" w:rsidRDefault="00C02ADF"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rPr>
          <w:rFonts w:cstheme="minorHAnsi"/>
          <w:szCs w:val="24"/>
        </w:rPr>
      </w:pPr>
      <w:r>
        <w:rPr>
          <w:rFonts w:cstheme="minorHAnsi"/>
          <w:szCs w:val="24"/>
        </w:rPr>
        <w:t>Por otra parte,</w:t>
      </w:r>
      <w:r w:rsidR="003A5C81">
        <w:rPr>
          <w:rFonts w:cstheme="minorHAnsi"/>
          <w:szCs w:val="24"/>
        </w:rPr>
        <w:t xml:space="preserve"> y como se ha señalado en el informe relativo al cumplimiento de las obligaciones de publicidad activa por parte </w:t>
      </w:r>
      <w:r w:rsidR="00591E4A">
        <w:rPr>
          <w:rFonts w:cstheme="minorHAnsi"/>
          <w:szCs w:val="24"/>
        </w:rPr>
        <w:t>de la Administración General del Estado</w:t>
      </w:r>
      <w:r w:rsidR="003A5C81">
        <w:rPr>
          <w:rFonts w:cstheme="minorHAnsi"/>
          <w:szCs w:val="24"/>
        </w:rPr>
        <w:t xml:space="preserve">, </w:t>
      </w:r>
      <w:r>
        <w:rPr>
          <w:rFonts w:cstheme="minorHAnsi"/>
          <w:szCs w:val="24"/>
        </w:rPr>
        <w:t xml:space="preserve"> </w:t>
      </w:r>
      <w:r w:rsidR="00591E4A">
        <w:rPr>
          <w:rFonts w:cstheme="minorHAnsi"/>
          <w:szCs w:val="24"/>
        </w:rPr>
        <w:t>su Portal de Transparencia</w:t>
      </w:r>
      <w:r>
        <w:rPr>
          <w:rFonts w:cstheme="minorHAnsi"/>
          <w:szCs w:val="24"/>
        </w:rPr>
        <w:t xml:space="preserve"> no publica todas las informaciones obligatorias correspondientes a un organismo vinculado o dependiente. </w:t>
      </w:r>
      <w:r w:rsidR="003A5C81">
        <w:rPr>
          <w:rFonts w:cstheme="minorHAnsi"/>
          <w:szCs w:val="24"/>
        </w:rPr>
        <w:t xml:space="preserve">En algunos de los informes individuales de evaluación elaborados por este Consejo, se aportan evidencias </w:t>
      </w:r>
      <w:r w:rsidR="00047ECA">
        <w:rPr>
          <w:rFonts w:cstheme="minorHAnsi"/>
          <w:szCs w:val="24"/>
        </w:rPr>
        <w:t>para algunos</w:t>
      </w:r>
      <w:r w:rsidR="003A5C81">
        <w:rPr>
          <w:rFonts w:cstheme="minorHAnsi"/>
          <w:szCs w:val="24"/>
        </w:rPr>
        <w:t xml:space="preserve"> organismos concretos a este respecto. </w:t>
      </w:r>
      <w:r>
        <w:rPr>
          <w:rFonts w:cstheme="minorHAnsi"/>
          <w:szCs w:val="24"/>
        </w:rPr>
        <w:t xml:space="preserve"> </w:t>
      </w:r>
    </w:p>
    <w:p w:rsidR="00C02ADF" w:rsidRPr="005C4D90" w:rsidRDefault="00C02ADF"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rPr>
          <w:rFonts w:cstheme="minorHAnsi"/>
          <w:szCs w:val="24"/>
        </w:rPr>
      </w:pPr>
      <w:r>
        <w:rPr>
          <w:rFonts w:cstheme="minorHAnsi"/>
          <w:szCs w:val="24"/>
        </w:rPr>
        <w:t xml:space="preserve">Finalmente, una dificultad adicional es que </w:t>
      </w:r>
      <w:r w:rsidRPr="00C02ADF">
        <w:rPr>
          <w:rFonts w:cstheme="minorHAnsi"/>
          <w:szCs w:val="24"/>
        </w:rPr>
        <w:t xml:space="preserve">localizar </w:t>
      </w:r>
      <w:r>
        <w:rPr>
          <w:rFonts w:cstheme="minorHAnsi"/>
          <w:szCs w:val="24"/>
        </w:rPr>
        <w:t xml:space="preserve">información </w:t>
      </w:r>
      <w:r w:rsidRPr="00C02ADF">
        <w:rPr>
          <w:rFonts w:cstheme="minorHAnsi"/>
          <w:szCs w:val="24"/>
        </w:rPr>
        <w:t>en el Portal de Transparencia de la AGE implica la realización de nuevas búsquedas, siempre que ello sea posible, y en no pocas ocasiones obliga a revisar un número muy elevado de páginas hasta localizar la información concreta correspondiente a un organismo.</w:t>
      </w:r>
      <w:r>
        <w:rPr>
          <w:rFonts w:cstheme="minorHAnsi"/>
          <w:szCs w:val="24"/>
        </w:rPr>
        <w:t xml:space="preserve"> Por ejemplo, la información patrimonial se ofrece para el conjunto de la AGE </w:t>
      </w:r>
      <w:r w:rsidR="007601C2">
        <w:rPr>
          <w:rFonts w:cstheme="minorHAnsi"/>
          <w:szCs w:val="24"/>
        </w:rPr>
        <w:t xml:space="preserve">mediante un fichero </w:t>
      </w:r>
      <w:proofErr w:type="spellStart"/>
      <w:r w:rsidR="007601C2">
        <w:rPr>
          <w:rFonts w:cstheme="minorHAnsi"/>
          <w:szCs w:val="24"/>
        </w:rPr>
        <w:t>excel</w:t>
      </w:r>
      <w:proofErr w:type="spellEnd"/>
      <w:r w:rsidR="007601C2">
        <w:rPr>
          <w:rFonts w:cstheme="minorHAnsi"/>
          <w:szCs w:val="24"/>
        </w:rPr>
        <w:t xml:space="preserve"> que no identifica ni el organismo ni el Ministerio al que está adscrito el inmueble. La alternativa es localizar la información del organismo filtrando por Ministerio, con el problema, ya señalado en el informe relativo al cumplimiento de las obligaciones de publicidad activa por la </w:t>
      </w:r>
      <w:r w:rsidR="007601C2">
        <w:rPr>
          <w:rFonts w:cstheme="minorHAnsi"/>
          <w:szCs w:val="24"/>
        </w:rPr>
        <w:lastRenderedPageBreak/>
        <w:t xml:space="preserve">Administración General del Estado, </w:t>
      </w:r>
      <w:r w:rsidR="001F3962">
        <w:rPr>
          <w:rFonts w:cstheme="minorHAnsi"/>
          <w:szCs w:val="24"/>
        </w:rPr>
        <w:t xml:space="preserve">de que </w:t>
      </w:r>
      <w:r w:rsidR="001F3962" w:rsidRPr="001F3962">
        <w:rPr>
          <w:rFonts w:cstheme="minorHAnsi"/>
          <w:szCs w:val="24"/>
        </w:rPr>
        <w:t>todos los enlaces</w:t>
      </w:r>
      <w:r w:rsidR="001F3962">
        <w:rPr>
          <w:rFonts w:cstheme="minorHAnsi"/>
          <w:szCs w:val="24"/>
        </w:rPr>
        <w:t xml:space="preserve">, al menos en el momento de la evaluación, </w:t>
      </w:r>
      <w:r w:rsidR="001F3962" w:rsidRPr="001F3962">
        <w:rPr>
          <w:rFonts w:cstheme="minorHAnsi"/>
          <w:szCs w:val="24"/>
        </w:rPr>
        <w:t>abr</w:t>
      </w:r>
      <w:r w:rsidR="001F3962">
        <w:rPr>
          <w:rFonts w:cstheme="minorHAnsi"/>
          <w:szCs w:val="24"/>
        </w:rPr>
        <w:t>ía</w:t>
      </w:r>
      <w:r w:rsidR="001F3962" w:rsidRPr="001F3962">
        <w:rPr>
          <w:rFonts w:cstheme="minorHAnsi"/>
          <w:szCs w:val="24"/>
        </w:rPr>
        <w:t>n páginas</w:t>
      </w:r>
      <w:r w:rsidR="001F3962">
        <w:rPr>
          <w:rFonts w:cstheme="minorHAnsi"/>
          <w:szCs w:val="24"/>
        </w:rPr>
        <w:t xml:space="preserve"> </w:t>
      </w:r>
      <w:r w:rsidR="001F3962" w:rsidRPr="001F3962">
        <w:rPr>
          <w:rFonts w:cstheme="minorHAnsi"/>
          <w:szCs w:val="24"/>
        </w:rPr>
        <w:t xml:space="preserve">en las que </w:t>
      </w:r>
      <w:r w:rsidR="00047ECA">
        <w:rPr>
          <w:rFonts w:cstheme="minorHAnsi"/>
          <w:szCs w:val="24"/>
        </w:rPr>
        <w:t>se informaba de</w:t>
      </w:r>
      <w:r w:rsidR="001F3962" w:rsidRPr="001F3962">
        <w:rPr>
          <w:rFonts w:cstheme="minorHAnsi"/>
          <w:szCs w:val="24"/>
        </w:rPr>
        <w:t xml:space="preserve"> que no </w:t>
      </w:r>
      <w:r w:rsidR="00047ECA">
        <w:rPr>
          <w:rFonts w:cstheme="minorHAnsi"/>
          <w:szCs w:val="24"/>
        </w:rPr>
        <w:t>se habían</w:t>
      </w:r>
      <w:r w:rsidR="001F3962" w:rsidRPr="001F3962">
        <w:rPr>
          <w:rFonts w:cstheme="minorHAnsi"/>
          <w:szCs w:val="24"/>
        </w:rPr>
        <w:t xml:space="preserve"> obtenido resultados para la búsqueda</w:t>
      </w:r>
      <w:r w:rsidR="007601C2">
        <w:rPr>
          <w:rFonts w:cstheme="minorHAnsi"/>
          <w:szCs w:val="24"/>
        </w:rPr>
        <w:t xml:space="preserve">.  </w:t>
      </w:r>
    </w:p>
    <w:p w:rsidR="00D67951" w:rsidRPr="00F6070C" w:rsidRDefault="007601C2" w:rsidP="00D67951">
      <w:pPr>
        <w:rPr>
          <w:b/>
          <w:color w:val="325F64" w:themeColor="accent2" w:themeShade="BF"/>
        </w:rPr>
      </w:pPr>
      <w:r>
        <w:rPr>
          <w:b/>
          <w:color w:val="325F64" w:themeColor="accent2" w:themeShade="BF"/>
        </w:rPr>
        <w:t>L</w:t>
      </w:r>
      <w:r w:rsidR="00D67951">
        <w:rPr>
          <w:b/>
          <w:color w:val="325F64" w:themeColor="accent2" w:themeShade="BF"/>
        </w:rPr>
        <w:t xml:space="preserve">os criterios de calidad de la información publicada obtienen una valoración </w:t>
      </w:r>
      <w:r w:rsidR="00FF5B42">
        <w:rPr>
          <w:b/>
          <w:color w:val="325F64" w:themeColor="accent2" w:themeShade="BF"/>
        </w:rPr>
        <w:t>en torno al</w:t>
      </w:r>
      <w:r>
        <w:rPr>
          <w:b/>
          <w:color w:val="325F64" w:themeColor="accent2" w:themeShade="BF"/>
        </w:rPr>
        <w:t xml:space="preserve"> 50%. Esta valoración se explica por los problemas de</w:t>
      </w:r>
      <w:r w:rsidR="00D67951">
        <w:rPr>
          <w:b/>
          <w:color w:val="325F64" w:themeColor="accent2" w:themeShade="BF"/>
        </w:rPr>
        <w:t xml:space="preserve"> accesibilidad a la información como consecuencia de la forma de publicar las informaciones y, sobre todo, se observa la falta generalizada de referencias que permitan saber si la información publicada  está vigente.</w:t>
      </w:r>
    </w:p>
    <w:p w:rsidR="00D67951" w:rsidRDefault="00D67951" w:rsidP="00D67951">
      <w:pPr>
        <w:tabs>
          <w:tab w:val="left" w:pos="284"/>
        </w:tabs>
        <w:spacing w:before="120" w:after="120" w:line="312" w:lineRule="auto"/>
        <w:rPr>
          <w:rFonts w:cstheme="minorHAnsi"/>
          <w:szCs w:val="24"/>
        </w:rPr>
      </w:pPr>
      <w:r w:rsidRPr="004B627A">
        <w:rPr>
          <w:rFonts w:cstheme="minorHAnsi"/>
          <w:szCs w:val="24"/>
        </w:rPr>
        <w:t>Un ejemplo claro del primer supuesto</w:t>
      </w:r>
      <w:r w:rsidR="007601C2">
        <w:rPr>
          <w:rFonts w:cstheme="minorHAnsi"/>
          <w:szCs w:val="24"/>
        </w:rPr>
        <w:t xml:space="preserve">, como </w:t>
      </w:r>
      <w:r w:rsidR="00FF5B42">
        <w:rPr>
          <w:rFonts w:cstheme="minorHAnsi"/>
          <w:szCs w:val="24"/>
        </w:rPr>
        <w:t>se ha reseñado</w:t>
      </w:r>
      <w:r w:rsidR="007601C2">
        <w:rPr>
          <w:rFonts w:cstheme="minorHAnsi"/>
          <w:szCs w:val="24"/>
        </w:rPr>
        <w:t xml:space="preserve"> en los informes de evaluación </w:t>
      </w:r>
      <w:r w:rsidR="00FF5B42">
        <w:rPr>
          <w:rFonts w:cstheme="minorHAnsi"/>
          <w:szCs w:val="24"/>
        </w:rPr>
        <w:t>de los distintos grupos de sujetos obligados</w:t>
      </w:r>
      <w:r w:rsidR="007601C2">
        <w:rPr>
          <w:rFonts w:cstheme="minorHAnsi"/>
          <w:szCs w:val="24"/>
        </w:rPr>
        <w:t xml:space="preserve">,  </w:t>
      </w:r>
      <w:r>
        <w:rPr>
          <w:rFonts w:cstheme="minorHAnsi"/>
          <w:szCs w:val="24"/>
        </w:rPr>
        <w:t xml:space="preserve">es la publicación de la información del grupo de contratación a través de los Perfiles del Contratante en la Plataforma de Contratación del Sector Público. </w:t>
      </w:r>
      <w:r w:rsidR="00FF5B42">
        <w:rPr>
          <w:rFonts w:cstheme="minorHAnsi"/>
          <w:szCs w:val="24"/>
        </w:rPr>
        <w:t>Como ha venido señalando este Consejo reiteradamente, e</w:t>
      </w:r>
      <w:r>
        <w:rPr>
          <w:rFonts w:cstheme="minorHAnsi"/>
          <w:szCs w:val="24"/>
        </w:rPr>
        <w:t>l recurso a fuentes centralizadas para la publicación de informaciones obligatorias presenta diferentes problemas:</w:t>
      </w:r>
    </w:p>
    <w:p w:rsidR="00D67951" w:rsidRDefault="00D67951" w:rsidP="00D67951">
      <w:pPr>
        <w:pStyle w:val="Prrafodelista"/>
        <w:numPr>
          <w:ilvl w:val="0"/>
          <w:numId w:val="46"/>
        </w:numPr>
        <w:tabs>
          <w:tab w:val="left" w:pos="284"/>
        </w:tabs>
        <w:spacing w:before="120" w:after="120" w:line="312" w:lineRule="auto"/>
        <w:rPr>
          <w:rFonts w:cstheme="minorHAnsi"/>
          <w:szCs w:val="24"/>
        </w:rPr>
      </w:pPr>
      <w:r>
        <w:rPr>
          <w:rFonts w:cstheme="minorHAnsi"/>
          <w:szCs w:val="24"/>
        </w:rPr>
        <w:t>En primer lugar, se trata de fuentes de información de difícil acceso para la ciudadanía por las dificultades de manejo que presentan.</w:t>
      </w:r>
    </w:p>
    <w:p w:rsidR="00D67951" w:rsidRDefault="00D67951" w:rsidP="00D67951">
      <w:pPr>
        <w:pStyle w:val="Prrafodelista"/>
        <w:numPr>
          <w:ilvl w:val="0"/>
          <w:numId w:val="46"/>
        </w:numPr>
        <w:tabs>
          <w:tab w:val="left" w:pos="284"/>
        </w:tabs>
        <w:spacing w:before="120" w:after="120" w:line="312" w:lineRule="auto"/>
        <w:rPr>
          <w:rFonts w:cstheme="minorHAnsi"/>
          <w:szCs w:val="24"/>
        </w:rPr>
      </w:pPr>
      <w:r>
        <w:rPr>
          <w:rFonts w:cstheme="minorHAnsi"/>
          <w:szCs w:val="24"/>
        </w:rPr>
        <w:t>En segundo lugar, a</w:t>
      </w:r>
      <w:r w:rsidRPr="009768D7">
        <w:rPr>
          <w:rFonts w:cstheme="minorHAnsi"/>
          <w:szCs w:val="24"/>
        </w:rPr>
        <w:t>l estar diseñadas para otros usos</w:t>
      </w:r>
      <w:r>
        <w:rPr>
          <w:rFonts w:cstheme="minorHAnsi"/>
          <w:szCs w:val="24"/>
        </w:rPr>
        <w:t>,</w:t>
      </w:r>
      <w:r w:rsidRPr="009768D7">
        <w:rPr>
          <w:rFonts w:cstheme="minorHAnsi"/>
          <w:szCs w:val="24"/>
        </w:rPr>
        <w:t xml:space="preserve"> </w:t>
      </w:r>
      <w:r>
        <w:rPr>
          <w:rFonts w:cstheme="minorHAnsi"/>
          <w:szCs w:val="24"/>
        </w:rPr>
        <w:t>i</w:t>
      </w:r>
      <w:r w:rsidRPr="009768D7">
        <w:rPr>
          <w:rFonts w:cstheme="minorHAnsi"/>
          <w:szCs w:val="24"/>
        </w:rPr>
        <w:t>ncluyen mucha información no relacionada con las obligaciones de publicidad activa y</w:t>
      </w:r>
      <w:r w:rsidR="00FF5B42">
        <w:rPr>
          <w:rFonts w:cstheme="minorHAnsi"/>
          <w:szCs w:val="24"/>
        </w:rPr>
        <w:t>,</w:t>
      </w:r>
      <w:r w:rsidRPr="009768D7">
        <w:rPr>
          <w:rFonts w:cstheme="minorHAnsi"/>
          <w:szCs w:val="24"/>
        </w:rPr>
        <w:t xml:space="preserve"> por el contrario</w:t>
      </w:r>
      <w:r w:rsidR="00FF5B42">
        <w:rPr>
          <w:rFonts w:cstheme="minorHAnsi"/>
          <w:szCs w:val="24"/>
        </w:rPr>
        <w:t>,</w:t>
      </w:r>
      <w:r w:rsidRPr="009768D7">
        <w:rPr>
          <w:rFonts w:cstheme="minorHAnsi"/>
          <w:szCs w:val="24"/>
        </w:rPr>
        <w:t xml:space="preserve"> no incluyen otros contenidos que son obligatorios en aplicación de la LTAIBG. </w:t>
      </w:r>
      <w:r>
        <w:rPr>
          <w:rFonts w:cstheme="minorHAnsi"/>
          <w:szCs w:val="24"/>
        </w:rPr>
        <w:t xml:space="preserve"> Siguiendo con el ejemplo de la Plataforma de Contratación del Sector Público, ésta no incluye entre los criterios de búsqueda de licitaciones las modificaciones de los contratos, que constituye</w:t>
      </w:r>
      <w:r w:rsidR="00475A84">
        <w:rPr>
          <w:rFonts w:cstheme="minorHAnsi"/>
          <w:szCs w:val="24"/>
        </w:rPr>
        <w:t>n</w:t>
      </w:r>
      <w:r>
        <w:rPr>
          <w:rFonts w:cstheme="minorHAnsi"/>
          <w:szCs w:val="24"/>
        </w:rPr>
        <w:t xml:space="preserve"> una obligación diferenciada dentro del grupo contratación. Localizar la información relativa a modificaciones en la </w:t>
      </w:r>
      <w:r w:rsidRPr="006C3BE2">
        <w:rPr>
          <w:rFonts w:cstheme="minorHAnsi"/>
          <w:szCs w:val="24"/>
        </w:rPr>
        <w:t>Plataforma de Contratación del Sector Público</w:t>
      </w:r>
      <w:r>
        <w:rPr>
          <w:rFonts w:cstheme="minorHAnsi"/>
          <w:szCs w:val="24"/>
        </w:rPr>
        <w:t>, implica</w:t>
      </w:r>
      <w:r w:rsidRPr="009768D7">
        <w:rPr>
          <w:rFonts w:cstheme="minorHAnsi"/>
          <w:szCs w:val="24"/>
        </w:rPr>
        <w:t xml:space="preserve"> abrir los enlaces a cada una de las licitaciones </w:t>
      </w:r>
      <w:r>
        <w:rPr>
          <w:rFonts w:cstheme="minorHAnsi"/>
          <w:szCs w:val="24"/>
        </w:rPr>
        <w:t>correspondientes a la entidad</w:t>
      </w:r>
      <w:r w:rsidRPr="009768D7">
        <w:rPr>
          <w:rFonts w:cstheme="minorHAnsi"/>
          <w:szCs w:val="24"/>
        </w:rPr>
        <w:t xml:space="preserve"> para conocer si </w:t>
      </w:r>
      <w:r>
        <w:rPr>
          <w:rFonts w:cstheme="minorHAnsi"/>
          <w:szCs w:val="24"/>
        </w:rPr>
        <w:t xml:space="preserve">en alguna de ellas se ha dado esta circunstancia. Un problema adicional es que una entidad puede tener más de un órgano de contratación, lo que supone una dificultad </w:t>
      </w:r>
      <w:r w:rsidR="00FF5B42">
        <w:rPr>
          <w:rFonts w:cstheme="minorHAnsi"/>
          <w:szCs w:val="24"/>
        </w:rPr>
        <w:t>añadida</w:t>
      </w:r>
      <w:r>
        <w:rPr>
          <w:rFonts w:cstheme="minorHAnsi"/>
          <w:szCs w:val="24"/>
        </w:rPr>
        <w:t xml:space="preserve">. </w:t>
      </w:r>
    </w:p>
    <w:p w:rsidR="00D67951" w:rsidRDefault="00D67951" w:rsidP="00D67951">
      <w:pPr>
        <w:pStyle w:val="Prrafodelista"/>
        <w:numPr>
          <w:ilvl w:val="0"/>
          <w:numId w:val="46"/>
        </w:numPr>
        <w:tabs>
          <w:tab w:val="left" w:pos="284"/>
        </w:tabs>
        <w:spacing w:before="120" w:after="120" w:line="312" w:lineRule="auto"/>
        <w:rPr>
          <w:rFonts w:cstheme="minorHAnsi"/>
          <w:szCs w:val="24"/>
        </w:rPr>
      </w:pPr>
      <w:r>
        <w:rPr>
          <w:rFonts w:cstheme="minorHAnsi"/>
          <w:szCs w:val="24"/>
        </w:rPr>
        <w:t xml:space="preserve">En tercer lugar, </w:t>
      </w:r>
      <w:r w:rsidRPr="006C3BE2">
        <w:rPr>
          <w:rFonts w:cstheme="minorHAnsi"/>
          <w:szCs w:val="24"/>
        </w:rPr>
        <w:t xml:space="preserve">un problema </w:t>
      </w:r>
      <w:r w:rsidR="00FF5B42">
        <w:rPr>
          <w:rFonts w:cstheme="minorHAnsi"/>
          <w:szCs w:val="24"/>
        </w:rPr>
        <w:t>sumado</w:t>
      </w:r>
      <w:r w:rsidRPr="006C3BE2">
        <w:rPr>
          <w:rFonts w:cstheme="minorHAnsi"/>
          <w:szCs w:val="24"/>
        </w:rPr>
        <w:t xml:space="preserve"> a los ya señalados</w:t>
      </w:r>
      <w:r>
        <w:rPr>
          <w:rFonts w:cstheme="minorHAnsi"/>
          <w:szCs w:val="24"/>
        </w:rPr>
        <w:t>, es</w:t>
      </w:r>
      <w:r w:rsidRPr="006C3BE2">
        <w:rPr>
          <w:rFonts w:cstheme="minorHAnsi"/>
          <w:szCs w:val="24"/>
        </w:rPr>
        <w:t xml:space="preserve"> la imposibilidad de que la entidad que adopta </w:t>
      </w:r>
      <w:r>
        <w:rPr>
          <w:rFonts w:cstheme="minorHAnsi"/>
          <w:szCs w:val="24"/>
        </w:rPr>
        <w:t>la</w:t>
      </w:r>
      <w:r w:rsidRPr="006C3BE2">
        <w:rPr>
          <w:rFonts w:cstheme="minorHAnsi"/>
          <w:szCs w:val="24"/>
        </w:rPr>
        <w:t xml:space="preserve"> decisión</w:t>
      </w:r>
      <w:r>
        <w:rPr>
          <w:rFonts w:cstheme="minorHAnsi"/>
          <w:szCs w:val="24"/>
        </w:rPr>
        <w:t xml:space="preserve"> de publicar información enlazando a fuentes centralizadas,</w:t>
      </w:r>
      <w:r w:rsidRPr="006C3BE2">
        <w:rPr>
          <w:rFonts w:cstheme="minorHAnsi"/>
          <w:szCs w:val="24"/>
        </w:rPr>
        <w:t xml:space="preserve"> pueda controlar tanto los contenidos como el mantenimiento de los enlaces a su inform</w:t>
      </w:r>
      <w:r>
        <w:rPr>
          <w:rFonts w:cstheme="minorHAnsi"/>
          <w:szCs w:val="24"/>
        </w:rPr>
        <w:t>ación en la fuente centralizada. De hecho</w:t>
      </w:r>
      <w:r w:rsidR="00FF5B42">
        <w:rPr>
          <w:rFonts w:cstheme="minorHAnsi"/>
          <w:szCs w:val="24"/>
        </w:rPr>
        <w:t>,</w:t>
      </w:r>
      <w:r>
        <w:rPr>
          <w:rFonts w:cstheme="minorHAnsi"/>
          <w:szCs w:val="24"/>
        </w:rPr>
        <w:t xml:space="preserve"> se ha observado en el transcurso de esta evaluación que en ocasiones el enlace a la información de la </w:t>
      </w:r>
      <w:r w:rsidR="003A6B5E">
        <w:rPr>
          <w:rFonts w:cstheme="minorHAnsi"/>
          <w:szCs w:val="24"/>
        </w:rPr>
        <w:t>entidad</w:t>
      </w:r>
      <w:r>
        <w:rPr>
          <w:rFonts w:cstheme="minorHAnsi"/>
          <w:szCs w:val="24"/>
        </w:rPr>
        <w:t xml:space="preserve"> en la fuente centralizada daba error.  </w:t>
      </w:r>
    </w:p>
    <w:p w:rsidR="00D67951" w:rsidRPr="006C3BE2" w:rsidRDefault="00D67951" w:rsidP="00475A84">
      <w:pPr>
        <w:pBdr>
          <w:top w:val="single" w:sz="8" w:space="1" w:color="226860"/>
          <w:left w:val="single" w:sz="8" w:space="4" w:color="226860"/>
          <w:bottom w:val="single" w:sz="8" w:space="1" w:color="226860"/>
          <w:right w:val="single" w:sz="8" w:space="4" w:color="226860"/>
        </w:pBdr>
        <w:tabs>
          <w:tab w:val="left" w:pos="284"/>
        </w:tabs>
        <w:spacing w:before="120" w:after="120"/>
        <w:rPr>
          <w:rFonts w:cstheme="minorHAnsi"/>
          <w:szCs w:val="24"/>
        </w:rPr>
      </w:pPr>
      <w:r w:rsidRPr="006C3BE2">
        <w:rPr>
          <w:rFonts w:cstheme="minorHAnsi"/>
          <w:szCs w:val="24"/>
        </w:rPr>
        <w:lastRenderedPageBreak/>
        <w:t>Por esta</w:t>
      </w:r>
      <w:r>
        <w:rPr>
          <w:rFonts w:cstheme="minorHAnsi"/>
          <w:szCs w:val="24"/>
        </w:rPr>
        <w:t>s razones</w:t>
      </w:r>
      <w:r w:rsidR="00FF5B42">
        <w:rPr>
          <w:rFonts w:cstheme="minorHAnsi"/>
          <w:szCs w:val="24"/>
        </w:rPr>
        <w:t>,</w:t>
      </w:r>
      <w:r w:rsidRPr="006C3BE2">
        <w:rPr>
          <w:rFonts w:cstheme="minorHAnsi"/>
          <w:szCs w:val="24"/>
        </w:rPr>
        <w:t xml:space="preserve"> desde este Consejo se </w:t>
      </w:r>
      <w:r>
        <w:rPr>
          <w:rFonts w:cstheme="minorHAnsi"/>
          <w:szCs w:val="24"/>
        </w:rPr>
        <w:t>insiste en recomendar</w:t>
      </w:r>
      <w:r w:rsidRPr="006C3BE2">
        <w:rPr>
          <w:rFonts w:cstheme="minorHAnsi"/>
          <w:szCs w:val="24"/>
        </w:rPr>
        <w:t xml:space="preserve"> que para facilitar la accesibilidad y la comprensión de esta información</w:t>
      </w:r>
      <w:r w:rsidR="00FF5B42">
        <w:rPr>
          <w:rFonts w:cstheme="minorHAnsi"/>
          <w:szCs w:val="24"/>
        </w:rPr>
        <w:t>,</w:t>
      </w:r>
      <w:r w:rsidRPr="006C3BE2">
        <w:rPr>
          <w:rFonts w:cstheme="minorHAnsi"/>
          <w:szCs w:val="24"/>
        </w:rPr>
        <w:t xml:space="preserve"> además de enlazar a la fuente centralizada se publiquen cuadros-resumen con todos los contenidos que para cada obligación establece la LTAIBG. </w:t>
      </w:r>
    </w:p>
    <w:p w:rsidR="00D67951" w:rsidRDefault="00D67951" w:rsidP="00D67951">
      <w:pPr>
        <w:tabs>
          <w:tab w:val="left" w:pos="284"/>
        </w:tabs>
        <w:spacing w:before="120" w:after="120" w:line="312" w:lineRule="auto"/>
        <w:rPr>
          <w:rFonts w:cstheme="minorHAnsi"/>
          <w:szCs w:val="24"/>
        </w:rPr>
      </w:pPr>
    </w:p>
    <w:p w:rsidR="000C4A0A" w:rsidRDefault="007601C2" w:rsidP="00D67951">
      <w:pPr>
        <w:tabs>
          <w:tab w:val="left" w:pos="284"/>
        </w:tabs>
        <w:spacing w:before="120" w:after="120" w:line="312" w:lineRule="auto"/>
        <w:rPr>
          <w:rFonts w:cstheme="minorHAnsi"/>
          <w:szCs w:val="24"/>
        </w:rPr>
      </w:pPr>
      <w:r>
        <w:rPr>
          <w:rFonts w:cstheme="minorHAnsi"/>
          <w:szCs w:val="24"/>
        </w:rPr>
        <w:t>T</w:t>
      </w:r>
      <w:r w:rsidR="000C4A0A">
        <w:rPr>
          <w:rFonts w:cstheme="minorHAnsi"/>
          <w:szCs w:val="24"/>
        </w:rPr>
        <w:t>ambién</w:t>
      </w:r>
      <w:r>
        <w:rPr>
          <w:rFonts w:cstheme="minorHAnsi"/>
          <w:szCs w:val="24"/>
        </w:rPr>
        <w:t xml:space="preserve"> y como se ha indicado,</w:t>
      </w:r>
      <w:r w:rsidR="000C4A0A">
        <w:rPr>
          <w:rFonts w:cstheme="minorHAnsi"/>
          <w:szCs w:val="24"/>
        </w:rPr>
        <w:t xml:space="preserve"> para la publicación de algunas informaciones se redirige al Portal de Transparencia de la Administración General del Estado, en el que es preciso efectuar una nueva búsqueda para localizar la información.</w:t>
      </w:r>
    </w:p>
    <w:p w:rsidR="00D67951" w:rsidRPr="00631760" w:rsidRDefault="00D67951" w:rsidP="00D67951">
      <w:pPr>
        <w:tabs>
          <w:tab w:val="left" w:pos="284"/>
        </w:tabs>
        <w:spacing w:before="120" w:after="120" w:line="312" w:lineRule="auto"/>
        <w:rPr>
          <w:rFonts w:cstheme="minorHAnsi"/>
          <w:szCs w:val="24"/>
        </w:rPr>
      </w:pPr>
      <w:r w:rsidRPr="00631760">
        <w:rPr>
          <w:rFonts w:cstheme="minorHAnsi"/>
          <w:szCs w:val="24"/>
        </w:rPr>
        <w:t>Respecto de la actualización de la información</w:t>
      </w:r>
      <w:r>
        <w:rPr>
          <w:rFonts w:cstheme="minorHAnsi"/>
          <w:szCs w:val="24"/>
        </w:rPr>
        <w:t>, la situación más frecuente es que no se publique en los Portales de Transparencia la fecha en que se revisó o actualizó por última vez la información publicada. También</w:t>
      </w:r>
      <w:r w:rsidR="00FF5B42">
        <w:rPr>
          <w:rFonts w:cstheme="minorHAnsi"/>
          <w:szCs w:val="24"/>
        </w:rPr>
        <w:t>,</w:t>
      </w:r>
      <w:r>
        <w:rPr>
          <w:rFonts w:cstheme="minorHAnsi"/>
          <w:szCs w:val="24"/>
        </w:rPr>
        <w:t xml:space="preserve"> en ocasiones, los documentos que contienen la información no están datados.  </w:t>
      </w:r>
      <w:r w:rsidRPr="00631760">
        <w:rPr>
          <w:rFonts w:cstheme="minorHAnsi"/>
          <w:szCs w:val="24"/>
        </w:rPr>
        <w:t xml:space="preserve"> </w:t>
      </w:r>
    </w:p>
    <w:p w:rsidR="00D67951" w:rsidRDefault="007601C2" w:rsidP="00D67951">
      <w:pPr>
        <w:tabs>
          <w:tab w:val="left" w:pos="284"/>
        </w:tabs>
        <w:spacing w:before="120" w:after="120" w:line="312" w:lineRule="auto"/>
        <w:rPr>
          <w:rFonts w:cstheme="minorHAnsi"/>
          <w:szCs w:val="24"/>
        </w:rPr>
      </w:pPr>
      <w:r>
        <w:rPr>
          <w:rFonts w:cstheme="minorHAnsi"/>
          <w:szCs w:val="24"/>
        </w:rPr>
        <w:t xml:space="preserve">Al igual que en las </w:t>
      </w:r>
      <w:r w:rsidR="00CB2499">
        <w:rPr>
          <w:rFonts w:cstheme="minorHAnsi"/>
          <w:szCs w:val="24"/>
        </w:rPr>
        <w:t xml:space="preserve">observaciones a las evaluaciones precedentes a esta, </w:t>
      </w:r>
      <w:r w:rsidR="00CA1FF0">
        <w:rPr>
          <w:rFonts w:cstheme="minorHAnsi"/>
          <w:szCs w:val="24"/>
        </w:rPr>
        <w:t>a</w:t>
      </w:r>
      <w:r w:rsidR="00CA1FF0" w:rsidRPr="00CA1FF0">
        <w:rPr>
          <w:rFonts w:cstheme="minorHAnsi"/>
          <w:szCs w:val="24"/>
        </w:rPr>
        <w:t xml:space="preserve">lgunas </w:t>
      </w:r>
      <w:r w:rsidR="00CA1FF0">
        <w:rPr>
          <w:rFonts w:cstheme="minorHAnsi"/>
          <w:szCs w:val="24"/>
        </w:rPr>
        <w:t>entidades</w:t>
      </w:r>
      <w:r w:rsidR="00CA1FF0" w:rsidRPr="00CA1FF0">
        <w:rPr>
          <w:rFonts w:cstheme="minorHAnsi"/>
          <w:szCs w:val="24"/>
        </w:rPr>
        <w:t xml:space="preserve"> han señalado en sus observaciones, que la información contenida en </w:t>
      </w:r>
      <w:r w:rsidR="003A6B5E">
        <w:rPr>
          <w:rFonts w:cstheme="minorHAnsi"/>
          <w:szCs w:val="24"/>
        </w:rPr>
        <w:t>su</w:t>
      </w:r>
      <w:r w:rsidR="00CA1FF0" w:rsidRPr="00CA1FF0">
        <w:rPr>
          <w:rFonts w:cstheme="minorHAnsi"/>
          <w:szCs w:val="24"/>
        </w:rPr>
        <w:t xml:space="preserve"> Portal </w:t>
      </w:r>
      <w:r w:rsidR="003A6B5E">
        <w:rPr>
          <w:rFonts w:cstheme="minorHAnsi"/>
          <w:szCs w:val="24"/>
        </w:rPr>
        <w:t xml:space="preserve">de Transparencia </w:t>
      </w:r>
      <w:r w:rsidR="00475A84">
        <w:rPr>
          <w:rFonts w:cstheme="minorHAnsi"/>
          <w:szCs w:val="24"/>
        </w:rPr>
        <w:t>se actualiza constantemente</w:t>
      </w:r>
      <w:r w:rsidR="00CA1FF0" w:rsidRPr="00CA1FF0">
        <w:rPr>
          <w:rFonts w:cstheme="minorHAnsi"/>
          <w:szCs w:val="24"/>
        </w:rPr>
        <w:t xml:space="preserve">. </w:t>
      </w:r>
      <w:r w:rsidR="00CA1FF0">
        <w:rPr>
          <w:rFonts w:cstheme="minorHAnsi"/>
          <w:szCs w:val="24"/>
        </w:rPr>
        <w:t xml:space="preserve">En otros casos se </w:t>
      </w:r>
      <w:r w:rsidR="00D67951">
        <w:rPr>
          <w:rFonts w:cstheme="minorHAnsi"/>
          <w:szCs w:val="24"/>
        </w:rPr>
        <w:t xml:space="preserve">ha señalado </w:t>
      </w:r>
      <w:r w:rsidR="00CA1FF0">
        <w:rPr>
          <w:rFonts w:cstheme="minorHAnsi"/>
          <w:szCs w:val="24"/>
        </w:rPr>
        <w:t xml:space="preserve">que </w:t>
      </w:r>
      <w:r w:rsidR="003A6B5E">
        <w:rPr>
          <w:rFonts w:cstheme="minorHAnsi"/>
          <w:szCs w:val="24"/>
        </w:rPr>
        <w:t xml:space="preserve">se </w:t>
      </w:r>
      <w:r w:rsidR="00D67951">
        <w:rPr>
          <w:rFonts w:cstheme="minorHAnsi"/>
          <w:szCs w:val="24"/>
        </w:rPr>
        <w:t xml:space="preserve">mantiene el criterio respecto de varias obligaciones </w:t>
      </w:r>
      <w:r w:rsidR="00CB2499">
        <w:rPr>
          <w:rFonts w:cstheme="minorHAnsi"/>
          <w:szCs w:val="24"/>
        </w:rPr>
        <w:t>de carácter económico,</w:t>
      </w:r>
      <w:r w:rsidR="00D67951">
        <w:rPr>
          <w:rFonts w:cstheme="minorHAnsi"/>
          <w:szCs w:val="24"/>
        </w:rPr>
        <w:t xml:space="preserve"> de no actualizar la información hasta que se produce la liquidación del presupuesto o se presentan las cuentas anuales.</w:t>
      </w:r>
    </w:p>
    <w:p w:rsidR="00CA1FF0" w:rsidRDefault="00CA1FF0" w:rsidP="00CA1FF0">
      <w:pPr>
        <w:pBdr>
          <w:top w:val="single" w:sz="8" w:space="1" w:color="226860"/>
          <w:left w:val="single" w:sz="8" w:space="4" w:color="226860"/>
          <w:bottom w:val="single" w:sz="8" w:space="1" w:color="226860"/>
          <w:right w:val="single" w:sz="8" w:space="4" w:color="226860"/>
        </w:pBdr>
        <w:tabs>
          <w:tab w:val="left" w:pos="284"/>
        </w:tabs>
        <w:spacing w:before="120" w:after="120" w:line="312" w:lineRule="auto"/>
        <w:rPr>
          <w:rFonts w:cstheme="minorHAnsi"/>
          <w:szCs w:val="24"/>
        </w:rPr>
      </w:pPr>
      <w:r w:rsidRPr="00A57F5B">
        <w:rPr>
          <w:rFonts w:cstheme="minorHAnsi"/>
          <w:szCs w:val="24"/>
        </w:rPr>
        <w:t>Respecto de la</w:t>
      </w:r>
      <w:r>
        <w:rPr>
          <w:rFonts w:cstheme="minorHAnsi"/>
          <w:szCs w:val="24"/>
        </w:rPr>
        <w:t xml:space="preserve"> </w:t>
      </w:r>
      <w:r w:rsidRPr="00A57F5B">
        <w:rPr>
          <w:rFonts w:cstheme="minorHAnsi"/>
          <w:szCs w:val="24"/>
        </w:rPr>
        <w:t xml:space="preserve">primera </w:t>
      </w:r>
      <w:r w:rsidR="00FF5B42" w:rsidRPr="00A57F5B">
        <w:rPr>
          <w:rFonts w:cstheme="minorHAnsi"/>
          <w:szCs w:val="24"/>
        </w:rPr>
        <w:t>cuesti</w:t>
      </w:r>
      <w:r w:rsidR="00FF5B42">
        <w:rPr>
          <w:rFonts w:cstheme="minorHAnsi"/>
          <w:szCs w:val="24"/>
        </w:rPr>
        <w:t xml:space="preserve">ón, </w:t>
      </w:r>
      <w:r w:rsidRPr="00A57F5B">
        <w:rPr>
          <w:rFonts w:cstheme="minorHAnsi"/>
          <w:szCs w:val="24"/>
        </w:rPr>
        <w:t>es preciso señalar que la única posibilidad que tienen los ciudadanos</w:t>
      </w:r>
      <w:r>
        <w:rPr>
          <w:rFonts w:cstheme="minorHAnsi"/>
          <w:szCs w:val="24"/>
        </w:rPr>
        <w:t xml:space="preserve"> – también los evaluadores -</w:t>
      </w:r>
      <w:r w:rsidRPr="00A57F5B">
        <w:rPr>
          <w:rFonts w:cstheme="minorHAnsi"/>
          <w:szCs w:val="24"/>
        </w:rPr>
        <w:t xml:space="preserve"> de saber si la información publicada está vigente o no, es que en </w:t>
      </w:r>
      <w:r>
        <w:rPr>
          <w:rFonts w:cstheme="minorHAnsi"/>
          <w:szCs w:val="24"/>
        </w:rPr>
        <w:t>el</w:t>
      </w:r>
      <w:r w:rsidRPr="00A57F5B">
        <w:rPr>
          <w:rFonts w:cstheme="minorHAnsi"/>
          <w:szCs w:val="24"/>
        </w:rPr>
        <w:t xml:space="preserve"> Portal </w:t>
      </w:r>
      <w:r>
        <w:rPr>
          <w:rFonts w:cstheme="minorHAnsi"/>
          <w:szCs w:val="24"/>
        </w:rPr>
        <w:t xml:space="preserve">de Transparencia </w:t>
      </w:r>
      <w:r w:rsidRPr="00A57F5B">
        <w:rPr>
          <w:rFonts w:cstheme="minorHAnsi"/>
          <w:szCs w:val="24"/>
        </w:rPr>
        <w:t>se indique expresamente. En este sentido</w:t>
      </w:r>
      <w:r w:rsidR="00FF5B42">
        <w:rPr>
          <w:rFonts w:cstheme="minorHAnsi"/>
          <w:szCs w:val="24"/>
        </w:rPr>
        <w:t>,</w:t>
      </w:r>
      <w:r w:rsidRPr="00A57F5B">
        <w:rPr>
          <w:rFonts w:cstheme="minorHAnsi"/>
          <w:szCs w:val="24"/>
        </w:rPr>
        <w:t xml:space="preserve"> bastaría con que en la página inicial se mostrase la fecha de la última revisión o actualización </w:t>
      </w:r>
      <w:r>
        <w:rPr>
          <w:rFonts w:cstheme="minorHAnsi"/>
          <w:szCs w:val="24"/>
        </w:rPr>
        <w:t xml:space="preserve">de la información contenida en </w:t>
      </w:r>
      <w:r w:rsidRPr="00A57F5B">
        <w:rPr>
          <w:rFonts w:cstheme="minorHAnsi"/>
          <w:szCs w:val="24"/>
        </w:rPr>
        <w:t>el Portal.</w:t>
      </w:r>
    </w:p>
    <w:p w:rsidR="00FF5B42" w:rsidRDefault="00FF5B42" w:rsidP="00CA1FF0">
      <w:pPr>
        <w:pBdr>
          <w:top w:val="single" w:sz="8" w:space="1" w:color="226860"/>
          <w:left w:val="single" w:sz="8" w:space="4" w:color="226860"/>
          <w:bottom w:val="single" w:sz="8" w:space="1" w:color="226860"/>
          <w:right w:val="single" w:sz="8" w:space="4" w:color="226860"/>
        </w:pBdr>
        <w:tabs>
          <w:tab w:val="left" w:pos="284"/>
        </w:tabs>
        <w:spacing w:before="120" w:after="120" w:line="312" w:lineRule="auto"/>
        <w:rPr>
          <w:rFonts w:cstheme="minorHAnsi"/>
          <w:szCs w:val="24"/>
        </w:rPr>
      </w:pPr>
    </w:p>
    <w:p w:rsidR="00D67951" w:rsidRPr="00A57F5B" w:rsidRDefault="005C4D90" w:rsidP="00D67951">
      <w:pPr>
        <w:pBdr>
          <w:top w:val="single" w:sz="8" w:space="1" w:color="226860"/>
          <w:left w:val="single" w:sz="8" w:space="4" w:color="226860"/>
          <w:bottom w:val="single" w:sz="8" w:space="1" w:color="226860"/>
          <w:right w:val="single" w:sz="8" w:space="4" w:color="226860"/>
        </w:pBdr>
        <w:tabs>
          <w:tab w:val="left" w:pos="284"/>
        </w:tabs>
        <w:spacing w:before="120" w:after="120" w:line="312" w:lineRule="auto"/>
        <w:rPr>
          <w:rFonts w:cstheme="minorHAnsi"/>
          <w:szCs w:val="24"/>
        </w:rPr>
      </w:pPr>
      <w:r>
        <w:rPr>
          <w:rFonts w:cstheme="minorHAnsi"/>
          <w:szCs w:val="24"/>
        </w:rPr>
        <w:t>R</w:t>
      </w:r>
      <w:r w:rsidR="00D67951">
        <w:rPr>
          <w:rFonts w:cstheme="minorHAnsi"/>
          <w:szCs w:val="24"/>
        </w:rPr>
        <w:t>especto de la publicación de información económica a ejercicio vencido, e</w:t>
      </w:r>
      <w:r w:rsidR="00D67951" w:rsidRPr="00A57F5B">
        <w:rPr>
          <w:rFonts w:cstheme="minorHAnsi"/>
          <w:szCs w:val="24"/>
        </w:rPr>
        <w:t>l problema es que este criterio de publicación implica que la información se encuentre desactualizada. Por esta razón</w:t>
      </w:r>
      <w:r w:rsidR="00CB2499">
        <w:rPr>
          <w:rFonts w:cstheme="minorHAnsi"/>
          <w:szCs w:val="24"/>
        </w:rPr>
        <w:t>,</w:t>
      </w:r>
      <w:r w:rsidR="00D67951" w:rsidRPr="00A57F5B">
        <w:rPr>
          <w:rFonts w:cstheme="minorHAnsi"/>
          <w:szCs w:val="24"/>
        </w:rPr>
        <w:t xml:space="preserve"> este Consejo </w:t>
      </w:r>
      <w:r w:rsidR="00FF5B42">
        <w:rPr>
          <w:rFonts w:cstheme="minorHAnsi"/>
          <w:szCs w:val="24"/>
        </w:rPr>
        <w:t>sigue recomendando</w:t>
      </w:r>
      <w:r w:rsidR="00D67951" w:rsidRPr="00A57F5B">
        <w:rPr>
          <w:rFonts w:cstheme="minorHAnsi"/>
          <w:szCs w:val="24"/>
        </w:rPr>
        <w:t xml:space="preserve"> </w:t>
      </w:r>
      <w:r w:rsidR="00D67951">
        <w:rPr>
          <w:rFonts w:cstheme="minorHAnsi"/>
          <w:szCs w:val="24"/>
        </w:rPr>
        <w:t>que aquellas informaciones que son conocidas a inicio del año – por ejemplo</w:t>
      </w:r>
      <w:r w:rsidR="0054337E">
        <w:rPr>
          <w:rFonts w:cstheme="minorHAnsi"/>
          <w:szCs w:val="24"/>
        </w:rPr>
        <w:t>,</w:t>
      </w:r>
      <w:r w:rsidR="00D67951">
        <w:rPr>
          <w:rFonts w:cstheme="minorHAnsi"/>
          <w:szCs w:val="24"/>
        </w:rPr>
        <w:t xml:space="preserve"> las retribuciones de altos cargos y máximos responsables – o que se refieren a actividades que pueden producirse en cualquier momento del año – por ejemplo, las indemnizaciones al cese de altos cargos – o que se desarrollan de manera continua – por ejemplo, la información estadística sobre contratación o la ejecución presupuestaria – se publiquen </w:t>
      </w:r>
      <w:r w:rsidR="00D67951" w:rsidRPr="00A57F5B">
        <w:rPr>
          <w:rFonts w:cstheme="minorHAnsi"/>
          <w:szCs w:val="24"/>
        </w:rPr>
        <w:t xml:space="preserve">con una periodicidad inferior a la anual, dado que </w:t>
      </w:r>
      <w:r w:rsidR="00D67951">
        <w:rPr>
          <w:rFonts w:cstheme="minorHAnsi"/>
          <w:szCs w:val="24"/>
        </w:rPr>
        <w:t xml:space="preserve">además, se refieren a obligaciones individuales y diferentes de la publicación del presupuesto o de las cuentas anuales. </w:t>
      </w:r>
    </w:p>
    <w:p w:rsidR="00D67951" w:rsidRDefault="00D67951" w:rsidP="00D67951">
      <w:pPr>
        <w:jc w:val="left"/>
      </w:pPr>
    </w:p>
    <w:p w:rsidR="0054337E" w:rsidRDefault="00D67951" w:rsidP="00D67951">
      <w:pPr>
        <w:rPr>
          <w:b/>
          <w:color w:val="325F64" w:themeColor="accent2" w:themeShade="BF"/>
        </w:rPr>
      </w:pPr>
      <w:r w:rsidRPr="004612EB">
        <w:rPr>
          <w:b/>
          <w:color w:val="325F64" w:themeColor="accent2" w:themeShade="BF"/>
        </w:rPr>
        <w:lastRenderedPageBreak/>
        <w:t>E</w:t>
      </w:r>
      <w:r>
        <w:rPr>
          <w:b/>
          <w:color w:val="325F64" w:themeColor="accent2" w:themeShade="BF"/>
        </w:rPr>
        <w:t>n promedio</w:t>
      </w:r>
      <w:r w:rsidR="0054337E">
        <w:rPr>
          <w:b/>
          <w:color w:val="325F64" w:themeColor="accent2" w:themeShade="BF"/>
        </w:rPr>
        <w:t>,</w:t>
      </w:r>
      <w:r>
        <w:rPr>
          <w:b/>
          <w:color w:val="325F64" w:themeColor="accent2" w:themeShade="BF"/>
        </w:rPr>
        <w:t xml:space="preserve"> e</w:t>
      </w:r>
      <w:r w:rsidRPr="004612EB">
        <w:rPr>
          <w:b/>
          <w:color w:val="325F64" w:themeColor="accent2" w:themeShade="BF"/>
        </w:rPr>
        <w:t>l índice de Cumplimiento de</w:t>
      </w:r>
      <w:r>
        <w:rPr>
          <w:b/>
          <w:color w:val="325F64" w:themeColor="accent2" w:themeShade="BF"/>
        </w:rPr>
        <w:t xml:space="preserve"> </w:t>
      </w:r>
      <w:r w:rsidRPr="004612EB">
        <w:rPr>
          <w:b/>
          <w:color w:val="325F64" w:themeColor="accent2" w:themeShade="BF"/>
        </w:rPr>
        <w:t>la Información Obligatoria (ICIO)</w:t>
      </w:r>
      <w:r>
        <w:rPr>
          <w:b/>
          <w:color w:val="325F64" w:themeColor="accent2" w:themeShade="BF"/>
        </w:rPr>
        <w:t xml:space="preserve"> alcanza un</w:t>
      </w:r>
      <w:r w:rsidR="00CA1FF0">
        <w:rPr>
          <w:b/>
          <w:color w:val="325F64" w:themeColor="accent2" w:themeShade="BF"/>
        </w:rPr>
        <w:t xml:space="preserve"> </w:t>
      </w:r>
      <w:r w:rsidR="0054337E">
        <w:rPr>
          <w:b/>
          <w:color w:val="325F64" w:themeColor="accent2" w:themeShade="BF"/>
        </w:rPr>
        <w:t>51,6</w:t>
      </w:r>
      <w:r w:rsidR="00CA1FF0">
        <w:rPr>
          <w:b/>
          <w:color w:val="325F64" w:themeColor="accent2" w:themeShade="BF"/>
        </w:rPr>
        <w:t xml:space="preserve">%, </w:t>
      </w:r>
    </w:p>
    <w:p w:rsidR="0054337E" w:rsidRDefault="0054337E" w:rsidP="00D67951">
      <w:pPr>
        <w:rPr>
          <w:rFonts w:cstheme="minorHAnsi"/>
          <w:szCs w:val="24"/>
        </w:rPr>
      </w:pPr>
      <w:r>
        <w:rPr>
          <w:rFonts w:cstheme="minorHAnsi"/>
          <w:szCs w:val="24"/>
        </w:rPr>
        <w:t xml:space="preserve">Aunque se produce una mejoría respecto de 2021,  el ICIO ha aumentado en casi 11 p.p., los cierto es que el conjunto de entidades evaluadas pertenecientes </w:t>
      </w:r>
      <w:r w:rsidR="004E63FC">
        <w:rPr>
          <w:rFonts w:cstheme="minorHAnsi"/>
          <w:szCs w:val="24"/>
        </w:rPr>
        <w:t>al sector publico institucional,</w:t>
      </w:r>
      <w:r>
        <w:rPr>
          <w:rFonts w:cstheme="minorHAnsi"/>
          <w:szCs w:val="24"/>
        </w:rPr>
        <w:t xml:space="preserve"> </w:t>
      </w:r>
      <w:r w:rsidR="004E63FC">
        <w:rPr>
          <w:rFonts w:cstheme="minorHAnsi"/>
          <w:szCs w:val="24"/>
        </w:rPr>
        <w:t>p</w:t>
      </w:r>
      <w:r>
        <w:rPr>
          <w:rFonts w:cstheme="minorHAnsi"/>
          <w:szCs w:val="24"/>
        </w:rPr>
        <w:t xml:space="preserve">resentan el </w:t>
      </w:r>
      <w:r w:rsidR="004E63FC">
        <w:rPr>
          <w:rFonts w:cstheme="minorHAnsi"/>
          <w:szCs w:val="24"/>
        </w:rPr>
        <w:t xml:space="preserve">menor </w:t>
      </w:r>
      <w:r>
        <w:rPr>
          <w:rFonts w:cstheme="minorHAnsi"/>
          <w:szCs w:val="24"/>
        </w:rPr>
        <w:t xml:space="preserve">nivel de cumplimiento </w:t>
      </w:r>
      <w:r w:rsidRPr="0054337E">
        <w:rPr>
          <w:rFonts w:cstheme="minorHAnsi"/>
          <w:szCs w:val="24"/>
        </w:rPr>
        <w:t xml:space="preserve">de todos los sujetos evaluados en 2022 hasta el momento. </w:t>
      </w:r>
      <w:r>
        <w:rPr>
          <w:rFonts w:cstheme="minorHAnsi"/>
          <w:szCs w:val="24"/>
        </w:rPr>
        <w:t xml:space="preserve">  </w:t>
      </w:r>
    </w:p>
    <w:p w:rsidR="00D67951" w:rsidRDefault="00CA1FF0" w:rsidP="00D67951">
      <w:pPr>
        <w:rPr>
          <w:rFonts w:cstheme="minorHAnsi"/>
          <w:szCs w:val="24"/>
        </w:rPr>
      </w:pPr>
      <w:r>
        <w:rPr>
          <w:rFonts w:cstheme="minorHAnsi"/>
          <w:szCs w:val="24"/>
        </w:rPr>
        <w:t xml:space="preserve">Las sociedades mercantiles presentan un ICIO más elevado, un </w:t>
      </w:r>
      <w:r w:rsidR="0054337E">
        <w:rPr>
          <w:rFonts w:cstheme="minorHAnsi"/>
          <w:szCs w:val="24"/>
        </w:rPr>
        <w:t>63,6</w:t>
      </w:r>
      <w:r>
        <w:rPr>
          <w:rFonts w:cstheme="minorHAnsi"/>
          <w:szCs w:val="24"/>
        </w:rPr>
        <w:t>%</w:t>
      </w:r>
      <w:r w:rsidR="0054337E">
        <w:rPr>
          <w:rFonts w:cstheme="minorHAnsi"/>
          <w:szCs w:val="24"/>
        </w:rPr>
        <w:t>,</w:t>
      </w:r>
      <w:r w:rsidR="004E63FC">
        <w:rPr>
          <w:rFonts w:cstheme="minorHAnsi"/>
          <w:szCs w:val="24"/>
        </w:rPr>
        <w:t xml:space="preserve"> </w:t>
      </w:r>
      <w:r w:rsidR="0054337E">
        <w:rPr>
          <w:rFonts w:cstheme="minorHAnsi"/>
          <w:szCs w:val="24"/>
        </w:rPr>
        <w:t xml:space="preserve"> seguidas de las MATEPSS – que también son las entidades que presentan una mejor evolución en 2022 -</w:t>
      </w:r>
      <w:r>
        <w:rPr>
          <w:rFonts w:cstheme="minorHAnsi"/>
          <w:szCs w:val="24"/>
        </w:rPr>
        <w:t xml:space="preserve">. Los restantes tipos de entidades de este grupo de sujetos obligados se sitúan en un nivel de cumplimiento que oscila entre el </w:t>
      </w:r>
      <w:r w:rsidR="0054337E">
        <w:rPr>
          <w:rFonts w:cstheme="minorHAnsi"/>
          <w:szCs w:val="24"/>
        </w:rPr>
        <w:t>47,4</w:t>
      </w:r>
      <w:r>
        <w:rPr>
          <w:rFonts w:cstheme="minorHAnsi"/>
          <w:szCs w:val="24"/>
        </w:rPr>
        <w:t xml:space="preserve"> y el </w:t>
      </w:r>
      <w:r w:rsidR="0054337E">
        <w:rPr>
          <w:rFonts w:cstheme="minorHAnsi"/>
          <w:szCs w:val="24"/>
        </w:rPr>
        <w:t>43</w:t>
      </w:r>
      <w:r>
        <w:rPr>
          <w:rFonts w:cstheme="minorHAnsi"/>
          <w:szCs w:val="24"/>
        </w:rPr>
        <w:t xml:space="preserve">%.  El margen de mejora es evidente </w:t>
      </w:r>
      <w:r w:rsidR="00F920A1">
        <w:rPr>
          <w:rFonts w:cstheme="minorHAnsi"/>
          <w:szCs w:val="24"/>
        </w:rPr>
        <w:t>para este grupo de sujetos obligados.</w:t>
      </w:r>
      <w:r w:rsidR="00D67951">
        <w:rPr>
          <w:rFonts w:cstheme="minorHAnsi"/>
          <w:szCs w:val="24"/>
        </w:rPr>
        <w:t xml:space="preserve"> </w:t>
      </w:r>
    </w:p>
    <w:p w:rsidR="0054337E" w:rsidRPr="0054337E" w:rsidRDefault="0054337E" w:rsidP="00D67951">
      <w:pPr>
        <w:rPr>
          <w:b/>
          <w:color w:val="325F64" w:themeColor="accent2" w:themeShade="BF"/>
        </w:rPr>
      </w:pPr>
      <w:r w:rsidRPr="0054337E">
        <w:rPr>
          <w:b/>
          <w:color w:val="325F64" w:themeColor="accent2" w:themeShade="BF"/>
        </w:rPr>
        <w:t>Estos Índices de cumplimiento mejorarían notablemente</w:t>
      </w:r>
      <w:r>
        <w:rPr>
          <w:b/>
          <w:color w:val="325F64" w:themeColor="accent2" w:themeShade="BF"/>
        </w:rPr>
        <w:t>,</w:t>
      </w:r>
      <w:r w:rsidRPr="0054337E">
        <w:rPr>
          <w:b/>
          <w:color w:val="325F64" w:themeColor="accent2" w:themeShade="BF"/>
        </w:rPr>
        <w:t xml:space="preserve"> si las entidades evaluadas </w:t>
      </w:r>
      <w:r w:rsidR="00C46EF1">
        <w:rPr>
          <w:b/>
          <w:color w:val="325F64" w:themeColor="accent2" w:themeShade="BF"/>
        </w:rPr>
        <w:t xml:space="preserve">siguiesen </w:t>
      </w:r>
      <w:r w:rsidRPr="0054337E">
        <w:rPr>
          <w:b/>
          <w:color w:val="325F64" w:themeColor="accent2" w:themeShade="BF"/>
        </w:rPr>
        <w:t xml:space="preserve">las recomendaciones derivadas de las evaluaciones realizadas por el Consejo. </w:t>
      </w:r>
    </w:p>
    <w:p w:rsidR="0054337E" w:rsidRDefault="0054337E" w:rsidP="00D67951">
      <w:pPr>
        <w:rPr>
          <w:rFonts w:cstheme="minorHAnsi"/>
          <w:szCs w:val="24"/>
        </w:rPr>
      </w:pPr>
      <w:r>
        <w:rPr>
          <w:rFonts w:cstheme="minorHAnsi"/>
          <w:szCs w:val="24"/>
        </w:rPr>
        <w:t xml:space="preserve">Como se ha señalado, </w:t>
      </w:r>
      <w:r w:rsidR="00C46EF1">
        <w:rPr>
          <w:rFonts w:cstheme="minorHAnsi"/>
          <w:szCs w:val="24"/>
        </w:rPr>
        <w:t>de las 863 recomendaciones efectuadas en 2021 se ha aplicado poco más del 39%</w:t>
      </w:r>
      <w:r w:rsidR="004E63FC">
        <w:rPr>
          <w:rFonts w:cstheme="minorHAnsi"/>
          <w:szCs w:val="24"/>
        </w:rPr>
        <w:t>.</w:t>
      </w:r>
      <w:r w:rsidR="00C46EF1">
        <w:rPr>
          <w:rFonts w:cstheme="minorHAnsi"/>
          <w:szCs w:val="24"/>
        </w:rPr>
        <w:t xml:space="preserve"> </w:t>
      </w:r>
      <w:r w:rsidR="004E63FC">
        <w:rPr>
          <w:rFonts w:cstheme="minorHAnsi"/>
          <w:szCs w:val="24"/>
        </w:rPr>
        <w:t>L</w:t>
      </w:r>
      <w:r>
        <w:rPr>
          <w:rFonts w:cstheme="minorHAnsi"/>
          <w:szCs w:val="24"/>
        </w:rPr>
        <w:t>as entidades que han aplicado al menos el 80% de las rec</w:t>
      </w:r>
      <w:r w:rsidR="00C46EF1">
        <w:rPr>
          <w:rFonts w:cstheme="minorHAnsi"/>
          <w:szCs w:val="24"/>
        </w:rPr>
        <w:t xml:space="preserve">omendaciones suponen el 22%, mientras que más de un tercio o bien no ha aplicado ninguna de las recomendaciones o bien ha aplicado menos del 20% de ellas. </w:t>
      </w:r>
    </w:p>
    <w:p w:rsidR="0054337E" w:rsidRDefault="00C46EF1" w:rsidP="00C46EF1">
      <w:pPr>
        <w:pBdr>
          <w:top w:val="single" w:sz="4" w:space="1" w:color="438086" w:themeColor="accent2"/>
          <w:left w:val="single" w:sz="4" w:space="4" w:color="438086" w:themeColor="accent2"/>
          <w:bottom w:val="single" w:sz="4" w:space="1" w:color="438086" w:themeColor="accent2"/>
          <w:right w:val="single" w:sz="4" w:space="4" w:color="438086" w:themeColor="accent2"/>
        </w:pBdr>
        <w:rPr>
          <w:b/>
          <w:color w:val="325F64" w:themeColor="accent2" w:themeShade="BF"/>
        </w:rPr>
      </w:pPr>
      <w:r w:rsidRPr="00E440E4">
        <w:t>La finalidad de las recomendaciones es conseguir mejorar los niveles de cumplimiento de la LTAIBG por parte de los sujetos obligados. Por esta razón</w:t>
      </w:r>
      <w:r>
        <w:t>,</w:t>
      </w:r>
      <w:r w:rsidRPr="00E440E4">
        <w:t xml:space="preserve"> es importante que las entidades evaluadas las apliquen. Solo de esta manera es posible avanzar. De hecho</w:t>
      </w:r>
      <w:r>
        <w:t>,</w:t>
      </w:r>
      <w:r w:rsidRPr="00E440E4">
        <w:t xml:space="preserve"> entre las </w:t>
      </w:r>
      <w:r>
        <w:t>11</w:t>
      </w:r>
      <w:r w:rsidRPr="00E440E4">
        <w:t xml:space="preserve"> entidades que han aplicado</w:t>
      </w:r>
      <w:r>
        <w:t>,</w:t>
      </w:r>
      <w:r w:rsidRPr="00E440E4">
        <w:t xml:space="preserve"> </w:t>
      </w:r>
      <w:r>
        <w:t>al menos, el 80</w:t>
      </w:r>
      <w:r w:rsidRPr="00E440E4">
        <w:t xml:space="preserve">% de las recomendaciones efectuadas, el incremento del </w:t>
      </w:r>
      <w:r>
        <w:t>ICIO</w:t>
      </w:r>
      <w:r w:rsidRPr="00E440E4">
        <w:t xml:space="preserve"> </w:t>
      </w:r>
      <w:r>
        <w:t xml:space="preserve">alcanza los 34 </w:t>
      </w:r>
      <w:r w:rsidR="004E63FC">
        <w:t>p.p.</w:t>
      </w:r>
      <w:r>
        <w:t xml:space="preserve"> en promedio</w:t>
      </w:r>
    </w:p>
    <w:p w:rsidR="00C46EF1" w:rsidRDefault="00C46EF1" w:rsidP="00D67951">
      <w:pPr>
        <w:rPr>
          <w:b/>
          <w:color w:val="325F64" w:themeColor="accent2" w:themeShade="BF"/>
        </w:rPr>
      </w:pPr>
    </w:p>
    <w:p w:rsidR="00D67951" w:rsidRDefault="00D67951" w:rsidP="00D67951">
      <w:pPr>
        <w:pStyle w:val="Ttulo2"/>
      </w:pPr>
      <w:bookmarkStart w:id="58" w:name="_Toc69312068"/>
      <w:bookmarkStart w:id="59" w:name="_Toc113366639"/>
      <w:proofErr w:type="spellStart"/>
      <w:r>
        <w:t>V.2</w:t>
      </w:r>
      <w:proofErr w:type="spellEnd"/>
      <w:r>
        <w:t xml:space="preserve">. </w:t>
      </w:r>
      <w:r w:rsidRPr="00DD555A">
        <w:t xml:space="preserve">En materia de </w:t>
      </w:r>
      <w:r>
        <w:t>derecho de acceso.</w:t>
      </w:r>
      <w:bookmarkEnd w:id="58"/>
      <w:bookmarkEnd w:id="59"/>
      <w:r>
        <w:t xml:space="preserve"> </w:t>
      </w:r>
    </w:p>
    <w:p w:rsidR="00D67951" w:rsidRDefault="00D67951" w:rsidP="00D67951">
      <w:pPr>
        <w:pStyle w:val="Ttulo2"/>
      </w:pPr>
    </w:p>
    <w:p w:rsidR="00F920A1" w:rsidRDefault="00F920A1" w:rsidP="00F920A1">
      <w:r>
        <w:t xml:space="preserve">Una primera cuestión a reseñar es que </w:t>
      </w:r>
      <w:r w:rsidR="00EC5048">
        <w:t>15</w:t>
      </w:r>
      <w:r>
        <w:t xml:space="preserve"> de las </w:t>
      </w:r>
      <w:r w:rsidR="00EC5048">
        <w:t>25</w:t>
      </w:r>
      <w:r w:rsidR="00EC5048">
        <w:rPr>
          <w:rStyle w:val="Refdenotaalpie"/>
        </w:rPr>
        <w:footnoteReference w:id="10"/>
      </w:r>
      <w:r>
        <w:t xml:space="preserve"> entidades </w:t>
      </w:r>
      <w:r w:rsidR="00EC5048">
        <w:t xml:space="preserve">a las que se ha evaluado la gestión de las solicitudes de acceso, </w:t>
      </w:r>
      <w:r>
        <w:t xml:space="preserve"> no han respondido al cuestionario enviado por este Consejo, para recabar información sobre la actividad generada por las solicitudes de acceso a información pública gestionadas en 202</w:t>
      </w:r>
      <w:r w:rsidR="00EC5048">
        <w:t>1</w:t>
      </w:r>
      <w:r>
        <w:t xml:space="preserve">. </w:t>
      </w:r>
    </w:p>
    <w:p w:rsidR="004E63FC" w:rsidRDefault="004E63FC" w:rsidP="00F920A1"/>
    <w:p w:rsidR="00D67951" w:rsidRDefault="00F920A1" w:rsidP="00D67951">
      <w:pPr>
        <w:rPr>
          <w:b/>
          <w:color w:val="325F64" w:themeColor="accent2" w:themeShade="BF"/>
        </w:rPr>
      </w:pPr>
      <w:r>
        <w:rPr>
          <w:b/>
          <w:color w:val="325F64" w:themeColor="accent2" w:themeShade="BF"/>
        </w:rPr>
        <w:lastRenderedPageBreak/>
        <w:t>A partir de la información remitida por las 1</w:t>
      </w:r>
      <w:r w:rsidR="00EC5048">
        <w:rPr>
          <w:b/>
          <w:color w:val="325F64" w:themeColor="accent2" w:themeShade="BF"/>
        </w:rPr>
        <w:t>0</w:t>
      </w:r>
      <w:r>
        <w:rPr>
          <w:b/>
          <w:color w:val="325F64" w:themeColor="accent2" w:themeShade="BF"/>
        </w:rPr>
        <w:t xml:space="preserve"> organizaciones que si han respondido al cuestionario, se evidencia que  l</w:t>
      </w:r>
      <w:r w:rsidR="00D67951" w:rsidRPr="00565D36">
        <w:rPr>
          <w:b/>
          <w:color w:val="325F64" w:themeColor="accent2" w:themeShade="BF"/>
        </w:rPr>
        <w:t xml:space="preserve">a actividad </w:t>
      </w:r>
      <w:r w:rsidR="00D67951">
        <w:rPr>
          <w:b/>
          <w:color w:val="325F64" w:themeColor="accent2" w:themeShade="BF"/>
        </w:rPr>
        <w:t>derivada del ejercicio del derecho de acceso tiene escasa entidad, dado que</w:t>
      </w:r>
      <w:r w:rsidR="00A0382A">
        <w:rPr>
          <w:b/>
          <w:color w:val="325F64" w:themeColor="accent2" w:themeShade="BF"/>
        </w:rPr>
        <w:t>,</w:t>
      </w:r>
      <w:r w:rsidR="00D67951">
        <w:rPr>
          <w:b/>
          <w:color w:val="325F64" w:themeColor="accent2" w:themeShade="BF"/>
        </w:rPr>
        <w:t xml:space="preserve"> en</w:t>
      </w:r>
      <w:r w:rsidR="0000250A">
        <w:rPr>
          <w:b/>
          <w:color w:val="325F64" w:themeColor="accent2" w:themeShade="BF"/>
        </w:rPr>
        <w:t xml:space="preserve"> promedio,</w:t>
      </w:r>
      <w:r w:rsidR="00D67951">
        <w:rPr>
          <w:b/>
          <w:color w:val="325F64" w:themeColor="accent2" w:themeShade="BF"/>
        </w:rPr>
        <w:t xml:space="preserve"> se recibieron en </w:t>
      </w:r>
      <w:r w:rsidR="00EC5048">
        <w:rPr>
          <w:b/>
          <w:color w:val="325F64" w:themeColor="accent2" w:themeShade="BF"/>
        </w:rPr>
        <w:t>2021</w:t>
      </w:r>
      <w:r w:rsidR="00D67951">
        <w:rPr>
          <w:b/>
          <w:color w:val="325F64" w:themeColor="accent2" w:themeShade="BF"/>
        </w:rPr>
        <w:t xml:space="preserve">, </w:t>
      </w:r>
      <w:r w:rsidR="00EC5048">
        <w:rPr>
          <w:b/>
          <w:color w:val="325F64" w:themeColor="accent2" w:themeShade="BF"/>
        </w:rPr>
        <w:t>12</w:t>
      </w:r>
      <w:r w:rsidR="00D67951">
        <w:rPr>
          <w:b/>
          <w:color w:val="325F64" w:themeColor="accent2" w:themeShade="BF"/>
        </w:rPr>
        <w:t xml:space="preserve"> solicitudes de acceso a información pública.</w:t>
      </w:r>
    </w:p>
    <w:p w:rsidR="00D67951" w:rsidRDefault="00D67951" w:rsidP="00D67951">
      <w:r w:rsidRPr="00565D36">
        <w:t>Este escaso volumen</w:t>
      </w:r>
      <w:r>
        <w:rPr>
          <w:b/>
          <w:color w:val="325F64" w:themeColor="accent2" w:themeShade="BF"/>
        </w:rPr>
        <w:t xml:space="preserve"> </w:t>
      </w:r>
      <w:r w:rsidRPr="00565D36">
        <w:rPr>
          <w:b/>
          <w:color w:val="325F64" w:themeColor="accent2" w:themeShade="BF"/>
        </w:rPr>
        <w:t xml:space="preserve"> </w:t>
      </w:r>
      <w:r w:rsidRPr="00565D36">
        <w:t>de solicitudes de acceso</w:t>
      </w:r>
      <w:r>
        <w:t xml:space="preserve"> hace que se tramite la práctica totalidad de las solicitudes recibidas en el año.</w:t>
      </w:r>
      <w:r w:rsidR="00A0382A">
        <w:t xml:space="preserve"> Respecto de 2021, se ha reducido el volumen de solicitudes, pero esto no se ha traducido en una mejora de la tasa de pendencia, que ha aumentado más del 231%, ni en una reducción del tiempo medio estimado para la resolución de las solicitudes pendientes que ha aumentado, en promedio, 37 días naturales. También se observa una disminución del 5% en la tasa de admisión. </w:t>
      </w:r>
      <w:r w:rsidR="00A0382A" w:rsidRPr="00A0382A">
        <w:t xml:space="preserve">La causa de inadmisión más frecuente, es que las solicitudes estaban referidas a información no vinculada a las competencias y funciones del organismo receptor de la solicitud, y en segundo término, </w:t>
      </w:r>
      <w:r w:rsidR="004E63FC">
        <w:t>a</w:t>
      </w:r>
      <w:r w:rsidR="00A0382A" w:rsidRPr="00A0382A">
        <w:t xml:space="preserve"> la consideración de las solicitudes inadmitidas</w:t>
      </w:r>
      <w:r w:rsidR="00A0382A">
        <w:t>,</w:t>
      </w:r>
      <w:r w:rsidR="00A0382A" w:rsidRPr="00A0382A">
        <w:t xml:space="preserve"> repetitivas o abusivas.</w:t>
      </w:r>
    </w:p>
    <w:p w:rsidR="00D67951" w:rsidRPr="00183A18" w:rsidRDefault="00973C9C" w:rsidP="00D67951">
      <w:pPr>
        <w:rPr>
          <w:b/>
        </w:rPr>
      </w:pPr>
      <w:r>
        <w:rPr>
          <w:b/>
          <w:color w:val="325F64" w:themeColor="accent2" w:themeShade="BF"/>
        </w:rPr>
        <w:t xml:space="preserve">El </w:t>
      </w:r>
      <w:r w:rsidR="00A0382A">
        <w:rPr>
          <w:b/>
          <w:color w:val="325F64" w:themeColor="accent2" w:themeShade="BF"/>
        </w:rPr>
        <w:t>8</w:t>
      </w:r>
      <w:r w:rsidR="000F7251">
        <w:rPr>
          <w:b/>
          <w:color w:val="325F64" w:themeColor="accent2" w:themeShade="BF"/>
        </w:rPr>
        <w:t>4</w:t>
      </w:r>
      <w:r w:rsidR="00A0382A">
        <w:rPr>
          <w:b/>
          <w:color w:val="325F64" w:themeColor="accent2" w:themeShade="BF"/>
        </w:rPr>
        <w:t>,5</w:t>
      </w:r>
      <w:r w:rsidR="00D67951" w:rsidRPr="00183A18">
        <w:rPr>
          <w:b/>
          <w:color w:val="325F64" w:themeColor="accent2" w:themeShade="BF"/>
        </w:rPr>
        <w:t xml:space="preserve">% de las resoluciones </w:t>
      </w:r>
      <w:r w:rsidR="00A0382A">
        <w:rPr>
          <w:b/>
          <w:color w:val="325F64" w:themeColor="accent2" w:themeShade="BF"/>
        </w:rPr>
        <w:t>dictadas</w:t>
      </w:r>
      <w:r w:rsidR="00D67951" w:rsidRPr="00183A18">
        <w:rPr>
          <w:b/>
          <w:color w:val="325F64" w:themeColor="accent2" w:themeShade="BF"/>
        </w:rPr>
        <w:t xml:space="preserve"> concede el acceso a la información, en </w:t>
      </w:r>
      <w:r w:rsidR="000F7251">
        <w:rPr>
          <w:b/>
          <w:color w:val="325F64" w:themeColor="accent2" w:themeShade="BF"/>
        </w:rPr>
        <w:t>más del</w:t>
      </w:r>
      <w:r>
        <w:rPr>
          <w:b/>
          <w:color w:val="325F64" w:themeColor="accent2" w:themeShade="BF"/>
        </w:rPr>
        <w:t xml:space="preserve"> </w:t>
      </w:r>
      <w:r w:rsidR="000F7251">
        <w:rPr>
          <w:b/>
          <w:color w:val="325F64" w:themeColor="accent2" w:themeShade="BF"/>
        </w:rPr>
        <w:t>93</w:t>
      </w:r>
      <w:r>
        <w:rPr>
          <w:b/>
          <w:color w:val="325F64" w:themeColor="accent2" w:themeShade="BF"/>
        </w:rPr>
        <w:t>%</w:t>
      </w:r>
      <w:r w:rsidR="00D67951" w:rsidRPr="00183A18">
        <w:rPr>
          <w:b/>
          <w:color w:val="325F64" w:themeColor="accent2" w:themeShade="BF"/>
        </w:rPr>
        <w:t xml:space="preserve"> de los casos </w:t>
      </w:r>
      <w:r w:rsidR="00D67951">
        <w:rPr>
          <w:b/>
          <w:color w:val="325F64" w:themeColor="accent2" w:themeShade="BF"/>
        </w:rPr>
        <w:t>el</w:t>
      </w:r>
      <w:r w:rsidR="00D67951" w:rsidRPr="00183A18">
        <w:rPr>
          <w:b/>
          <w:color w:val="325F64" w:themeColor="accent2" w:themeShade="BF"/>
        </w:rPr>
        <w:t xml:space="preserve"> acces</w:t>
      </w:r>
      <w:r w:rsidR="00D67951">
        <w:rPr>
          <w:b/>
          <w:color w:val="325F64" w:themeColor="accent2" w:themeShade="BF"/>
        </w:rPr>
        <w:t>o es</w:t>
      </w:r>
      <w:r w:rsidR="00D67951" w:rsidRPr="00183A18">
        <w:rPr>
          <w:b/>
          <w:color w:val="325F64" w:themeColor="accent2" w:themeShade="BF"/>
        </w:rPr>
        <w:t xml:space="preserve"> total. </w:t>
      </w:r>
      <w:r w:rsidR="00646612">
        <w:rPr>
          <w:b/>
          <w:color w:val="325F64" w:themeColor="accent2" w:themeShade="BF"/>
        </w:rPr>
        <w:t>Sólo en un 3</w:t>
      </w:r>
      <w:r w:rsidR="00D67951" w:rsidRPr="00183A18">
        <w:rPr>
          <w:b/>
          <w:color w:val="325F64" w:themeColor="accent2" w:themeShade="BF"/>
        </w:rPr>
        <w:t xml:space="preserve">% </w:t>
      </w:r>
      <w:r>
        <w:rPr>
          <w:b/>
          <w:color w:val="325F64" w:themeColor="accent2" w:themeShade="BF"/>
        </w:rPr>
        <w:t xml:space="preserve">de las ocasiones se </w:t>
      </w:r>
      <w:r w:rsidR="00D67951">
        <w:rPr>
          <w:b/>
          <w:color w:val="325F64" w:themeColor="accent2" w:themeShade="BF"/>
        </w:rPr>
        <w:t xml:space="preserve">desestima la solicitud. </w:t>
      </w:r>
      <w:r w:rsidR="0000250A">
        <w:rPr>
          <w:b/>
          <w:color w:val="325F64" w:themeColor="accent2" w:themeShade="BF"/>
        </w:rPr>
        <w:t>Según</w:t>
      </w:r>
      <w:r w:rsidR="00D67951" w:rsidRPr="00183A18">
        <w:rPr>
          <w:b/>
          <w:color w:val="325F64" w:themeColor="accent2" w:themeShade="BF"/>
        </w:rPr>
        <w:t xml:space="preserve"> la información proporcionada, </w:t>
      </w:r>
      <w:r w:rsidR="00646612">
        <w:rPr>
          <w:b/>
          <w:color w:val="325F64" w:themeColor="accent2" w:themeShade="BF"/>
        </w:rPr>
        <w:t>todas las resoluciones que</w:t>
      </w:r>
      <w:r w:rsidR="00D67951" w:rsidRPr="00183A18">
        <w:rPr>
          <w:b/>
          <w:color w:val="325F64" w:themeColor="accent2" w:themeShade="BF"/>
        </w:rPr>
        <w:t xml:space="preserve"> deniega</w:t>
      </w:r>
      <w:r w:rsidR="0051614E">
        <w:rPr>
          <w:b/>
          <w:color w:val="325F64" w:themeColor="accent2" w:themeShade="BF"/>
        </w:rPr>
        <w:t>n</w:t>
      </w:r>
      <w:r w:rsidR="00D67951" w:rsidRPr="00183A18">
        <w:rPr>
          <w:b/>
          <w:color w:val="325F64" w:themeColor="accent2" w:themeShade="BF"/>
        </w:rPr>
        <w:t xml:space="preserve"> el acceso </w:t>
      </w:r>
      <w:r w:rsidR="00646612">
        <w:rPr>
          <w:b/>
          <w:color w:val="325F64" w:themeColor="accent2" w:themeShade="BF"/>
        </w:rPr>
        <w:t xml:space="preserve">lo hacen </w:t>
      </w:r>
      <w:r w:rsidR="00D67951" w:rsidRPr="00183A18">
        <w:rPr>
          <w:b/>
          <w:color w:val="325F64" w:themeColor="accent2" w:themeShade="BF"/>
        </w:rPr>
        <w:t>sobre la base de los límites del artículo 14.</w:t>
      </w:r>
    </w:p>
    <w:p w:rsidR="000F7251" w:rsidRDefault="000F7251" w:rsidP="00D67951">
      <w:pPr>
        <w:spacing w:before="120" w:after="120"/>
        <w:rPr>
          <w:rFonts w:eastAsia="Times New Roman" w:cs="Times New Roman"/>
          <w:bCs/>
          <w:szCs w:val="22"/>
          <w:lang w:bidi="es-ES"/>
        </w:rPr>
      </w:pPr>
      <w:r>
        <w:rPr>
          <w:rFonts w:eastAsia="Times New Roman" w:cs="Times New Roman"/>
          <w:bCs/>
          <w:szCs w:val="22"/>
          <w:lang w:bidi="es-ES"/>
        </w:rPr>
        <w:t>Respecto de 2021, la razón entre las resoluciones expresas  y las solicitudes admitidas a trámite se ha reducido en el 12%. Esto es debido a que</w:t>
      </w:r>
      <w:r w:rsidR="00DA75A9">
        <w:rPr>
          <w:rFonts w:eastAsia="Times New Roman" w:cs="Times New Roman"/>
          <w:bCs/>
          <w:szCs w:val="22"/>
          <w:lang w:bidi="es-ES"/>
        </w:rPr>
        <w:t>,</w:t>
      </w:r>
      <w:r>
        <w:rPr>
          <w:rFonts w:eastAsia="Times New Roman" w:cs="Times New Roman"/>
          <w:bCs/>
          <w:szCs w:val="22"/>
          <w:lang w:bidi="es-ES"/>
        </w:rPr>
        <w:t xml:space="preserve"> a diferencia de 2021, un 10% de las solicitudes se desestiman por silencio administrativo.  </w:t>
      </w:r>
      <w:r w:rsidRPr="000F7251">
        <w:rPr>
          <w:rFonts w:eastAsia="Times New Roman" w:cs="Times New Roman"/>
          <w:bCs/>
          <w:szCs w:val="22"/>
          <w:lang w:bidi="es-ES"/>
        </w:rPr>
        <w:t xml:space="preserve">También </w:t>
      </w:r>
      <w:r>
        <w:rPr>
          <w:rFonts w:eastAsia="Times New Roman" w:cs="Times New Roman"/>
          <w:bCs/>
          <w:szCs w:val="22"/>
          <w:lang w:bidi="es-ES"/>
        </w:rPr>
        <w:t>se produce una disminución de casi el 10% en</w:t>
      </w:r>
      <w:r w:rsidRPr="000F7251">
        <w:rPr>
          <w:rFonts w:eastAsia="Times New Roman" w:cs="Times New Roman"/>
          <w:bCs/>
          <w:szCs w:val="22"/>
          <w:lang w:bidi="es-ES"/>
        </w:rPr>
        <w:t xml:space="preserve"> las resoluciones estimatorias</w:t>
      </w:r>
      <w:r>
        <w:rPr>
          <w:rFonts w:eastAsia="Times New Roman" w:cs="Times New Roman"/>
          <w:bCs/>
          <w:szCs w:val="22"/>
          <w:lang w:bidi="es-ES"/>
        </w:rPr>
        <w:t>,</w:t>
      </w:r>
      <w:r w:rsidRPr="000F7251">
        <w:rPr>
          <w:rFonts w:eastAsia="Times New Roman" w:cs="Times New Roman"/>
          <w:bCs/>
          <w:szCs w:val="22"/>
          <w:lang w:bidi="es-ES"/>
        </w:rPr>
        <w:t xml:space="preserve">  aunque</w:t>
      </w:r>
      <w:r>
        <w:rPr>
          <w:rFonts w:eastAsia="Times New Roman" w:cs="Times New Roman"/>
          <w:bCs/>
          <w:szCs w:val="22"/>
          <w:lang w:bidi="es-ES"/>
        </w:rPr>
        <w:t>,</w:t>
      </w:r>
      <w:r w:rsidRPr="000F7251">
        <w:rPr>
          <w:rFonts w:eastAsia="Times New Roman" w:cs="Times New Roman"/>
          <w:bCs/>
          <w:szCs w:val="22"/>
          <w:lang w:bidi="es-ES"/>
        </w:rPr>
        <w:t xml:space="preserve"> en paralelo</w:t>
      </w:r>
      <w:r>
        <w:rPr>
          <w:rFonts w:eastAsia="Times New Roman" w:cs="Times New Roman"/>
          <w:bCs/>
          <w:szCs w:val="22"/>
          <w:lang w:bidi="es-ES"/>
        </w:rPr>
        <w:t>,</w:t>
      </w:r>
      <w:r w:rsidRPr="000F7251">
        <w:rPr>
          <w:rFonts w:eastAsia="Times New Roman" w:cs="Times New Roman"/>
          <w:bCs/>
          <w:szCs w:val="22"/>
          <w:lang w:bidi="es-ES"/>
        </w:rPr>
        <w:t xml:space="preserve"> aquellas que conceden acceso total aumentan en un 11,7%.</w:t>
      </w:r>
    </w:p>
    <w:p w:rsidR="0051614E" w:rsidRDefault="0051614E" w:rsidP="00D67951">
      <w:pPr>
        <w:spacing w:before="120" w:after="120"/>
        <w:rPr>
          <w:rFonts w:eastAsia="Times New Roman" w:cs="Times New Roman"/>
          <w:bCs/>
          <w:szCs w:val="22"/>
          <w:lang w:bidi="es-ES"/>
        </w:rPr>
      </w:pPr>
      <w:r w:rsidRPr="0051614E">
        <w:rPr>
          <w:rFonts w:eastAsia="Times New Roman" w:cs="Times New Roman"/>
          <w:bCs/>
          <w:szCs w:val="22"/>
          <w:lang w:bidi="es-ES"/>
        </w:rPr>
        <w:t xml:space="preserve">La </w:t>
      </w:r>
      <w:r w:rsidR="00646612">
        <w:rPr>
          <w:rFonts w:eastAsia="Times New Roman" w:cs="Times New Roman"/>
          <w:bCs/>
          <w:szCs w:val="22"/>
          <w:lang w:bidi="es-ES"/>
        </w:rPr>
        <w:t xml:space="preserve">protección </w:t>
      </w:r>
      <w:r w:rsidR="000F7251">
        <w:rPr>
          <w:rFonts w:eastAsia="Times New Roman" w:cs="Times New Roman"/>
          <w:bCs/>
          <w:szCs w:val="22"/>
          <w:lang w:bidi="es-ES"/>
        </w:rPr>
        <w:t>de los intereses económicos y comerciales,</w:t>
      </w:r>
      <w:r w:rsidR="00646612">
        <w:rPr>
          <w:rFonts w:eastAsia="Times New Roman" w:cs="Times New Roman"/>
          <w:bCs/>
          <w:szCs w:val="22"/>
          <w:lang w:bidi="es-ES"/>
        </w:rPr>
        <w:t xml:space="preserve"> </w:t>
      </w:r>
      <w:r w:rsidR="00AD6D80">
        <w:rPr>
          <w:rFonts w:eastAsia="Times New Roman" w:cs="Times New Roman"/>
          <w:bCs/>
          <w:szCs w:val="22"/>
          <w:lang w:bidi="es-ES"/>
        </w:rPr>
        <w:t>es el límite más frecuentemente aplicado</w:t>
      </w:r>
      <w:r w:rsidRPr="0051614E">
        <w:rPr>
          <w:rFonts w:eastAsia="Times New Roman" w:cs="Times New Roman"/>
          <w:bCs/>
          <w:szCs w:val="22"/>
          <w:lang w:bidi="es-ES"/>
        </w:rPr>
        <w:t>.</w:t>
      </w:r>
      <w:r>
        <w:rPr>
          <w:rFonts w:eastAsia="Times New Roman" w:cs="Times New Roman"/>
          <w:bCs/>
          <w:szCs w:val="22"/>
          <w:lang w:bidi="es-ES"/>
        </w:rPr>
        <w:t xml:space="preserve"> </w:t>
      </w:r>
    </w:p>
    <w:p w:rsidR="00D67951" w:rsidRPr="00183A18" w:rsidRDefault="00D67951" w:rsidP="00D67951">
      <w:pPr>
        <w:spacing w:before="120" w:after="120"/>
        <w:rPr>
          <w:rFonts w:eastAsia="Times New Roman" w:cs="Times New Roman"/>
          <w:bCs/>
          <w:szCs w:val="22"/>
          <w:lang w:bidi="es-ES"/>
        </w:rPr>
      </w:pPr>
      <w:r w:rsidRPr="00183A18">
        <w:rPr>
          <w:rFonts w:eastAsia="Times New Roman" w:cs="Times New Roman"/>
          <w:bCs/>
          <w:szCs w:val="22"/>
          <w:lang w:bidi="es-ES"/>
        </w:rPr>
        <w:t>Por otra parte</w:t>
      </w:r>
      <w:r w:rsidR="00DA75A9">
        <w:rPr>
          <w:rFonts w:eastAsia="Times New Roman" w:cs="Times New Roman"/>
          <w:bCs/>
          <w:szCs w:val="22"/>
          <w:lang w:bidi="es-ES"/>
        </w:rPr>
        <w:t>,</w:t>
      </w:r>
      <w:r w:rsidRPr="00183A18">
        <w:rPr>
          <w:rFonts w:eastAsia="Times New Roman" w:cs="Times New Roman"/>
          <w:bCs/>
          <w:szCs w:val="22"/>
          <w:lang w:bidi="es-ES"/>
        </w:rPr>
        <w:t xml:space="preserve"> se ha constatado que </w:t>
      </w:r>
      <w:r w:rsidR="000F7251">
        <w:rPr>
          <w:rFonts w:eastAsia="Times New Roman" w:cs="Times New Roman"/>
          <w:bCs/>
          <w:szCs w:val="22"/>
          <w:lang w:bidi="es-ES"/>
        </w:rPr>
        <w:t>24</w:t>
      </w:r>
      <w:r w:rsidR="00AD6D80">
        <w:rPr>
          <w:rFonts w:eastAsia="Times New Roman" w:cs="Times New Roman"/>
          <w:bCs/>
          <w:szCs w:val="22"/>
          <w:lang w:bidi="es-ES"/>
        </w:rPr>
        <w:t xml:space="preserve"> de las </w:t>
      </w:r>
      <w:r w:rsidR="000F7251">
        <w:rPr>
          <w:rFonts w:eastAsia="Times New Roman" w:cs="Times New Roman"/>
          <w:bCs/>
          <w:szCs w:val="22"/>
          <w:lang w:bidi="es-ES"/>
        </w:rPr>
        <w:t>25</w:t>
      </w:r>
      <w:r>
        <w:rPr>
          <w:rFonts w:eastAsia="Times New Roman" w:cs="Times New Roman"/>
          <w:bCs/>
          <w:szCs w:val="22"/>
          <w:lang w:bidi="es-ES"/>
        </w:rPr>
        <w:t xml:space="preserve"> </w:t>
      </w:r>
      <w:r w:rsidR="00AD6D80">
        <w:rPr>
          <w:rFonts w:eastAsia="Times New Roman" w:cs="Times New Roman"/>
          <w:bCs/>
          <w:szCs w:val="22"/>
          <w:lang w:bidi="es-ES"/>
        </w:rPr>
        <w:t>organizaciones</w:t>
      </w:r>
      <w:r>
        <w:rPr>
          <w:rFonts w:eastAsia="Times New Roman" w:cs="Times New Roman"/>
          <w:bCs/>
          <w:szCs w:val="22"/>
          <w:lang w:bidi="es-ES"/>
        </w:rPr>
        <w:t xml:space="preserve"> no</w:t>
      </w:r>
      <w:r w:rsidRPr="00183A18">
        <w:rPr>
          <w:rFonts w:eastAsia="Times New Roman" w:cs="Times New Roman"/>
          <w:bCs/>
          <w:szCs w:val="22"/>
          <w:lang w:bidi="es-ES"/>
        </w:rPr>
        <w:t xml:space="preserve"> publica</w:t>
      </w:r>
      <w:r w:rsidR="0000250A">
        <w:rPr>
          <w:rFonts w:eastAsia="Times New Roman" w:cs="Times New Roman"/>
          <w:bCs/>
          <w:szCs w:val="22"/>
          <w:lang w:bidi="es-ES"/>
        </w:rPr>
        <w:t>n</w:t>
      </w:r>
      <w:r w:rsidRPr="00183A18">
        <w:rPr>
          <w:rFonts w:eastAsia="Times New Roman" w:cs="Times New Roman"/>
          <w:bCs/>
          <w:szCs w:val="22"/>
          <w:lang w:bidi="es-ES"/>
        </w:rPr>
        <w:t xml:space="preserve"> las resoluciones denegatorias de acceso a la información por aplicación de los límites del artículo 14 de la Ley 19/2013.</w:t>
      </w:r>
    </w:p>
    <w:p w:rsidR="00D67951" w:rsidRPr="00183A18" w:rsidRDefault="00D67951"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bCs/>
          <w:szCs w:val="22"/>
        </w:rPr>
      </w:pPr>
      <w:r>
        <w:rPr>
          <w:rFonts w:eastAsia="Times New Roman" w:cs="Times New Roman"/>
          <w:bCs/>
          <w:szCs w:val="22"/>
        </w:rPr>
        <w:t xml:space="preserve">Todas las </w:t>
      </w:r>
      <w:r w:rsidR="00AD6D80">
        <w:rPr>
          <w:rFonts w:eastAsia="Times New Roman" w:cs="Times New Roman"/>
          <w:bCs/>
          <w:szCs w:val="22"/>
        </w:rPr>
        <w:t>entidades</w:t>
      </w:r>
      <w:r>
        <w:rPr>
          <w:rFonts w:eastAsia="Times New Roman" w:cs="Times New Roman"/>
          <w:bCs/>
          <w:szCs w:val="22"/>
        </w:rPr>
        <w:t xml:space="preserve"> </w:t>
      </w:r>
      <w:r w:rsidRPr="00183A18">
        <w:rPr>
          <w:rFonts w:eastAsia="Times New Roman" w:cs="Times New Roman"/>
          <w:bCs/>
          <w:szCs w:val="22"/>
        </w:rPr>
        <w:t>debería</w:t>
      </w:r>
      <w:r>
        <w:rPr>
          <w:rFonts w:eastAsia="Times New Roman" w:cs="Times New Roman"/>
          <w:bCs/>
          <w:szCs w:val="22"/>
        </w:rPr>
        <w:t>n</w:t>
      </w:r>
      <w:r w:rsidRPr="00183A18">
        <w:rPr>
          <w:rFonts w:eastAsia="Times New Roman" w:cs="Times New Roman"/>
          <w:bCs/>
          <w:szCs w:val="22"/>
        </w:rPr>
        <w:t xml:space="preserve"> publicar en su Portal de Transparencia las resoluciones que deniegan el acceso a la información por aplicación de los límites del artículo 14, según lo dispuesto por el artículo 14.3 de la LTAIBG.</w:t>
      </w:r>
    </w:p>
    <w:p w:rsidR="00D67951" w:rsidRDefault="00D67951" w:rsidP="00D67951">
      <w:pPr>
        <w:spacing w:before="120" w:after="120"/>
        <w:ind w:left="426"/>
        <w:rPr>
          <w:rFonts w:eastAsia="Times New Roman" w:cs="Times New Roman"/>
          <w:bCs/>
          <w:szCs w:val="22"/>
          <w:lang w:bidi="es-ES"/>
        </w:rPr>
      </w:pPr>
    </w:p>
    <w:p w:rsidR="00D67951" w:rsidRDefault="000F7251" w:rsidP="00D67951">
      <w:pPr>
        <w:spacing w:before="120" w:after="120"/>
        <w:rPr>
          <w:rFonts w:eastAsia="Times New Roman" w:cs="Times New Roman"/>
          <w:b/>
          <w:bCs/>
          <w:color w:val="325F64" w:themeColor="accent2" w:themeShade="BF"/>
          <w:szCs w:val="22"/>
          <w:lang w:bidi="es-ES"/>
        </w:rPr>
      </w:pPr>
      <w:r>
        <w:rPr>
          <w:rFonts w:eastAsia="Times New Roman" w:cs="Times New Roman"/>
          <w:b/>
          <w:bCs/>
          <w:color w:val="325F64" w:themeColor="accent2" w:themeShade="BF"/>
          <w:szCs w:val="22"/>
          <w:lang w:bidi="es-ES"/>
        </w:rPr>
        <w:t>Más de la</w:t>
      </w:r>
      <w:r w:rsidR="00D67951" w:rsidRPr="00E213C5">
        <w:rPr>
          <w:rFonts w:eastAsia="Times New Roman" w:cs="Times New Roman"/>
          <w:b/>
          <w:bCs/>
          <w:color w:val="325F64" w:themeColor="accent2" w:themeShade="BF"/>
          <w:szCs w:val="22"/>
          <w:lang w:bidi="es-ES"/>
        </w:rPr>
        <w:t xml:space="preserve"> </w:t>
      </w:r>
      <w:r w:rsidR="00AD6D80">
        <w:rPr>
          <w:rFonts w:eastAsia="Times New Roman" w:cs="Times New Roman"/>
          <w:b/>
          <w:bCs/>
          <w:color w:val="325F64" w:themeColor="accent2" w:themeShade="BF"/>
          <w:szCs w:val="22"/>
          <w:lang w:bidi="es-ES"/>
        </w:rPr>
        <w:t>mitad</w:t>
      </w:r>
      <w:r w:rsidR="00D67951" w:rsidRPr="00E213C5">
        <w:rPr>
          <w:rFonts w:eastAsia="Times New Roman" w:cs="Times New Roman"/>
          <w:b/>
          <w:bCs/>
          <w:color w:val="325F64" w:themeColor="accent2" w:themeShade="BF"/>
          <w:szCs w:val="22"/>
          <w:lang w:bidi="es-ES"/>
        </w:rPr>
        <w:t xml:space="preserve"> de las </w:t>
      </w:r>
      <w:r w:rsidR="00AD6D80">
        <w:rPr>
          <w:rFonts w:eastAsia="Times New Roman" w:cs="Times New Roman"/>
          <w:b/>
          <w:bCs/>
          <w:color w:val="325F64" w:themeColor="accent2" w:themeShade="BF"/>
          <w:szCs w:val="22"/>
          <w:lang w:bidi="es-ES"/>
        </w:rPr>
        <w:t>entidades</w:t>
      </w:r>
      <w:r w:rsidR="00D67951" w:rsidRPr="00E213C5">
        <w:rPr>
          <w:rFonts w:eastAsia="Times New Roman" w:cs="Times New Roman"/>
          <w:b/>
          <w:bCs/>
          <w:color w:val="325F64" w:themeColor="accent2" w:themeShade="BF"/>
          <w:szCs w:val="22"/>
          <w:lang w:bidi="es-ES"/>
        </w:rPr>
        <w:t xml:space="preserve"> dispone de un espacio específico para</w:t>
      </w:r>
      <w:r w:rsidR="00AD6D80">
        <w:rPr>
          <w:rFonts w:eastAsia="Times New Roman" w:cs="Times New Roman"/>
          <w:b/>
          <w:bCs/>
          <w:color w:val="325F64" w:themeColor="accent2" w:themeShade="BF"/>
          <w:szCs w:val="22"/>
          <w:lang w:bidi="es-ES"/>
        </w:rPr>
        <w:t xml:space="preserve"> facilitar el</w:t>
      </w:r>
      <w:r w:rsidR="00D67951" w:rsidRPr="00E213C5">
        <w:rPr>
          <w:rFonts w:eastAsia="Times New Roman" w:cs="Times New Roman"/>
          <w:b/>
          <w:bCs/>
          <w:color w:val="325F64" w:themeColor="accent2" w:themeShade="BF"/>
          <w:szCs w:val="22"/>
          <w:lang w:bidi="es-ES"/>
        </w:rPr>
        <w:t xml:space="preserve"> </w:t>
      </w:r>
      <w:r w:rsidR="0051614E">
        <w:rPr>
          <w:rFonts w:eastAsia="Times New Roman" w:cs="Times New Roman"/>
          <w:b/>
          <w:bCs/>
          <w:color w:val="325F64" w:themeColor="accent2" w:themeShade="BF"/>
          <w:szCs w:val="22"/>
          <w:lang w:bidi="es-ES"/>
        </w:rPr>
        <w:t>ejercicio del derecho de acceso</w:t>
      </w:r>
      <w:r w:rsidR="00DA75A9">
        <w:rPr>
          <w:rFonts w:eastAsia="Times New Roman" w:cs="Times New Roman"/>
          <w:b/>
          <w:bCs/>
          <w:color w:val="325F64" w:themeColor="accent2" w:themeShade="BF"/>
          <w:szCs w:val="22"/>
          <w:lang w:bidi="es-ES"/>
        </w:rPr>
        <w:t>,</w:t>
      </w:r>
      <w:r w:rsidR="00D67951" w:rsidRPr="00E213C5">
        <w:rPr>
          <w:rFonts w:eastAsia="Times New Roman" w:cs="Times New Roman"/>
          <w:b/>
          <w:bCs/>
          <w:color w:val="325F64" w:themeColor="accent2" w:themeShade="BF"/>
          <w:szCs w:val="22"/>
          <w:lang w:bidi="es-ES"/>
        </w:rPr>
        <w:t xml:space="preserve"> </w:t>
      </w:r>
      <w:r w:rsidR="00DA75A9">
        <w:rPr>
          <w:rFonts w:eastAsia="Times New Roman" w:cs="Times New Roman"/>
          <w:b/>
          <w:bCs/>
          <w:color w:val="325F64" w:themeColor="accent2" w:themeShade="BF"/>
          <w:szCs w:val="22"/>
          <w:lang w:bidi="es-ES"/>
        </w:rPr>
        <w:t>pero sólo el 28</w:t>
      </w:r>
      <w:r w:rsidR="00D67951" w:rsidRPr="00E213C5">
        <w:rPr>
          <w:rFonts w:eastAsia="Times New Roman" w:cs="Times New Roman"/>
          <w:b/>
          <w:bCs/>
          <w:color w:val="325F64" w:themeColor="accent2" w:themeShade="BF"/>
          <w:szCs w:val="22"/>
          <w:lang w:bidi="es-ES"/>
        </w:rPr>
        <w:t>%</w:t>
      </w:r>
      <w:r w:rsidR="00DA75A9">
        <w:rPr>
          <w:rFonts w:eastAsia="Times New Roman" w:cs="Times New Roman"/>
          <w:b/>
          <w:bCs/>
          <w:color w:val="325F64" w:themeColor="accent2" w:themeShade="BF"/>
          <w:szCs w:val="22"/>
          <w:lang w:bidi="es-ES"/>
        </w:rPr>
        <w:t xml:space="preserve"> de ellas</w:t>
      </w:r>
      <w:r w:rsidR="00D67951" w:rsidRPr="00E213C5">
        <w:rPr>
          <w:rFonts w:eastAsia="Times New Roman" w:cs="Times New Roman"/>
          <w:b/>
          <w:bCs/>
          <w:color w:val="325F64" w:themeColor="accent2" w:themeShade="BF"/>
          <w:szCs w:val="22"/>
          <w:lang w:bidi="es-ES"/>
        </w:rPr>
        <w:t xml:space="preserve"> informa expresamente sobre el derecho que asiste a los ciudadanos a solicitar información al amparo de la LTAIBG.</w:t>
      </w:r>
      <w:r w:rsidR="00D67951">
        <w:rPr>
          <w:rFonts w:eastAsia="Times New Roman" w:cs="Times New Roman"/>
          <w:b/>
          <w:bCs/>
          <w:color w:val="325F64" w:themeColor="accent2" w:themeShade="BF"/>
          <w:szCs w:val="22"/>
          <w:lang w:bidi="es-ES"/>
        </w:rPr>
        <w:t xml:space="preserve"> </w:t>
      </w:r>
    </w:p>
    <w:p w:rsidR="00EF4390" w:rsidRDefault="00EF4390" w:rsidP="00D67951">
      <w:pPr>
        <w:spacing w:before="120" w:after="120"/>
        <w:rPr>
          <w:rFonts w:eastAsia="Times New Roman" w:cs="Times New Roman"/>
          <w:b/>
          <w:bCs/>
          <w:color w:val="325F64" w:themeColor="accent2" w:themeShade="BF"/>
          <w:szCs w:val="22"/>
          <w:lang w:bidi="es-ES"/>
        </w:rPr>
      </w:pPr>
    </w:p>
    <w:p w:rsidR="00475A84" w:rsidRDefault="00475A84" w:rsidP="00D67951">
      <w:pPr>
        <w:spacing w:before="120" w:after="120"/>
        <w:rPr>
          <w:rFonts w:eastAsia="Times New Roman" w:cs="Times New Roman"/>
          <w:b/>
          <w:bCs/>
          <w:color w:val="325F64" w:themeColor="accent2" w:themeShade="BF"/>
          <w:szCs w:val="22"/>
          <w:lang w:bidi="es-ES"/>
        </w:rPr>
      </w:pPr>
    </w:p>
    <w:p w:rsidR="00D67951" w:rsidRDefault="00D67951"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rPr>
          <w:rFonts w:eastAsia="Times New Roman" w:cs="Times New Roman"/>
          <w:bCs/>
          <w:szCs w:val="22"/>
          <w:lang w:bidi="es-ES"/>
        </w:rPr>
      </w:pPr>
      <w:r w:rsidRPr="00E213C5">
        <w:rPr>
          <w:rFonts w:eastAsia="Times New Roman" w:cs="Times New Roman"/>
          <w:bCs/>
          <w:szCs w:val="22"/>
          <w:lang w:bidi="es-ES"/>
        </w:rPr>
        <w:lastRenderedPageBreak/>
        <w:t xml:space="preserve">Este Consejo recomienda que, para facilitar el acceso de la ciudadanía al ejercicio del derecho de acceso a la información pública, en el Portal de Transparencia de se incluya un apartado específico en el que se proporcione información sobre el derecho </w:t>
      </w:r>
      <w:r w:rsidR="00DA75A9">
        <w:rPr>
          <w:rFonts w:eastAsia="Times New Roman" w:cs="Times New Roman"/>
          <w:bCs/>
          <w:szCs w:val="22"/>
          <w:lang w:bidi="es-ES"/>
        </w:rPr>
        <w:t>de la ciudadanía</w:t>
      </w:r>
      <w:r w:rsidRPr="00E213C5">
        <w:rPr>
          <w:rFonts w:eastAsia="Times New Roman" w:cs="Times New Roman"/>
          <w:bCs/>
          <w:szCs w:val="22"/>
          <w:lang w:bidi="es-ES"/>
        </w:rPr>
        <w:t xml:space="preserve"> a solicitar información pública, se indiquen los medios habilitados para la presentación de las solicitudes de información pública dirigidas a la </w:t>
      </w:r>
      <w:r>
        <w:rPr>
          <w:rFonts w:eastAsia="Times New Roman" w:cs="Times New Roman"/>
          <w:bCs/>
          <w:szCs w:val="22"/>
          <w:lang w:bidi="es-ES"/>
        </w:rPr>
        <w:t>institución</w:t>
      </w:r>
      <w:r w:rsidRPr="00E213C5">
        <w:rPr>
          <w:rFonts w:eastAsia="Times New Roman" w:cs="Times New Roman"/>
          <w:bCs/>
          <w:szCs w:val="22"/>
          <w:lang w:bidi="es-ES"/>
        </w:rPr>
        <w:t xml:space="preserve"> y se informe sobre los requisitos necesarios para la presentación de una solicitud de acceso a la información pública. </w:t>
      </w:r>
      <w:r w:rsidR="00EF4390">
        <w:rPr>
          <w:rFonts w:eastAsia="Times New Roman" w:cs="Times New Roman"/>
          <w:bCs/>
          <w:szCs w:val="22"/>
          <w:lang w:bidi="es-ES"/>
        </w:rPr>
        <w:t>También sería deseable que se publicase una breve descripción del procedimiento de gestión de las solicitudes de acceso.</w:t>
      </w:r>
    </w:p>
    <w:p w:rsidR="00AD6D80" w:rsidRDefault="00AD6D80"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rPr>
          <w:rFonts w:eastAsia="Times New Roman" w:cs="Times New Roman"/>
          <w:bCs/>
          <w:szCs w:val="22"/>
          <w:lang w:bidi="es-ES"/>
        </w:rPr>
      </w:pPr>
      <w:r>
        <w:rPr>
          <w:rFonts w:eastAsia="Times New Roman" w:cs="Times New Roman"/>
          <w:bCs/>
          <w:szCs w:val="22"/>
          <w:lang w:bidi="es-ES"/>
        </w:rPr>
        <w:t>En el caso de aquellas entidades que si disponen de este espacio específico, debería proporcionarse información sobre el derecho de acceso.</w:t>
      </w:r>
    </w:p>
    <w:p w:rsidR="00D67951" w:rsidRPr="00E213C5" w:rsidRDefault="00D67951"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rPr>
          <w:rFonts w:eastAsia="Times New Roman" w:cs="Times New Roman"/>
          <w:bCs/>
          <w:szCs w:val="22"/>
          <w:lang w:bidi="es-ES"/>
        </w:rPr>
      </w:pPr>
      <w:r w:rsidRPr="00E213C5">
        <w:rPr>
          <w:rFonts w:eastAsia="Times New Roman" w:cs="Times New Roman"/>
          <w:bCs/>
          <w:szCs w:val="22"/>
          <w:lang w:bidi="es-ES"/>
        </w:rPr>
        <w:t>Este mismo espacio podría utilizarse para la publicación de las resoluciones denegatorias por aplicación de los límites del artículo14 de la LTAIBG</w:t>
      </w:r>
      <w:r>
        <w:rPr>
          <w:rFonts w:eastAsia="Times New Roman" w:cs="Times New Roman"/>
          <w:bCs/>
          <w:szCs w:val="22"/>
          <w:lang w:bidi="es-ES"/>
        </w:rPr>
        <w:t>.</w:t>
      </w:r>
    </w:p>
    <w:p w:rsidR="00D67951" w:rsidRDefault="00D67951" w:rsidP="00D67951">
      <w:pPr>
        <w:spacing w:before="120" w:after="120"/>
        <w:ind w:left="142"/>
        <w:rPr>
          <w:rFonts w:eastAsia="Times New Roman" w:cs="Times New Roman"/>
          <w:bCs/>
          <w:szCs w:val="22"/>
          <w:lang w:bidi="es-ES"/>
        </w:rPr>
      </w:pPr>
    </w:p>
    <w:p w:rsidR="00AD6D80" w:rsidRDefault="0051614E" w:rsidP="00D67951">
      <w:pPr>
        <w:spacing w:before="120" w:after="120"/>
        <w:rPr>
          <w:rFonts w:eastAsia="Times New Roman" w:cs="Times New Roman"/>
          <w:b/>
          <w:bCs/>
          <w:color w:val="325F64" w:themeColor="accent2" w:themeShade="BF"/>
          <w:szCs w:val="22"/>
          <w:lang w:bidi="es-ES"/>
        </w:rPr>
      </w:pPr>
      <w:r>
        <w:rPr>
          <w:rFonts w:eastAsia="Times New Roman" w:cs="Times New Roman"/>
          <w:b/>
          <w:bCs/>
          <w:color w:val="325F64" w:themeColor="accent2" w:themeShade="BF"/>
          <w:szCs w:val="22"/>
          <w:lang w:bidi="es-ES"/>
        </w:rPr>
        <w:t xml:space="preserve">Los medios habilitados </w:t>
      </w:r>
      <w:r w:rsidR="00D67951" w:rsidRPr="008847F2">
        <w:rPr>
          <w:rFonts w:eastAsia="Times New Roman" w:cs="Times New Roman"/>
          <w:b/>
          <w:bCs/>
          <w:color w:val="325F64" w:themeColor="accent2" w:themeShade="BF"/>
          <w:szCs w:val="22"/>
          <w:lang w:bidi="es-ES"/>
        </w:rPr>
        <w:t>para la presentación de las solicitudes</w:t>
      </w:r>
      <w:r>
        <w:rPr>
          <w:rFonts w:eastAsia="Times New Roman" w:cs="Times New Roman"/>
          <w:b/>
          <w:bCs/>
          <w:color w:val="325F64" w:themeColor="accent2" w:themeShade="BF"/>
          <w:szCs w:val="22"/>
          <w:lang w:bidi="es-ES"/>
        </w:rPr>
        <w:t xml:space="preserve"> son escasos</w:t>
      </w:r>
      <w:r w:rsidR="00D67951" w:rsidRPr="008847F2">
        <w:rPr>
          <w:rFonts w:eastAsia="Times New Roman" w:cs="Times New Roman"/>
          <w:b/>
          <w:bCs/>
          <w:color w:val="325F64" w:themeColor="accent2" w:themeShade="BF"/>
          <w:szCs w:val="22"/>
          <w:lang w:bidi="es-ES"/>
        </w:rPr>
        <w:t xml:space="preserve">, </w:t>
      </w:r>
      <w:r w:rsidR="00AD6D80">
        <w:rPr>
          <w:rFonts w:eastAsia="Times New Roman" w:cs="Times New Roman"/>
          <w:b/>
          <w:bCs/>
          <w:color w:val="325F64" w:themeColor="accent2" w:themeShade="BF"/>
          <w:szCs w:val="22"/>
          <w:lang w:bidi="es-ES"/>
        </w:rPr>
        <w:t>1,</w:t>
      </w:r>
      <w:r w:rsidR="00DA75A9">
        <w:rPr>
          <w:rFonts w:eastAsia="Times New Roman" w:cs="Times New Roman"/>
          <w:b/>
          <w:bCs/>
          <w:color w:val="325F64" w:themeColor="accent2" w:themeShade="BF"/>
          <w:szCs w:val="22"/>
          <w:lang w:bidi="es-ES"/>
        </w:rPr>
        <w:t>64</w:t>
      </w:r>
      <w:r w:rsidR="00D67951" w:rsidRPr="008847F2">
        <w:rPr>
          <w:rFonts w:eastAsia="Times New Roman" w:cs="Times New Roman"/>
          <w:b/>
          <w:bCs/>
          <w:color w:val="325F64" w:themeColor="accent2" w:themeShade="BF"/>
          <w:szCs w:val="22"/>
          <w:lang w:bidi="es-ES"/>
        </w:rPr>
        <w:t xml:space="preserve"> en promedio</w:t>
      </w:r>
      <w:r w:rsidR="00AD6D80">
        <w:rPr>
          <w:rFonts w:eastAsia="Times New Roman" w:cs="Times New Roman"/>
          <w:b/>
          <w:bCs/>
          <w:color w:val="325F64" w:themeColor="accent2" w:themeShade="BF"/>
          <w:szCs w:val="22"/>
          <w:lang w:bidi="es-ES"/>
        </w:rPr>
        <w:t xml:space="preserve">. Un </w:t>
      </w:r>
      <w:r w:rsidR="00DA75A9">
        <w:rPr>
          <w:rFonts w:eastAsia="Times New Roman" w:cs="Times New Roman"/>
          <w:b/>
          <w:bCs/>
          <w:color w:val="325F64" w:themeColor="accent2" w:themeShade="BF"/>
          <w:szCs w:val="22"/>
          <w:lang w:bidi="es-ES"/>
        </w:rPr>
        <w:t>52</w:t>
      </w:r>
      <w:r w:rsidR="00AD6D80">
        <w:rPr>
          <w:rFonts w:eastAsia="Times New Roman" w:cs="Times New Roman"/>
          <w:b/>
          <w:bCs/>
          <w:color w:val="325F64" w:themeColor="accent2" w:themeShade="BF"/>
          <w:szCs w:val="22"/>
          <w:lang w:bidi="es-ES"/>
        </w:rPr>
        <w:t xml:space="preserve">% de los organismos no informa sobre esta cuestión y un </w:t>
      </w:r>
      <w:r w:rsidR="00DA75A9">
        <w:rPr>
          <w:rFonts w:eastAsia="Times New Roman" w:cs="Times New Roman"/>
          <w:b/>
          <w:bCs/>
          <w:color w:val="325F64" w:themeColor="accent2" w:themeShade="BF"/>
          <w:szCs w:val="22"/>
          <w:lang w:bidi="es-ES"/>
        </w:rPr>
        <w:t>20</w:t>
      </w:r>
      <w:r w:rsidR="00AD6D80">
        <w:rPr>
          <w:rFonts w:eastAsia="Times New Roman" w:cs="Times New Roman"/>
          <w:b/>
          <w:bCs/>
          <w:color w:val="325F64" w:themeColor="accent2" w:themeShade="BF"/>
          <w:szCs w:val="22"/>
          <w:lang w:bidi="es-ES"/>
        </w:rPr>
        <w:t xml:space="preserve">% adicional informa </w:t>
      </w:r>
      <w:r w:rsidR="00EF4390">
        <w:rPr>
          <w:rFonts w:eastAsia="Times New Roman" w:cs="Times New Roman"/>
          <w:b/>
          <w:bCs/>
          <w:color w:val="325F64" w:themeColor="accent2" w:themeShade="BF"/>
          <w:szCs w:val="22"/>
          <w:lang w:bidi="es-ES"/>
        </w:rPr>
        <w:t>sobre</w:t>
      </w:r>
      <w:r>
        <w:rPr>
          <w:rFonts w:eastAsia="Times New Roman" w:cs="Times New Roman"/>
          <w:b/>
          <w:bCs/>
          <w:color w:val="325F64" w:themeColor="accent2" w:themeShade="BF"/>
          <w:szCs w:val="22"/>
          <w:lang w:bidi="es-ES"/>
        </w:rPr>
        <w:t xml:space="preserve"> un solo medio</w:t>
      </w:r>
      <w:r w:rsidR="00D67951" w:rsidRPr="008847F2">
        <w:rPr>
          <w:rFonts w:eastAsia="Times New Roman" w:cs="Times New Roman"/>
          <w:b/>
          <w:bCs/>
          <w:color w:val="325F64" w:themeColor="accent2" w:themeShade="BF"/>
          <w:szCs w:val="22"/>
          <w:lang w:bidi="es-ES"/>
        </w:rPr>
        <w:t xml:space="preserve">. </w:t>
      </w:r>
    </w:p>
    <w:p w:rsidR="00475A84" w:rsidRDefault="00475A84" w:rsidP="00D67951">
      <w:pPr>
        <w:spacing w:before="120" w:after="120"/>
        <w:rPr>
          <w:rFonts w:eastAsia="Times New Roman" w:cs="Times New Roman"/>
          <w:b/>
          <w:bCs/>
          <w:color w:val="325F64" w:themeColor="accent2" w:themeShade="BF"/>
          <w:szCs w:val="22"/>
          <w:lang w:bidi="es-ES"/>
        </w:rPr>
      </w:pPr>
    </w:p>
    <w:p w:rsidR="000200DB" w:rsidRDefault="000200DB" w:rsidP="000200DB">
      <w:pPr>
        <w:pBdr>
          <w:top w:val="single" w:sz="4" w:space="1" w:color="438086" w:themeColor="accent2"/>
          <w:left w:val="single" w:sz="4" w:space="2" w:color="438086" w:themeColor="accent2"/>
          <w:bottom w:val="single" w:sz="4" w:space="1" w:color="438086" w:themeColor="accent2"/>
          <w:right w:val="single" w:sz="4" w:space="4" w:color="438086" w:themeColor="accent2"/>
        </w:pBdr>
        <w:contextualSpacing/>
        <w:rPr>
          <w:rFonts w:eastAsia="Times New Roman" w:cs="Times New Roman"/>
          <w:szCs w:val="22"/>
        </w:rPr>
      </w:pPr>
      <w:r>
        <w:rPr>
          <w:rFonts w:eastAsia="Times New Roman" w:cs="Times New Roman"/>
          <w:szCs w:val="22"/>
        </w:rPr>
        <w:t xml:space="preserve">El hecho de que o bien no se identifiquen los medios habilitados para la presentación de solicitudes de información o bien se identifique un número muy reducido de ellos, </w:t>
      </w:r>
      <w:r w:rsidRPr="00064F49">
        <w:rPr>
          <w:rFonts w:eastAsia="Times New Roman" w:cs="Times New Roman"/>
          <w:szCs w:val="22"/>
        </w:rPr>
        <w:t xml:space="preserve">no excluye que un ciudadano pueda dirigirse </w:t>
      </w:r>
      <w:r>
        <w:rPr>
          <w:rFonts w:eastAsia="Times New Roman" w:cs="Times New Roman"/>
          <w:szCs w:val="22"/>
        </w:rPr>
        <w:t>a la institución</w:t>
      </w:r>
      <w:r w:rsidRPr="00064F49">
        <w:rPr>
          <w:rFonts w:eastAsia="Times New Roman" w:cs="Times New Roman"/>
          <w:szCs w:val="22"/>
        </w:rPr>
        <w:t xml:space="preserve"> por los medios establecidos en la Ley 39/2015, pero esto implica un plus de conocimiento del funcionamiento de la Administración que no tiene por qué estar al alcance de la ciudadanía.</w:t>
      </w:r>
      <w:r>
        <w:rPr>
          <w:rFonts w:eastAsia="Times New Roman" w:cs="Times New Roman"/>
          <w:szCs w:val="22"/>
        </w:rPr>
        <w:t xml:space="preserve"> Por esta razón</w:t>
      </w:r>
      <w:r w:rsidR="0000250A">
        <w:rPr>
          <w:rFonts w:eastAsia="Times New Roman" w:cs="Times New Roman"/>
          <w:szCs w:val="22"/>
        </w:rPr>
        <w:t>,</w:t>
      </w:r>
      <w:r>
        <w:rPr>
          <w:rFonts w:eastAsia="Times New Roman" w:cs="Times New Roman"/>
          <w:szCs w:val="22"/>
        </w:rPr>
        <w:t xml:space="preserve"> este Consejo recomienda que se identifiquen expresamente los medios a través de los cuales los ciudadanos pueden relacionarse con las administraciones.</w:t>
      </w:r>
    </w:p>
    <w:p w:rsidR="000200DB" w:rsidRDefault="000200DB" w:rsidP="000200DB">
      <w:pPr>
        <w:spacing w:before="120" w:after="120"/>
        <w:rPr>
          <w:rFonts w:eastAsia="Times New Roman" w:cs="Times New Roman"/>
          <w:bCs/>
          <w:szCs w:val="22"/>
          <w:lang w:bidi="es-ES"/>
        </w:rPr>
      </w:pPr>
    </w:p>
    <w:p w:rsidR="00475A84" w:rsidRDefault="000200DB" w:rsidP="000200DB">
      <w:pPr>
        <w:spacing w:before="120" w:after="120"/>
        <w:rPr>
          <w:rFonts w:eastAsia="Times New Roman" w:cs="Times New Roman"/>
          <w:b/>
          <w:bCs/>
          <w:color w:val="325F64" w:themeColor="accent2" w:themeShade="BF"/>
          <w:szCs w:val="22"/>
          <w:lang w:bidi="es-ES"/>
        </w:rPr>
      </w:pPr>
      <w:r>
        <w:rPr>
          <w:rFonts w:eastAsia="Times New Roman" w:cs="Times New Roman"/>
          <w:b/>
          <w:bCs/>
          <w:color w:val="325F64" w:themeColor="accent2" w:themeShade="BF"/>
          <w:szCs w:val="22"/>
          <w:lang w:bidi="es-ES"/>
        </w:rPr>
        <w:t xml:space="preserve">Por otra parte, se ha observado que aunque </w:t>
      </w:r>
      <w:r w:rsidR="00EE3C20">
        <w:rPr>
          <w:rFonts w:eastAsia="Times New Roman" w:cs="Times New Roman"/>
          <w:b/>
          <w:bCs/>
          <w:color w:val="325F64" w:themeColor="accent2" w:themeShade="BF"/>
          <w:szCs w:val="22"/>
          <w:lang w:bidi="es-ES"/>
        </w:rPr>
        <w:t>es posible efectuar</w:t>
      </w:r>
      <w:r>
        <w:rPr>
          <w:rFonts w:eastAsia="Times New Roman" w:cs="Times New Roman"/>
          <w:b/>
          <w:bCs/>
          <w:color w:val="325F64" w:themeColor="accent2" w:themeShade="BF"/>
          <w:szCs w:val="22"/>
          <w:lang w:bidi="es-ES"/>
        </w:rPr>
        <w:t xml:space="preserve"> </w:t>
      </w:r>
      <w:r w:rsidR="00EE3C20">
        <w:rPr>
          <w:rFonts w:eastAsia="Times New Roman" w:cs="Times New Roman"/>
          <w:b/>
          <w:bCs/>
          <w:color w:val="325F64" w:themeColor="accent2" w:themeShade="BF"/>
          <w:szCs w:val="22"/>
          <w:lang w:bidi="es-ES"/>
        </w:rPr>
        <w:t>la</w:t>
      </w:r>
      <w:r>
        <w:rPr>
          <w:rFonts w:eastAsia="Times New Roman" w:cs="Times New Roman"/>
          <w:b/>
          <w:bCs/>
          <w:color w:val="325F64" w:themeColor="accent2" w:themeShade="BF"/>
          <w:szCs w:val="22"/>
          <w:lang w:bidi="es-ES"/>
        </w:rPr>
        <w:t xml:space="preserve"> presentación de solicitudes dirigidas a estas entidades </w:t>
      </w:r>
      <w:r w:rsidR="00EE3C20">
        <w:rPr>
          <w:rFonts w:eastAsia="Times New Roman" w:cs="Times New Roman"/>
          <w:b/>
          <w:bCs/>
          <w:color w:val="325F64" w:themeColor="accent2" w:themeShade="BF"/>
          <w:szCs w:val="22"/>
          <w:lang w:bidi="es-ES"/>
        </w:rPr>
        <w:t>a través del Portal de Transparencia de la AGE</w:t>
      </w:r>
      <w:r>
        <w:rPr>
          <w:rFonts w:eastAsia="Times New Roman" w:cs="Times New Roman"/>
          <w:b/>
          <w:bCs/>
          <w:color w:val="325F64" w:themeColor="accent2" w:themeShade="BF"/>
          <w:szCs w:val="22"/>
          <w:lang w:bidi="es-ES"/>
        </w:rPr>
        <w:t xml:space="preserve">, </w:t>
      </w:r>
      <w:r w:rsidR="009C7B1E">
        <w:rPr>
          <w:rFonts w:eastAsia="Times New Roman" w:cs="Times New Roman"/>
          <w:b/>
          <w:bCs/>
          <w:color w:val="325F64" w:themeColor="accent2" w:themeShade="BF"/>
          <w:szCs w:val="22"/>
          <w:lang w:bidi="es-ES"/>
        </w:rPr>
        <w:t>generalmente</w:t>
      </w:r>
      <w:r>
        <w:rPr>
          <w:rFonts w:eastAsia="Times New Roman" w:cs="Times New Roman"/>
          <w:b/>
          <w:bCs/>
          <w:color w:val="325F64" w:themeColor="accent2" w:themeShade="BF"/>
          <w:szCs w:val="22"/>
          <w:lang w:bidi="es-ES"/>
        </w:rPr>
        <w:t xml:space="preserve"> no se informa sobre esta posibilidad. </w:t>
      </w:r>
    </w:p>
    <w:p w:rsidR="00EE3C20" w:rsidRPr="00EE3C20" w:rsidRDefault="00EE3C20" w:rsidP="00EF4390">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szCs w:val="22"/>
        </w:rPr>
      </w:pPr>
      <w:r w:rsidRPr="00EE3C20">
        <w:rPr>
          <w:rFonts w:eastAsia="Times New Roman" w:cs="Times New Roman"/>
          <w:szCs w:val="22"/>
        </w:rPr>
        <w:t>Debería informarse sobre la posibilidad de presentación de solicitudes de acceso a información a través del Portal de Transparencia</w:t>
      </w:r>
      <w:r w:rsidR="00EF4390">
        <w:rPr>
          <w:rFonts w:eastAsia="Times New Roman" w:cs="Times New Roman"/>
          <w:szCs w:val="22"/>
        </w:rPr>
        <w:t xml:space="preserve"> de la AGE</w:t>
      </w:r>
      <w:r w:rsidRPr="00EE3C20">
        <w:rPr>
          <w:rFonts w:eastAsia="Times New Roman" w:cs="Times New Roman"/>
          <w:szCs w:val="22"/>
        </w:rPr>
        <w:t>, indicándose el Ministerio de adscripción del organismo, ya que en el Portal no figuran los organismos vinculados o dependientes, sólo el Ministerio al que va dirigida la solicitud, información de la que no dispone generalmente la ciudadanía.</w:t>
      </w:r>
    </w:p>
    <w:p w:rsidR="00EE3C20" w:rsidRPr="00EE3C20" w:rsidRDefault="00EE3C20" w:rsidP="00EE3C20">
      <w:pPr>
        <w:ind w:left="644"/>
        <w:contextualSpacing/>
        <w:rPr>
          <w:rFonts w:eastAsia="Times New Roman" w:cs="Times New Roman"/>
          <w:szCs w:val="22"/>
        </w:rPr>
      </w:pPr>
    </w:p>
    <w:p w:rsidR="00EE3C20" w:rsidRDefault="00D67951" w:rsidP="00D67951">
      <w:pPr>
        <w:spacing w:before="120" w:after="120"/>
        <w:rPr>
          <w:rFonts w:eastAsia="Times New Roman" w:cs="Times New Roman"/>
          <w:b/>
          <w:bCs/>
          <w:color w:val="325F64" w:themeColor="accent2" w:themeShade="BF"/>
          <w:szCs w:val="22"/>
          <w:lang w:bidi="es-ES"/>
        </w:rPr>
      </w:pPr>
      <w:r w:rsidRPr="008847F2">
        <w:rPr>
          <w:rFonts w:eastAsia="Times New Roman" w:cs="Times New Roman"/>
          <w:b/>
          <w:bCs/>
          <w:color w:val="325F64" w:themeColor="accent2" w:themeShade="BF"/>
          <w:szCs w:val="22"/>
          <w:lang w:bidi="es-ES"/>
        </w:rPr>
        <w:t>Los requisitos exigibles comúnmente consisten en la identificación</w:t>
      </w:r>
      <w:r w:rsidR="00EE3C20">
        <w:rPr>
          <w:rFonts w:eastAsia="Times New Roman" w:cs="Times New Roman"/>
          <w:b/>
          <w:bCs/>
          <w:color w:val="325F64" w:themeColor="accent2" w:themeShade="BF"/>
          <w:szCs w:val="22"/>
          <w:lang w:bidi="es-ES"/>
        </w:rPr>
        <w:t xml:space="preserve"> de quien presenta la solicitud, identificación que</w:t>
      </w:r>
      <w:r w:rsidR="009C7B1E">
        <w:rPr>
          <w:rFonts w:eastAsia="Times New Roman" w:cs="Times New Roman"/>
          <w:b/>
          <w:bCs/>
          <w:color w:val="325F64" w:themeColor="accent2" w:themeShade="BF"/>
          <w:szCs w:val="22"/>
          <w:lang w:bidi="es-ES"/>
        </w:rPr>
        <w:t>, en ocasiones,</w:t>
      </w:r>
      <w:r w:rsidR="00EE3C20">
        <w:rPr>
          <w:rFonts w:eastAsia="Times New Roman" w:cs="Times New Roman"/>
          <w:b/>
          <w:bCs/>
          <w:color w:val="325F64" w:themeColor="accent2" w:themeShade="BF"/>
          <w:szCs w:val="22"/>
          <w:lang w:bidi="es-ES"/>
        </w:rPr>
        <w:t xml:space="preserve"> implica la aportación par </w:t>
      </w:r>
      <w:r w:rsidR="00EE3C20">
        <w:rPr>
          <w:rFonts w:eastAsia="Times New Roman" w:cs="Times New Roman"/>
          <w:b/>
          <w:bCs/>
          <w:color w:val="325F64" w:themeColor="accent2" w:themeShade="BF"/>
          <w:szCs w:val="22"/>
          <w:lang w:bidi="es-ES"/>
        </w:rPr>
        <w:lastRenderedPageBreak/>
        <w:t xml:space="preserve">parte del solicitante de una copia del documento de identidad. </w:t>
      </w:r>
      <w:r w:rsidR="00EF4390">
        <w:rPr>
          <w:rFonts w:eastAsia="Times New Roman" w:cs="Times New Roman"/>
          <w:b/>
          <w:bCs/>
          <w:color w:val="325F64" w:themeColor="accent2" w:themeShade="BF"/>
          <w:szCs w:val="22"/>
          <w:lang w:bidi="es-ES"/>
        </w:rPr>
        <w:t xml:space="preserve">También se incluye como requisito la indicación de una dirección – preferiblemente electrónica – para las notificaciones. </w:t>
      </w:r>
    </w:p>
    <w:p w:rsidR="009C7B1E" w:rsidRDefault="009C7B1E" w:rsidP="00D67951">
      <w:pPr>
        <w:spacing w:before="120" w:after="120"/>
        <w:rPr>
          <w:rFonts w:eastAsia="Times New Roman" w:cs="Times New Roman"/>
          <w:b/>
          <w:bCs/>
          <w:color w:val="325F64" w:themeColor="accent2" w:themeShade="BF"/>
          <w:szCs w:val="22"/>
          <w:lang w:bidi="es-ES"/>
        </w:rPr>
      </w:pPr>
    </w:p>
    <w:p w:rsidR="00EE3C20" w:rsidRPr="0051614E" w:rsidRDefault="00EE3C20" w:rsidP="00EE3C20">
      <w:pPr>
        <w:pBdr>
          <w:top w:val="single" w:sz="4" w:space="1" w:color="438086" w:themeColor="accent2"/>
          <w:left w:val="single" w:sz="4" w:space="2" w:color="438086" w:themeColor="accent2"/>
          <w:bottom w:val="single" w:sz="4" w:space="1" w:color="438086" w:themeColor="accent2"/>
          <w:right w:val="single" w:sz="4" w:space="4" w:color="438086" w:themeColor="accent2"/>
        </w:pBdr>
        <w:contextualSpacing/>
        <w:rPr>
          <w:rFonts w:eastAsia="Times New Roman" w:cs="Times New Roman"/>
          <w:szCs w:val="22"/>
        </w:rPr>
      </w:pPr>
      <w:r>
        <w:rPr>
          <w:rFonts w:eastAsia="Times New Roman" w:cs="Times New Roman"/>
          <w:szCs w:val="22"/>
        </w:rPr>
        <w:t>E</w:t>
      </w:r>
      <w:r w:rsidRPr="0051614E">
        <w:rPr>
          <w:rFonts w:eastAsia="Times New Roman" w:cs="Times New Roman"/>
          <w:szCs w:val="22"/>
        </w:rPr>
        <w:t>l artículo 28.2 de la Ley 39/2015 establece el derecho de los ciudadanos a no aportar información que esté en poder de la administración.</w:t>
      </w:r>
    </w:p>
    <w:p w:rsidR="00EE3C20" w:rsidRPr="0051614E" w:rsidRDefault="00EE3C20" w:rsidP="00EE3C20">
      <w:pPr>
        <w:pBdr>
          <w:top w:val="single" w:sz="4" w:space="1" w:color="438086" w:themeColor="accent2"/>
          <w:left w:val="single" w:sz="4" w:space="2" w:color="438086" w:themeColor="accent2"/>
          <w:bottom w:val="single" w:sz="4" w:space="1" w:color="438086" w:themeColor="accent2"/>
          <w:right w:val="single" w:sz="4" w:space="4" w:color="438086" w:themeColor="accent2"/>
        </w:pBdr>
        <w:contextualSpacing/>
        <w:rPr>
          <w:rFonts w:eastAsia="Times New Roman" w:cs="Times New Roman"/>
          <w:szCs w:val="22"/>
        </w:rPr>
      </w:pPr>
    </w:p>
    <w:p w:rsidR="00EE3C20" w:rsidRDefault="00EE3C20" w:rsidP="00EE3C20">
      <w:pPr>
        <w:pBdr>
          <w:top w:val="single" w:sz="4" w:space="1" w:color="438086" w:themeColor="accent2"/>
          <w:left w:val="single" w:sz="4" w:space="2" w:color="438086" w:themeColor="accent2"/>
          <w:bottom w:val="single" w:sz="4" w:space="1" w:color="438086" w:themeColor="accent2"/>
          <w:right w:val="single" w:sz="4" w:space="4" w:color="438086" w:themeColor="accent2"/>
        </w:pBdr>
        <w:contextualSpacing/>
        <w:rPr>
          <w:rFonts w:eastAsia="Times New Roman" w:cs="Times New Roman"/>
          <w:szCs w:val="22"/>
        </w:rPr>
      </w:pPr>
      <w:r w:rsidRPr="0051614E">
        <w:rPr>
          <w:rFonts w:eastAsia="Times New Roman" w:cs="Times New Roman"/>
          <w:szCs w:val="22"/>
        </w:rPr>
        <w:t>Este es el caso de los documentos de identidad. Por esta razón, este Consejo recomienda que las instituciones que soliciten la acreditación de la identidad por esta vía, valoren, si fuese posible, recurrir a la Plataforma de Intermediación de Datos (PID) que da acceso a numerosos documentos que obran en poder de las administraciones públicas, entre ellos</w:t>
      </w:r>
      <w:r w:rsidR="009C7B1E">
        <w:rPr>
          <w:rFonts w:eastAsia="Times New Roman" w:cs="Times New Roman"/>
          <w:szCs w:val="22"/>
        </w:rPr>
        <w:t>,</w:t>
      </w:r>
      <w:r w:rsidRPr="0051614E">
        <w:rPr>
          <w:rFonts w:eastAsia="Times New Roman" w:cs="Times New Roman"/>
          <w:szCs w:val="22"/>
        </w:rPr>
        <w:t xml:space="preserve"> los documentos de identidad.</w:t>
      </w:r>
    </w:p>
    <w:p w:rsidR="0000250A" w:rsidRDefault="0000250A" w:rsidP="00D67951">
      <w:pPr>
        <w:spacing w:before="120" w:after="120"/>
      </w:pPr>
    </w:p>
    <w:p w:rsidR="00EE3C20" w:rsidRDefault="00EE3C20" w:rsidP="00D67951">
      <w:pPr>
        <w:spacing w:before="120" w:after="120"/>
      </w:pPr>
      <w:r>
        <w:t xml:space="preserve">Por otra parte, </w:t>
      </w:r>
      <w:r w:rsidR="009C7B1E">
        <w:t>un</w:t>
      </w:r>
      <w:r>
        <w:t xml:space="preserve"> organismo que sólo informa sobre el correo postal como medio de presentación de solicitudes, establece como requisito que la solicitud</w:t>
      </w:r>
      <w:r w:rsidR="009C7B1E">
        <w:t xml:space="preserve"> se envíe por este medio contra </w:t>
      </w:r>
      <w:r>
        <w:t>reembolso.</w:t>
      </w:r>
    </w:p>
    <w:p w:rsidR="00EF4390" w:rsidRDefault="00EF4390" w:rsidP="00D67951">
      <w:pPr>
        <w:spacing w:before="120" w:after="120"/>
      </w:pPr>
    </w:p>
    <w:p w:rsidR="00EE3C20" w:rsidRPr="0051614E" w:rsidRDefault="00B82CC0" w:rsidP="00EE3C20">
      <w:pPr>
        <w:pBdr>
          <w:top w:val="single" w:sz="4" w:space="1" w:color="438086" w:themeColor="accent2"/>
          <w:left w:val="single" w:sz="4" w:space="2" w:color="438086" w:themeColor="accent2"/>
          <w:bottom w:val="single" w:sz="4" w:space="1" w:color="438086" w:themeColor="accent2"/>
          <w:right w:val="single" w:sz="4" w:space="4" w:color="438086" w:themeColor="accent2"/>
        </w:pBdr>
        <w:contextualSpacing/>
        <w:rPr>
          <w:rFonts w:eastAsia="Times New Roman" w:cs="Times New Roman"/>
          <w:szCs w:val="22"/>
        </w:rPr>
      </w:pPr>
      <w:r>
        <w:rPr>
          <w:rFonts w:eastAsia="Times New Roman" w:cs="Times New Roman"/>
          <w:szCs w:val="22"/>
        </w:rPr>
        <w:t>El</w:t>
      </w:r>
      <w:r w:rsidR="00EE3C20" w:rsidRPr="00EE3C20">
        <w:rPr>
          <w:rFonts w:eastAsia="Times New Roman" w:cs="Times New Roman"/>
          <w:szCs w:val="22"/>
        </w:rPr>
        <w:t xml:space="preserve"> artículo 22.4 de la LTAIBG establece que el acceso a la información será gratuito, salvo cuando sea precisa la expedición de copias o la transposición de la información a un formato diferente.</w:t>
      </w:r>
    </w:p>
    <w:p w:rsidR="00EE3C20" w:rsidRDefault="00EE3C20" w:rsidP="00EE3C20">
      <w:pPr>
        <w:spacing w:before="120" w:after="120"/>
        <w:rPr>
          <w:rFonts w:eastAsia="Times New Roman" w:cs="Times New Roman"/>
          <w:szCs w:val="22"/>
        </w:rPr>
      </w:pPr>
    </w:p>
    <w:p w:rsidR="00B82CC0" w:rsidRDefault="00B82CC0" w:rsidP="00B82CC0">
      <w:pPr>
        <w:rPr>
          <w:lang w:bidi="es-ES"/>
        </w:rPr>
      </w:pPr>
      <w:r>
        <w:rPr>
          <w:lang w:bidi="es-ES"/>
        </w:rPr>
        <w:t xml:space="preserve">Finalmente, tres organismos incluyen, como información opcional, entre la que ha de proporcionar quien presente una solicitud, la motivación de la solicitud.  </w:t>
      </w:r>
    </w:p>
    <w:p w:rsidR="00B82CC0" w:rsidRPr="00B82CC0" w:rsidRDefault="00B13AD7" w:rsidP="00B82CC0">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szCs w:val="22"/>
        </w:rPr>
      </w:pPr>
      <w:r>
        <w:rPr>
          <w:rFonts w:eastAsia="Times New Roman" w:cs="Times New Roman"/>
          <w:szCs w:val="22"/>
        </w:rPr>
        <w:t>Aunque se contemple como una información que pueden aportar o no los solicitantes de información, e</w:t>
      </w:r>
      <w:r w:rsidR="00B82CC0" w:rsidRPr="00B82CC0">
        <w:rPr>
          <w:rFonts w:eastAsia="Times New Roman" w:cs="Times New Roman"/>
          <w:szCs w:val="22"/>
        </w:rPr>
        <w:t>ste Consejo recuerda  que el artículo 17.3 de la LTAIBG,  establece que los solicitantes de información pública no están o</w:t>
      </w:r>
      <w:r>
        <w:rPr>
          <w:rFonts w:eastAsia="Times New Roman" w:cs="Times New Roman"/>
          <w:szCs w:val="22"/>
        </w:rPr>
        <w:t xml:space="preserve">bligados a motivar la solicitud. Por esta razón, se recomienda que se </w:t>
      </w:r>
      <w:r w:rsidR="00B56352">
        <w:rPr>
          <w:rFonts w:eastAsia="Times New Roman" w:cs="Times New Roman"/>
          <w:szCs w:val="22"/>
        </w:rPr>
        <w:t>prescinda de esta información.</w:t>
      </w:r>
      <w:r>
        <w:rPr>
          <w:rFonts w:eastAsia="Times New Roman" w:cs="Times New Roman"/>
          <w:szCs w:val="22"/>
        </w:rPr>
        <w:t xml:space="preserve"> </w:t>
      </w:r>
    </w:p>
    <w:p w:rsidR="00B82CC0" w:rsidRDefault="00B82CC0" w:rsidP="00AF32A5">
      <w:pPr>
        <w:spacing w:before="120" w:after="120"/>
        <w:rPr>
          <w:rFonts w:eastAsia="Times New Roman" w:cs="Times New Roman"/>
          <w:b/>
          <w:bCs/>
          <w:color w:val="325F64" w:themeColor="accent2" w:themeShade="BF"/>
          <w:szCs w:val="22"/>
          <w:lang w:bidi="es-ES"/>
        </w:rPr>
      </w:pPr>
    </w:p>
    <w:p w:rsidR="00AF32A5" w:rsidRDefault="00AF32A5" w:rsidP="00AF32A5">
      <w:pPr>
        <w:spacing w:before="120" w:after="120"/>
        <w:rPr>
          <w:rFonts w:eastAsia="Times New Roman" w:cs="Times New Roman"/>
          <w:b/>
          <w:bCs/>
          <w:color w:val="325F64" w:themeColor="accent2" w:themeShade="BF"/>
          <w:szCs w:val="22"/>
          <w:lang w:bidi="es-ES"/>
        </w:rPr>
      </w:pPr>
      <w:r>
        <w:rPr>
          <w:rFonts w:eastAsia="Times New Roman" w:cs="Times New Roman"/>
          <w:b/>
          <w:bCs/>
          <w:color w:val="325F64" w:themeColor="accent2" w:themeShade="BF"/>
          <w:szCs w:val="22"/>
          <w:lang w:bidi="es-ES"/>
        </w:rPr>
        <w:t>L</w:t>
      </w:r>
      <w:r w:rsidRPr="00E93B9C">
        <w:rPr>
          <w:rFonts w:eastAsia="Times New Roman" w:cs="Times New Roman"/>
          <w:b/>
          <w:bCs/>
          <w:color w:val="325F64" w:themeColor="accent2" w:themeShade="BF"/>
          <w:szCs w:val="22"/>
          <w:lang w:bidi="es-ES"/>
        </w:rPr>
        <w:t>a gestión de las solicitudes de acceso</w:t>
      </w:r>
      <w:r>
        <w:rPr>
          <w:rFonts w:eastAsia="Times New Roman" w:cs="Times New Roman"/>
          <w:b/>
          <w:bCs/>
          <w:color w:val="325F64" w:themeColor="accent2" w:themeShade="BF"/>
          <w:szCs w:val="22"/>
          <w:lang w:bidi="es-ES"/>
        </w:rPr>
        <w:t>, en general se ajusta al procedimiento establecido por la LTAIBG, aunque</w:t>
      </w:r>
      <w:r w:rsidR="00B56352">
        <w:rPr>
          <w:rFonts w:eastAsia="Times New Roman" w:cs="Times New Roman"/>
          <w:b/>
          <w:bCs/>
          <w:color w:val="325F64" w:themeColor="accent2" w:themeShade="BF"/>
          <w:szCs w:val="22"/>
          <w:lang w:bidi="es-ES"/>
        </w:rPr>
        <w:t xml:space="preserve">, como en 2021, </w:t>
      </w:r>
      <w:r>
        <w:rPr>
          <w:rFonts w:eastAsia="Times New Roman" w:cs="Times New Roman"/>
          <w:b/>
          <w:bCs/>
          <w:color w:val="325F64" w:themeColor="accent2" w:themeShade="BF"/>
          <w:szCs w:val="22"/>
          <w:lang w:bidi="es-ES"/>
        </w:rPr>
        <w:t xml:space="preserve"> se observan excepciones que se dan en todas las fases del procedimiento.</w:t>
      </w:r>
    </w:p>
    <w:p w:rsidR="00EF4390" w:rsidRDefault="00EF4390" w:rsidP="00AF32A5">
      <w:pPr>
        <w:spacing w:before="120" w:after="120"/>
        <w:rPr>
          <w:rFonts w:eastAsia="Times New Roman" w:cs="Times New Roman"/>
          <w:bCs/>
          <w:szCs w:val="22"/>
          <w:lang w:bidi="es-ES"/>
        </w:rPr>
      </w:pPr>
    </w:p>
    <w:p w:rsidR="00AF32A5" w:rsidRDefault="00B56352" w:rsidP="00AF32A5">
      <w:pPr>
        <w:spacing w:before="120" w:after="120"/>
        <w:rPr>
          <w:rFonts w:eastAsia="Times New Roman" w:cs="Times New Roman"/>
          <w:bCs/>
          <w:szCs w:val="22"/>
          <w:lang w:bidi="es-ES"/>
        </w:rPr>
      </w:pPr>
      <w:r>
        <w:rPr>
          <w:rFonts w:eastAsia="Times New Roman" w:cs="Times New Roman"/>
          <w:bCs/>
          <w:szCs w:val="22"/>
          <w:lang w:bidi="es-ES"/>
        </w:rPr>
        <w:t xml:space="preserve">Más de la mitad </w:t>
      </w:r>
      <w:r w:rsidR="00AF32A5">
        <w:rPr>
          <w:rFonts w:eastAsia="Times New Roman" w:cs="Times New Roman"/>
          <w:bCs/>
          <w:szCs w:val="22"/>
          <w:lang w:bidi="es-ES"/>
        </w:rPr>
        <w:t xml:space="preserve">de las entidades evaluadas </w:t>
      </w:r>
      <w:r>
        <w:rPr>
          <w:rFonts w:eastAsia="Times New Roman" w:cs="Times New Roman"/>
          <w:bCs/>
          <w:szCs w:val="22"/>
          <w:lang w:bidi="es-ES"/>
        </w:rPr>
        <w:t xml:space="preserve">no </w:t>
      </w:r>
      <w:r w:rsidR="00AF32A5">
        <w:rPr>
          <w:rFonts w:eastAsia="Times New Roman" w:cs="Times New Roman"/>
          <w:bCs/>
          <w:szCs w:val="22"/>
          <w:lang w:bidi="es-ES"/>
        </w:rPr>
        <w:t xml:space="preserve">emite acuse de recibo de la solicitud presentada </w:t>
      </w:r>
      <w:r w:rsidR="002B5BB5">
        <w:rPr>
          <w:rFonts w:eastAsia="Times New Roman" w:cs="Times New Roman"/>
          <w:bCs/>
          <w:szCs w:val="22"/>
          <w:lang w:bidi="es-ES"/>
        </w:rPr>
        <w:t>y</w:t>
      </w:r>
      <w:r w:rsidR="00AF32A5">
        <w:rPr>
          <w:rFonts w:eastAsia="Times New Roman" w:cs="Times New Roman"/>
          <w:bCs/>
          <w:szCs w:val="22"/>
          <w:lang w:bidi="es-ES"/>
        </w:rPr>
        <w:t xml:space="preserve"> </w:t>
      </w:r>
      <w:r>
        <w:rPr>
          <w:rFonts w:eastAsia="Times New Roman" w:cs="Times New Roman"/>
          <w:bCs/>
          <w:szCs w:val="22"/>
          <w:lang w:bidi="es-ES"/>
        </w:rPr>
        <w:t>sólo 5</w:t>
      </w:r>
      <w:r w:rsidR="00AF32A5">
        <w:rPr>
          <w:rFonts w:eastAsia="Times New Roman" w:cs="Times New Roman"/>
          <w:bCs/>
          <w:szCs w:val="22"/>
          <w:lang w:bidi="es-ES"/>
        </w:rPr>
        <w:t xml:space="preserve"> comunica</w:t>
      </w:r>
      <w:r w:rsidR="002B5BB5">
        <w:rPr>
          <w:rFonts w:eastAsia="Times New Roman" w:cs="Times New Roman"/>
          <w:bCs/>
          <w:szCs w:val="22"/>
          <w:lang w:bidi="es-ES"/>
        </w:rPr>
        <w:t>n</w:t>
      </w:r>
      <w:r w:rsidR="00AF32A5">
        <w:rPr>
          <w:rFonts w:eastAsia="Times New Roman" w:cs="Times New Roman"/>
          <w:bCs/>
          <w:szCs w:val="22"/>
          <w:lang w:bidi="es-ES"/>
        </w:rPr>
        <w:t xml:space="preserve"> el inicio de la tramitación</w:t>
      </w:r>
      <w:r w:rsidR="002B5BB5">
        <w:rPr>
          <w:rFonts w:eastAsia="Times New Roman" w:cs="Times New Roman"/>
          <w:bCs/>
          <w:szCs w:val="22"/>
          <w:lang w:bidi="es-ES"/>
        </w:rPr>
        <w:t xml:space="preserve">. </w:t>
      </w:r>
    </w:p>
    <w:p w:rsidR="00AF32A5" w:rsidRDefault="002B5BB5" w:rsidP="00AF32A5">
      <w:pPr>
        <w:spacing w:before="120" w:after="120"/>
        <w:rPr>
          <w:rFonts w:eastAsia="Times New Roman" w:cs="Times New Roman"/>
          <w:bCs/>
          <w:color w:val="FF0000"/>
          <w:szCs w:val="22"/>
          <w:lang w:bidi="es-ES"/>
        </w:rPr>
      </w:pPr>
      <w:r>
        <w:rPr>
          <w:rFonts w:eastAsia="Times New Roman" w:cs="Times New Roman"/>
          <w:szCs w:val="24"/>
          <w:lang w:bidi="es-ES"/>
        </w:rPr>
        <w:t xml:space="preserve">En </w:t>
      </w:r>
      <w:r w:rsidR="00B56352">
        <w:rPr>
          <w:rFonts w:eastAsia="Times New Roman" w:cs="Times New Roman"/>
          <w:szCs w:val="24"/>
          <w:lang w:bidi="es-ES"/>
        </w:rPr>
        <w:t>dos</w:t>
      </w:r>
      <w:r>
        <w:rPr>
          <w:rFonts w:eastAsia="Times New Roman" w:cs="Times New Roman"/>
          <w:szCs w:val="24"/>
          <w:lang w:bidi="es-ES"/>
        </w:rPr>
        <w:t xml:space="preserve"> casos la fecha de inicio del cómputo del plazo para resolver que se comunica no se corresponde con la fecha de</w:t>
      </w:r>
      <w:r w:rsidR="00483ABF">
        <w:rPr>
          <w:rFonts w:eastAsia="Times New Roman" w:cs="Times New Roman"/>
          <w:szCs w:val="24"/>
          <w:lang w:bidi="es-ES"/>
        </w:rPr>
        <w:t xml:space="preserve"> presentación de</w:t>
      </w:r>
      <w:r>
        <w:rPr>
          <w:rFonts w:eastAsia="Times New Roman" w:cs="Times New Roman"/>
          <w:szCs w:val="24"/>
          <w:lang w:bidi="es-ES"/>
        </w:rPr>
        <w:t xml:space="preserve"> la solicitud. </w:t>
      </w:r>
      <w:r w:rsidR="00483ABF">
        <w:rPr>
          <w:rFonts w:eastAsia="Times New Roman" w:cs="Times New Roman"/>
          <w:szCs w:val="24"/>
          <w:lang w:bidi="es-ES"/>
        </w:rPr>
        <w:t>E</w:t>
      </w:r>
      <w:r>
        <w:rPr>
          <w:rFonts w:eastAsia="Times New Roman" w:cs="Times New Roman"/>
          <w:szCs w:val="24"/>
          <w:lang w:bidi="es-ES"/>
        </w:rPr>
        <w:t xml:space="preserve">sta diferencia </w:t>
      </w:r>
      <w:r w:rsidR="00483ABF">
        <w:rPr>
          <w:rFonts w:eastAsia="Times New Roman" w:cs="Times New Roman"/>
          <w:szCs w:val="24"/>
          <w:lang w:bidi="es-ES"/>
        </w:rPr>
        <w:t>oscila entre 11 y 14 días</w:t>
      </w:r>
      <w:r w:rsidR="00124764">
        <w:rPr>
          <w:rFonts w:eastAsia="Times New Roman" w:cs="Times New Roman"/>
          <w:szCs w:val="24"/>
          <w:lang w:bidi="es-ES"/>
        </w:rPr>
        <w:t>, lo que implica una ampliación “de facto” del plazo para resolver</w:t>
      </w:r>
      <w:r>
        <w:rPr>
          <w:rFonts w:eastAsia="Times New Roman" w:cs="Times New Roman"/>
          <w:szCs w:val="24"/>
          <w:lang w:bidi="es-ES"/>
        </w:rPr>
        <w:t>.</w:t>
      </w:r>
      <w:r w:rsidR="00162C20">
        <w:rPr>
          <w:rFonts w:eastAsia="Times New Roman" w:cs="Times New Roman"/>
          <w:szCs w:val="24"/>
          <w:lang w:bidi="es-ES"/>
        </w:rPr>
        <w:t xml:space="preserve"> </w:t>
      </w:r>
      <w:r w:rsidR="00E72C72">
        <w:rPr>
          <w:rFonts w:eastAsia="Times New Roman" w:cs="Times New Roman"/>
          <w:szCs w:val="24"/>
          <w:lang w:bidi="es-ES"/>
        </w:rPr>
        <w:t>Este hecho ocurre cuando o bien la solicitud</w:t>
      </w:r>
      <w:r w:rsidR="00162C20">
        <w:rPr>
          <w:rFonts w:eastAsia="Times New Roman" w:cs="Times New Roman"/>
          <w:szCs w:val="24"/>
          <w:lang w:bidi="es-ES"/>
        </w:rPr>
        <w:t xml:space="preserve"> se </w:t>
      </w:r>
      <w:r w:rsidR="00E72C72">
        <w:rPr>
          <w:rFonts w:eastAsia="Times New Roman" w:cs="Times New Roman"/>
          <w:szCs w:val="24"/>
          <w:lang w:bidi="es-ES"/>
        </w:rPr>
        <w:t>presenta</w:t>
      </w:r>
      <w:r w:rsidR="00162C20">
        <w:rPr>
          <w:rFonts w:eastAsia="Times New Roman" w:cs="Times New Roman"/>
          <w:szCs w:val="24"/>
          <w:lang w:bidi="es-ES"/>
        </w:rPr>
        <w:t xml:space="preserve"> a </w:t>
      </w:r>
      <w:r w:rsidR="00162C20">
        <w:rPr>
          <w:rFonts w:eastAsia="Times New Roman" w:cs="Times New Roman"/>
          <w:szCs w:val="24"/>
          <w:lang w:bidi="es-ES"/>
        </w:rPr>
        <w:lastRenderedPageBreak/>
        <w:t>través del Portal AGE</w:t>
      </w:r>
      <w:r w:rsidR="00E72C72">
        <w:rPr>
          <w:rFonts w:eastAsia="Times New Roman" w:cs="Times New Roman"/>
          <w:szCs w:val="24"/>
          <w:lang w:bidi="es-ES"/>
        </w:rPr>
        <w:t xml:space="preserve"> o bien cuando el propia entidad la redirige a la UIT del Ministerio al que está adscrita, siguiendo el protocolo establecido por la UIT.  </w:t>
      </w:r>
    </w:p>
    <w:p w:rsidR="00162C20" w:rsidRDefault="00162C20" w:rsidP="00162C20">
      <w:pPr>
        <w:pBdr>
          <w:top w:val="single" w:sz="4" w:space="1" w:color="008000"/>
          <w:left w:val="single" w:sz="4" w:space="4" w:color="008000"/>
          <w:bottom w:val="single" w:sz="4" w:space="1" w:color="008000"/>
          <w:right w:val="single" w:sz="4" w:space="4" w:color="008000"/>
        </w:pBdr>
        <w:spacing w:before="120" w:after="120"/>
        <w:rPr>
          <w:rFonts w:eastAsia="Times New Roman" w:cs="Times New Roman"/>
          <w:szCs w:val="24"/>
          <w:lang w:bidi="es-ES"/>
        </w:rPr>
      </w:pPr>
      <w:r w:rsidRPr="00162C20">
        <w:rPr>
          <w:rFonts w:eastAsia="Times New Roman" w:cs="Times New Roman"/>
          <w:szCs w:val="24"/>
          <w:lang w:bidi="es-ES"/>
        </w:rPr>
        <w:t xml:space="preserve">Este Consejo </w:t>
      </w:r>
      <w:r>
        <w:rPr>
          <w:rFonts w:eastAsia="Times New Roman" w:cs="Times New Roman"/>
          <w:szCs w:val="24"/>
          <w:lang w:bidi="es-ES"/>
        </w:rPr>
        <w:t>recuerda</w:t>
      </w:r>
      <w:r w:rsidRPr="00162C20">
        <w:rPr>
          <w:rFonts w:eastAsia="Times New Roman" w:cs="Times New Roman"/>
          <w:szCs w:val="24"/>
          <w:lang w:bidi="es-ES"/>
        </w:rPr>
        <w:t xml:space="preserve"> que el artículo 21.3 b) de la Ley 39/2015, de</w:t>
      </w:r>
      <w:r>
        <w:rPr>
          <w:rFonts w:eastAsia="Times New Roman" w:cs="Times New Roman"/>
          <w:szCs w:val="24"/>
          <w:lang w:bidi="es-ES"/>
        </w:rPr>
        <w:t xml:space="preserve"> </w:t>
      </w:r>
      <w:r w:rsidRPr="00162C20">
        <w:rPr>
          <w:rFonts w:eastAsia="Times New Roman" w:cs="Times New Roman"/>
          <w:szCs w:val="24"/>
          <w:lang w:bidi="es-ES"/>
        </w:rPr>
        <w:t>1 de octubre</w:t>
      </w:r>
      <w:r>
        <w:rPr>
          <w:rFonts w:eastAsia="Times New Roman" w:cs="Times New Roman"/>
          <w:szCs w:val="24"/>
          <w:lang w:bidi="es-ES"/>
        </w:rPr>
        <w:t>,</w:t>
      </w:r>
      <w:r w:rsidRPr="00162C20">
        <w:rPr>
          <w:rFonts w:eastAsia="Times New Roman" w:cs="Times New Roman"/>
          <w:szCs w:val="24"/>
          <w:lang w:bidi="es-ES"/>
        </w:rPr>
        <w:t xml:space="preserve"> dispone expresamente que el plazo se </w:t>
      </w:r>
      <w:proofErr w:type="gramStart"/>
      <w:r w:rsidRPr="00162C20">
        <w:rPr>
          <w:rFonts w:eastAsia="Times New Roman" w:cs="Times New Roman"/>
          <w:szCs w:val="24"/>
          <w:lang w:bidi="es-ES"/>
        </w:rPr>
        <w:t>contará</w:t>
      </w:r>
      <w:proofErr w:type="gramEnd"/>
      <w:r w:rsidRPr="00162C20">
        <w:rPr>
          <w:rFonts w:eastAsia="Times New Roman" w:cs="Times New Roman"/>
          <w:szCs w:val="24"/>
          <w:lang w:bidi="es-ES"/>
        </w:rPr>
        <w:t xml:space="preserve"> en los procedimientos “</w:t>
      </w:r>
      <w:r w:rsidRPr="00483ABF">
        <w:rPr>
          <w:rFonts w:eastAsia="Times New Roman" w:cs="Times New Roman"/>
          <w:i/>
          <w:szCs w:val="24"/>
          <w:lang w:bidi="es-ES"/>
        </w:rPr>
        <w:t>iniciados a solicitud del interesado, desde la fecha en que la solicitud haya tenido entrada en el registro electrónico de la Administración u Organismo competente para su tramitación</w:t>
      </w:r>
      <w:r w:rsidRPr="00162C20">
        <w:rPr>
          <w:rFonts w:eastAsia="Times New Roman" w:cs="Times New Roman"/>
          <w:szCs w:val="24"/>
          <w:lang w:bidi="es-ES"/>
        </w:rPr>
        <w:t xml:space="preserve">”. </w:t>
      </w:r>
    </w:p>
    <w:p w:rsidR="00AF32A5" w:rsidRDefault="00162C20" w:rsidP="00162C20">
      <w:pPr>
        <w:pBdr>
          <w:top w:val="single" w:sz="4" w:space="1" w:color="008000"/>
          <w:left w:val="single" w:sz="4" w:space="4" w:color="008000"/>
          <w:bottom w:val="single" w:sz="4" w:space="1" w:color="008000"/>
          <w:right w:val="single" w:sz="4" w:space="4" w:color="008000"/>
        </w:pBdr>
        <w:spacing w:before="120" w:after="120"/>
        <w:rPr>
          <w:rFonts w:eastAsia="Times New Roman" w:cs="Times New Roman"/>
          <w:szCs w:val="24"/>
          <w:lang w:bidi="es-ES"/>
        </w:rPr>
      </w:pPr>
      <w:r w:rsidRPr="00162C20">
        <w:rPr>
          <w:rFonts w:eastAsia="Times New Roman" w:cs="Times New Roman"/>
          <w:szCs w:val="24"/>
          <w:lang w:bidi="es-ES"/>
        </w:rPr>
        <w:t>En este sentido es importante reseñar que la “Guía básica de tramitación de las solicitudes de derecho de acceso a la información pública” de la Dirección General de Gobernanza Pública en su página quince interpreta el  artículo 20.1 de la LTAIBG en el sentido de que el  cómputo de plazos para notificar la resolución se inicia una vez que la UIT haya realizado el correspondiente el análisis formal de las solicitudes de acceso a la información pública y dado traslado del expediente al centro directivo u organismo dependiente que sea competente para</w:t>
      </w:r>
      <w:r w:rsidRPr="00162C20">
        <w:rPr>
          <w:rFonts w:eastAsia="Times New Roman" w:cs="Times New Roman"/>
          <w:bCs/>
          <w:color w:val="FF0000"/>
          <w:szCs w:val="22"/>
          <w:lang w:bidi="es-ES"/>
        </w:rPr>
        <w:t xml:space="preserve"> </w:t>
      </w:r>
      <w:r w:rsidRPr="00162C20">
        <w:rPr>
          <w:rFonts w:eastAsia="Times New Roman" w:cs="Times New Roman"/>
          <w:szCs w:val="24"/>
          <w:lang w:bidi="es-ES"/>
        </w:rPr>
        <w:t>resolver, lo que no resulta coherente con lo establecido en el artículo 21.3 b) de la Ley 39/2015.</w:t>
      </w:r>
    </w:p>
    <w:p w:rsidR="00162C20" w:rsidRDefault="00162C20" w:rsidP="00162C20">
      <w:pPr>
        <w:pBdr>
          <w:top w:val="single" w:sz="4" w:space="1" w:color="008000"/>
          <w:left w:val="single" w:sz="4" w:space="4" w:color="008000"/>
          <w:bottom w:val="single" w:sz="4" w:space="1" w:color="008000"/>
          <w:right w:val="single" w:sz="4" w:space="4" w:color="008000"/>
        </w:pBdr>
        <w:spacing w:before="120" w:after="120"/>
        <w:rPr>
          <w:rFonts w:eastAsia="Times New Roman" w:cs="Times New Roman"/>
          <w:szCs w:val="24"/>
          <w:lang w:bidi="es-ES"/>
        </w:rPr>
      </w:pPr>
      <w:r>
        <w:rPr>
          <w:rFonts w:eastAsia="Times New Roman" w:cs="Times New Roman"/>
          <w:szCs w:val="24"/>
          <w:lang w:bidi="es-ES"/>
        </w:rPr>
        <w:t xml:space="preserve">Esta es una de las disfunciones, </w:t>
      </w:r>
      <w:r w:rsidR="00EF4390">
        <w:rPr>
          <w:rFonts w:eastAsia="Times New Roman" w:cs="Times New Roman"/>
          <w:szCs w:val="24"/>
          <w:lang w:bidi="es-ES"/>
        </w:rPr>
        <w:t xml:space="preserve">que </w:t>
      </w:r>
      <w:r>
        <w:rPr>
          <w:rFonts w:eastAsia="Times New Roman" w:cs="Times New Roman"/>
          <w:szCs w:val="24"/>
          <w:lang w:bidi="es-ES"/>
        </w:rPr>
        <w:t xml:space="preserve">genera la presentación de solicitudes </w:t>
      </w:r>
      <w:r w:rsidR="00E72C72">
        <w:rPr>
          <w:rFonts w:eastAsia="Times New Roman" w:cs="Times New Roman"/>
          <w:szCs w:val="24"/>
          <w:lang w:bidi="es-ES"/>
        </w:rPr>
        <w:t xml:space="preserve">dirigidas a organismos o entidades dependientes </w:t>
      </w:r>
      <w:r>
        <w:rPr>
          <w:rFonts w:eastAsia="Times New Roman" w:cs="Times New Roman"/>
          <w:szCs w:val="24"/>
          <w:lang w:bidi="es-ES"/>
        </w:rPr>
        <w:t>a través del Portal de Transparencia de la AGE,</w:t>
      </w:r>
      <w:r w:rsidR="00E72C72">
        <w:rPr>
          <w:rFonts w:eastAsia="Times New Roman" w:cs="Times New Roman"/>
          <w:szCs w:val="24"/>
          <w:lang w:bidi="es-ES"/>
        </w:rPr>
        <w:t xml:space="preserve"> </w:t>
      </w:r>
      <w:r>
        <w:rPr>
          <w:rFonts w:eastAsia="Times New Roman" w:cs="Times New Roman"/>
          <w:szCs w:val="24"/>
          <w:lang w:bidi="es-ES"/>
        </w:rPr>
        <w:t>ya que</w:t>
      </w:r>
      <w:r w:rsidR="00E72C72">
        <w:rPr>
          <w:rFonts w:eastAsia="Times New Roman" w:cs="Times New Roman"/>
          <w:szCs w:val="24"/>
          <w:lang w:bidi="es-ES"/>
        </w:rPr>
        <w:t>,</w:t>
      </w:r>
      <w:r>
        <w:rPr>
          <w:rFonts w:eastAsia="Times New Roman" w:cs="Times New Roman"/>
          <w:szCs w:val="24"/>
          <w:lang w:bidi="es-ES"/>
        </w:rPr>
        <w:t xml:space="preserve"> en general, el órgano competente para resolver no es el Ministerio al que se adscribe o vincula el organismo destinatario de la solicitud.  </w:t>
      </w:r>
    </w:p>
    <w:p w:rsidR="00E72C72" w:rsidRPr="00162C20" w:rsidRDefault="00E72C72" w:rsidP="00162C20">
      <w:pPr>
        <w:pBdr>
          <w:top w:val="single" w:sz="4" w:space="1" w:color="008000"/>
          <w:left w:val="single" w:sz="4" w:space="4" w:color="008000"/>
          <w:bottom w:val="single" w:sz="4" w:space="1" w:color="008000"/>
          <w:right w:val="single" w:sz="4" w:space="4" w:color="008000"/>
        </w:pBdr>
        <w:spacing w:before="120" w:after="120"/>
        <w:rPr>
          <w:rFonts w:eastAsia="Times New Roman" w:cs="Times New Roman"/>
          <w:szCs w:val="24"/>
          <w:lang w:bidi="es-ES"/>
        </w:rPr>
      </w:pPr>
      <w:r>
        <w:rPr>
          <w:rFonts w:eastAsia="Times New Roman" w:cs="Times New Roman"/>
          <w:szCs w:val="24"/>
          <w:lang w:bidi="es-ES"/>
        </w:rPr>
        <w:t>Por otra parte</w:t>
      </w:r>
      <w:r>
        <w:t xml:space="preserve">, parece que en el caso de las </w:t>
      </w:r>
      <w:r w:rsidRPr="00E72C72">
        <w:rPr>
          <w:rFonts w:eastAsia="Times New Roman" w:cs="Times New Roman"/>
          <w:szCs w:val="24"/>
          <w:lang w:bidi="es-ES"/>
        </w:rPr>
        <w:t>MATEPSS, el plazo de resolución se inicia cuando la solicitud tiene entrada en la DG de Ordenación de la Seguridad Social</w:t>
      </w:r>
      <w:r w:rsidR="00A239A9">
        <w:rPr>
          <w:rFonts w:eastAsia="Times New Roman" w:cs="Times New Roman"/>
          <w:szCs w:val="24"/>
          <w:lang w:bidi="es-ES"/>
        </w:rPr>
        <w:t>,</w:t>
      </w:r>
      <w:r w:rsidRPr="00E72C72">
        <w:rPr>
          <w:rFonts w:eastAsia="Times New Roman" w:cs="Times New Roman"/>
          <w:szCs w:val="24"/>
          <w:lang w:bidi="es-ES"/>
        </w:rPr>
        <w:t xml:space="preserve"> aunque finalmente quien resuelve es la Mutua. A la vista de esta circunstancia, debería abordarse un rediseño del </w:t>
      </w:r>
      <w:r w:rsidR="00A239A9">
        <w:rPr>
          <w:rFonts w:eastAsia="Times New Roman" w:cs="Times New Roman"/>
          <w:szCs w:val="24"/>
          <w:lang w:bidi="es-ES"/>
        </w:rPr>
        <w:t>procedimiento</w:t>
      </w:r>
      <w:r w:rsidRPr="00E72C72">
        <w:rPr>
          <w:rFonts w:eastAsia="Times New Roman" w:cs="Times New Roman"/>
          <w:szCs w:val="24"/>
          <w:lang w:bidi="es-ES"/>
        </w:rPr>
        <w:t xml:space="preserve"> por parte de la UIT de Seguridad Social, ya que </w:t>
      </w:r>
      <w:r w:rsidR="00EF4390">
        <w:rPr>
          <w:rFonts w:eastAsia="Times New Roman" w:cs="Times New Roman"/>
          <w:szCs w:val="24"/>
          <w:lang w:bidi="es-ES"/>
        </w:rPr>
        <w:t>a la luz del circuito recorrido por una solicitud realizada por este Consejo</w:t>
      </w:r>
      <w:r w:rsidR="00A239A9">
        <w:rPr>
          <w:rFonts w:eastAsia="Times New Roman" w:cs="Times New Roman"/>
          <w:szCs w:val="24"/>
          <w:lang w:bidi="es-ES"/>
        </w:rPr>
        <w:t xml:space="preserve"> – recepción de las solicitudes por parte de la Mutua para su posterior remisión a la UIT de Seguridad Social</w:t>
      </w:r>
      <w:r w:rsidR="00EF4390">
        <w:rPr>
          <w:rFonts w:eastAsia="Times New Roman" w:cs="Times New Roman"/>
          <w:szCs w:val="24"/>
          <w:lang w:bidi="es-ES"/>
        </w:rPr>
        <w:t xml:space="preserve"> y finalmente, a la Dirección General de Ordenación de la Seguridad Social</w:t>
      </w:r>
      <w:r w:rsidR="00A239A9">
        <w:rPr>
          <w:rFonts w:eastAsia="Times New Roman" w:cs="Times New Roman"/>
          <w:szCs w:val="24"/>
          <w:lang w:bidi="es-ES"/>
        </w:rPr>
        <w:t>-</w:t>
      </w:r>
      <w:r w:rsidRPr="00E72C72">
        <w:rPr>
          <w:rFonts w:eastAsia="Times New Roman" w:cs="Times New Roman"/>
          <w:szCs w:val="24"/>
          <w:lang w:bidi="es-ES"/>
        </w:rPr>
        <w:t>, parece más lógico que las solicitudes se dirijan en primera instancia a la DG de Ordenación de la Seguridad Social a través de la UIT de Seguridad Social y que ésta las redirija al órgano competente para resolver, que es la Mutua.</w:t>
      </w:r>
    </w:p>
    <w:p w:rsidR="00162C20" w:rsidRDefault="00162C20" w:rsidP="00D55EB5">
      <w:pPr>
        <w:spacing w:before="120" w:after="120"/>
        <w:ind w:left="142"/>
        <w:rPr>
          <w:rFonts w:eastAsia="Times New Roman" w:cs="Times New Roman"/>
          <w:bCs/>
          <w:color w:val="FF0000"/>
          <w:szCs w:val="22"/>
          <w:lang w:bidi="es-ES"/>
        </w:rPr>
      </w:pPr>
    </w:p>
    <w:p w:rsidR="00FE1478" w:rsidRDefault="00124764" w:rsidP="00D67951">
      <w:pPr>
        <w:spacing w:before="120" w:after="120"/>
        <w:ind w:left="142"/>
        <w:rPr>
          <w:rFonts w:eastAsia="Times New Roman" w:cs="Times New Roman"/>
          <w:bCs/>
          <w:szCs w:val="22"/>
          <w:lang w:bidi="es-ES"/>
        </w:rPr>
      </w:pPr>
      <w:r>
        <w:rPr>
          <w:rFonts w:eastAsia="Times New Roman" w:cs="Times New Roman"/>
          <w:bCs/>
          <w:szCs w:val="22"/>
          <w:lang w:bidi="es-ES"/>
        </w:rPr>
        <w:t xml:space="preserve">No se tiene constancia de la emisión de respuesta a la solicitud presentada por parte de </w:t>
      </w:r>
      <w:r w:rsidR="00A239A9">
        <w:rPr>
          <w:rFonts w:eastAsia="Times New Roman" w:cs="Times New Roman"/>
          <w:bCs/>
          <w:szCs w:val="22"/>
          <w:lang w:bidi="es-ES"/>
        </w:rPr>
        <w:t>10</w:t>
      </w:r>
      <w:r>
        <w:rPr>
          <w:rFonts w:eastAsia="Times New Roman" w:cs="Times New Roman"/>
          <w:bCs/>
          <w:szCs w:val="22"/>
          <w:lang w:bidi="es-ES"/>
        </w:rPr>
        <w:t xml:space="preserve"> entidades, </w:t>
      </w:r>
      <w:r w:rsidRPr="00124764">
        <w:rPr>
          <w:rFonts w:eastAsia="Times New Roman" w:cs="Times New Roman"/>
          <w:bCs/>
          <w:szCs w:val="22"/>
          <w:lang w:bidi="es-ES"/>
        </w:rPr>
        <w:t>por lo que cabe entender que la solicitud ha sido denegada por silencio administrativo al haber transcurrido el plazo de un mes sin obtener respuesta.</w:t>
      </w:r>
    </w:p>
    <w:p w:rsidR="00EF4390" w:rsidRDefault="00EF4390" w:rsidP="00D67951">
      <w:pPr>
        <w:spacing w:before="120" w:after="120"/>
        <w:ind w:left="142"/>
        <w:rPr>
          <w:rFonts w:eastAsia="Times New Roman" w:cs="Times New Roman"/>
          <w:bCs/>
          <w:szCs w:val="22"/>
          <w:lang w:bidi="es-ES"/>
        </w:rPr>
      </w:pPr>
    </w:p>
    <w:p w:rsidR="00391F22" w:rsidRPr="00124764" w:rsidRDefault="00391F22" w:rsidP="00391F22">
      <w:pPr>
        <w:pBdr>
          <w:top w:val="single" w:sz="4" w:space="1" w:color="008000"/>
          <w:left w:val="single" w:sz="4" w:space="4" w:color="008000"/>
          <w:bottom w:val="single" w:sz="4" w:space="0" w:color="008000"/>
          <w:right w:val="single" w:sz="4" w:space="4" w:color="008000"/>
        </w:pBdr>
        <w:ind w:left="142"/>
        <w:contextualSpacing/>
        <w:rPr>
          <w:rFonts w:eastAsia="Times New Roman" w:cs="Times New Roman"/>
          <w:szCs w:val="22"/>
        </w:rPr>
      </w:pPr>
      <w:r w:rsidRPr="00124764">
        <w:rPr>
          <w:rFonts w:eastAsia="Times New Roman" w:cs="Times New Roman"/>
          <w:szCs w:val="22"/>
        </w:rPr>
        <w:t>Aunque se contemple</w:t>
      </w:r>
      <w:r>
        <w:rPr>
          <w:rFonts w:eastAsia="Times New Roman" w:cs="Times New Roman"/>
          <w:szCs w:val="22"/>
        </w:rPr>
        <w:t xml:space="preserve"> en la LTAIBG</w:t>
      </w:r>
      <w:r w:rsidRPr="00124764">
        <w:rPr>
          <w:rFonts w:eastAsia="Times New Roman" w:cs="Times New Roman"/>
          <w:szCs w:val="22"/>
        </w:rPr>
        <w:t xml:space="preserve"> la posibilidad de desestimación de solicitudes de información por silencio administrativo, </w:t>
      </w:r>
      <w:r>
        <w:rPr>
          <w:rFonts w:eastAsia="Times New Roman" w:cs="Times New Roman"/>
          <w:szCs w:val="22"/>
        </w:rPr>
        <w:t xml:space="preserve">se </w:t>
      </w:r>
      <w:r w:rsidRPr="00124764">
        <w:rPr>
          <w:rFonts w:eastAsia="Times New Roman" w:cs="Times New Roman"/>
          <w:szCs w:val="22"/>
        </w:rPr>
        <w:t xml:space="preserve">debería </w:t>
      </w:r>
      <w:r w:rsidR="00A239A9">
        <w:rPr>
          <w:rFonts w:eastAsia="Times New Roman" w:cs="Times New Roman"/>
          <w:szCs w:val="22"/>
        </w:rPr>
        <w:t>dictar</w:t>
      </w:r>
      <w:r>
        <w:rPr>
          <w:rFonts w:eastAsia="Times New Roman" w:cs="Times New Roman"/>
          <w:szCs w:val="22"/>
        </w:rPr>
        <w:t xml:space="preserve"> </w:t>
      </w:r>
      <w:r w:rsidRPr="00124764">
        <w:rPr>
          <w:rFonts w:eastAsia="Times New Roman" w:cs="Times New Roman"/>
          <w:szCs w:val="22"/>
        </w:rPr>
        <w:t xml:space="preserve"> resolución expresa </w:t>
      </w:r>
      <w:r w:rsidRPr="00124764">
        <w:rPr>
          <w:rFonts w:eastAsia="Times New Roman" w:cs="Times New Roman"/>
          <w:szCs w:val="22"/>
        </w:rPr>
        <w:lastRenderedPageBreak/>
        <w:t xml:space="preserve">que diera cumplida respuesta a la solicitud, con indicación de los recursos que </w:t>
      </w:r>
      <w:proofErr w:type="gramStart"/>
      <w:r w:rsidRPr="00124764">
        <w:rPr>
          <w:rFonts w:eastAsia="Times New Roman" w:cs="Times New Roman"/>
          <w:szCs w:val="22"/>
        </w:rPr>
        <w:t>contra</w:t>
      </w:r>
      <w:proofErr w:type="gramEnd"/>
      <w:r w:rsidRPr="00124764">
        <w:rPr>
          <w:rFonts w:eastAsia="Times New Roman" w:cs="Times New Roman"/>
          <w:szCs w:val="22"/>
        </w:rPr>
        <w:t xml:space="preserve"> la misma procedan, órgano ante el que presentarlos y el plazo para interponerlos. </w:t>
      </w:r>
    </w:p>
    <w:p w:rsidR="00391F22" w:rsidRDefault="00391F22" w:rsidP="00D67951">
      <w:pPr>
        <w:spacing w:before="120" w:after="120"/>
        <w:ind w:left="142"/>
        <w:rPr>
          <w:rFonts w:eastAsia="Times New Roman" w:cs="Times New Roman"/>
          <w:bCs/>
          <w:szCs w:val="22"/>
          <w:lang w:bidi="es-ES"/>
        </w:rPr>
      </w:pPr>
    </w:p>
    <w:p w:rsidR="00547E59" w:rsidRDefault="00391F22" w:rsidP="00391F22">
      <w:pPr>
        <w:spacing w:before="120" w:after="120"/>
        <w:ind w:left="142"/>
        <w:rPr>
          <w:rFonts w:eastAsia="Times New Roman" w:cs="Times New Roman"/>
          <w:szCs w:val="22"/>
        </w:rPr>
      </w:pPr>
      <w:r>
        <w:rPr>
          <w:rFonts w:eastAsia="Times New Roman" w:cs="Times New Roman"/>
          <w:bCs/>
          <w:szCs w:val="22"/>
          <w:lang w:bidi="es-ES"/>
        </w:rPr>
        <w:t xml:space="preserve">Por otra parte, no en todos los casos </w:t>
      </w:r>
      <w:r w:rsidR="00A239A9">
        <w:rPr>
          <w:rFonts w:eastAsia="Times New Roman" w:cs="Times New Roman"/>
          <w:bCs/>
          <w:szCs w:val="22"/>
          <w:lang w:bidi="es-ES"/>
        </w:rPr>
        <w:t xml:space="preserve">en los que se responde a la solicitud presentada, </w:t>
      </w:r>
      <w:r>
        <w:rPr>
          <w:rFonts w:eastAsia="Times New Roman" w:cs="Times New Roman"/>
          <w:bCs/>
          <w:szCs w:val="22"/>
          <w:lang w:bidi="es-ES"/>
        </w:rPr>
        <w:t>se dicta resolución</w:t>
      </w:r>
      <w:r w:rsidR="00954EA4">
        <w:rPr>
          <w:rFonts w:eastAsia="Times New Roman" w:cs="Times New Roman"/>
          <w:bCs/>
          <w:szCs w:val="22"/>
          <w:lang w:bidi="es-ES"/>
        </w:rPr>
        <w:t>,</w:t>
      </w:r>
      <w:r>
        <w:rPr>
          <w:rFonts w:eastAsia="Times New Roman" w:cs="Times New Roman"/>
          <w:bCs/>
          <w:szCs w:val="22"/>
          <w:lang w:bidi="es-ES"/>
        </w:rPr>
        <w:t xml:space="preserve"> sino que se opta por conceder el acceso a la información remitiéndola mediante un correo electrónico que no contiene pie de recurso, </w:t>
      </w:r>
      <w:r w:rsidRPr="008B6F84">
        <w:rPr>
          <w:rFonts w:eastAsia="Times New Roman" w:cs="Times New Roman"/>
          <w:szCs w:val="22"/>
        </w:rPr>
        <w:t>careciendo en consecuencia, de información sobre los medios de impugnación en caso de disconformidad con la respuesta proporcionada, cuestión sobre la que</w:t>
      </w:r>
      <w:r w:rsidRPr="00CA081B">
        <w:t xml:space="preserve"> </w:t>
      </w:r>
      <w:r w:rsidRPr="00CA081B">
        <w:rPr>
          <w:rFonts w:eastAsia="Times New Roman" w:cs="Times New Roman"/>
          <w:szCs w:val="22"/>
        </w:rPr>
        <w:t>en general</w:t>
      </w:r>
      <w:r>
        <w:rPr>
          <w:rFonts w:eastAsia="Times New Roman" w:cs="Times New Roman"/>
          <w:szCs w:val="22"/>
        </w:rPr>
        <w:t>,</w:t>
      </w:r>
      <w:r w:rsidRPr="00CA081B">
        <w:rPr>
          <w:rFonts w:eastAsia="Times New Roman" w:cs="Times New Roman"/>
          <w:szCs w:val="22"/>
        </w:rPr>
        <w:t xml:space="preserve"> </w:t>
      </w:r>
      <w:r w:rsidRPr="008B6F84">
        <w:rPr>
          <w:rFonts w:eastAsia="Times New Roman" w:cs="Times New Roman"/>
          <w:szCs w:val="22"/>
        </w:rPr>
        <w:t xml:space="preserve">tampoco se informa </w:t>
      </w:r>
      <w:r>
        <w:rPr>
          <w:rFonts w:eastAsia="Times New Roman" w:cs="Times New Roman"/>
          <w:szCs w:val="22"/>
        </w:rPr>
        <w:t xml:space="preserve">en los </w:t>
      </w:r>
      <w:r w:rsidRPr="008B6F84">
        <w:rPr>
          <w:rFonts w:eastAsia="Times New Roman" w:cs="Times New Roman"/>
          <w:szCs w:val="22"/>
        </w:rPr>
        <w:t>Portal</w:t>
      </w:r>
      <w:r>
        <w:rPr>
          <w:rFonts w:eastAsia="Times New Roman" w:cs="Times New Roman"/>
          <w:szCs w:val="22"/>
        </w:rPr>
        <w:t>es</w:t>
      </w:r>
      <w:r w:rsidRPr="008B6F84">
        <w:rPr>
          <w:rFonts w:eastAsia="Times New Roman" w:cs="Times New Roman"/>
          <w:szCs w:val="22"/>
        </w:rPr>
        <w:t xml:space="preserve"> de Transparencia</w:t>
      </w:r>
      <w:r w:rsidR="00547E59">
        <w:rPr>
          <w:rFonts w:eastAsia="Times New Roman" w:cs="Times New Roman"/>
          <w:szCs w:val="22"/>
        </w:rPr>
        <w:t xml:space="preserve">. </w:t>
      </w:r>
    </w:p>
    <w:p w:rsidR="00391F22" w:rsidRDefault="00D97EF9" w:rsidP="00391F22">
      <w:pPr>
        <w:spacing w:before="120" w:after="120"/>
        <w:ind w:left="142"/>
        <w:rPr>
          <w:rFonts w:eastAsia="Times New Roman" w:cs="Times New Roman"/>
          <w:szCs w:val="22"/>
        </w:rPr>
      </w:pPr>
      <w:r>
        <w:rPr>
          <w:rFonts w:eastAsia="Times New Roman" w:cs="Times New Roman"/>
          <w:szCs w:val="22"/>
        </w:rPr>
        <w:t xml:space="preserve">Tres de las resoluciones dictadas también carecen de </w:t>
      </w:r>
      <w:r w:rsidR="00377787">
        <w:rPr>
          <w:rFonts w:eastAsia="Times New Roman" w:cs="Times New Roman"/>
          <w:szCs w:val="22"/>
        </w:rPr>
        <w:t>pie</w:t>
      </w:r>
      <w:r>
        <w:rPr>
          <w:rFonts w:eastAsia="Times New Roman" w:cs="Times New Roman"/>
          <w:szCs w:val="22"/>
        </w:rPr>
        <w:t xml:space="preserve"> de recurso</w:t>
      </w:r>
      <w:r w:rsidR="00377787">
        <w:rPr>
          <w:rFonts w:eastAsia="Times New Roman" w:cs="Times New Roman"/>
          <w:szCs w:val="22"/>
        </w:rPr>
        <w:t xml:space="preserve"> y una se dicta fuera de plazo.</w:t>
      </w:r>
    </w:p>
    <w:p w:rsidR="00377787" w:rsidRDefault="00D97EF9" w:rsidP="00377787">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ind w:left="142"/>
        <w:rPr>
          <w:rFonts w:eastAsia="Times New Roman" w:cs="Times New Roman"/>
          <w:szCs w:val="22"/>
        </w:rPr>
      </w:pPr>
      <w:r w:rsidRPr="00723413">
        <w:rPr>
          <w:rFonts w:eastAsia="Times New Roman" w:cs="Times New Roman"/>
          <w:szCs w:val="22"/>
        </w:rPr>
        <w:t>Aunque el volumen de datos relativos a una información solicitada al amparo de la LTAIBG</w:t>
      </w:r>
      <w:r>
        <w:rPr>
          <w:rFonts w:eastAsia="Times New Roman" w:cs="Times New Roman"/>
          <w:szCs w:val="22"/>
        </w:rPr>
        <w:t>,</w:t>
      </w:r>
      <w:r w:rsidRPr="00723413">
        <w:rPr>
          <w:rFonts w:eastAsia="Times New Roman" w:cs="Times New Roman"/>
          <w:szCs w:val="22"/>
        </w:rPr>
        <w:t xml:space="preserve"> tenga escasa entidad y se considere más ágil proporcionar la información directamente mediante un correo electrónico, </w:t>
      </w:r>
      <w:r>
        <w:rPr>
          <w:rFonts w:eastAsia="Times New Roman" w:cs="Times New Roman"/>
          <w:szCs w:val="22"/>
        </w:rPr>
        <w:t>todas las entidades</w:t>
      </w:r>
      <w:r w:rsidRPr="00723413">
        <w:rPr>
          <w:rFonts w:eastAsia="Times New Roman" w:cs="Times New Roman"/>
          <w:szCs w:val="22"/>
        </w:rPr>
        <w:t xml:space="preserve"> </w:t>
      </w:r>
      <w:r>
        <w:rPr>
          <w:rFonts w:eastAsia="Times New Roman" w:cs="Times New Roman"/>
          <w:szCs w:val="22"/>
        </w:rPr>
        <w:t>deben</w:t>
      </w:r>
      <w:r w:rsidRPr="00723413">
        <w:rPr>
          <w:rFonts w:eastAsia="Times New Roman" w:cs="Times New Roman"/>
          <w:szCs w:val="22"/>
        </w:rPr>
        <w:t xml:space="preserve"> ajustarse al procedimiento establecido y emitir una resolución expresa – no es suficiente un correo electrónico proporcionando la información -</w:t>
      </w:r>
      <w:r w:rsidR="00377787">
        <w:rPr>
          <w:rFonts w:eastAsia="Times New Roman" w:cs="Times New Roman"/>
          <w:szCs w:val="22"/>
        </w:rPr>
        <w:t>.</w:t>
      </w:r>
    </w:p>
    <w:p w:rsidR="00377787" w:rsidRDefault="00377787" w:rsidP="00377787">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ind w:left="142"/>
        <w:rPr>
          <w:rFonts w:eastAsia="Times New Roman" w:cs="Times New Roman"/>
          <w:szCs w:val="22"/>
        </w:rPr>
      </w:pPr>
      <w:r>
        <w:rPr>
          <w:rFonts w:eastAsia="Times New Roman" w:cs="Times New Roman"/>
          <w:szCs w:val="22"/>
        </w:rPr>
        <w:t xml:space="preserve">Por otra parte, las resoluciones dictadas </w:t>
      </w:r>
      <w:r w:rsidRPr="007B30CF">
        <w:rPr>
          <w:rFonts w:eastAsia="Times New Roman" w:cs="Times New Roman"/>
          <w:szCs w:val="22"/>
        </w:rPr>
        <w:t>debe</w:t>
      </w:r>
      <w:r>
        <w:rPr>
          <w:rFonts w:eastAsia="Times New Roman" w:cs="Times New Roman"/>
          <w:szCs w:val="22"/>
        </w:rPr>
        <w:t>n</w:t>
      </w:r>
      <w:r w:rsidRPr="007B30CF">
        <w:rPr>
          <w:rFonts w:eastAsia="Times New Roman" w:cs="Times New Roman"/>
          <w:szCs w:val="22"/>
        </w:rPr>
        <w:t xml:space="preserve"> ajustarse al pro</w:t>
      </w:r>
      <w:r>
        <w:rPr>
          <w:rFonts w:eastAsia="Times New Roman" w:cs="Times New Roman"/>
          <w:szCs w:val="22"/>
        </w:rPr>
        <w:t>cedimiento establecido por las l</w:t>
      </w:r>
      <w:r w:rsidRPr="007B30CF">
        <w:rPr>
          <w:rFonts w:eastAsia="Times New Roman" w:cs="Times New Roman"/>
          <w:szCs w:val="22"/>
        </w:rPr>
        <w:t>eyes 19/2013 y 39/2015: debe</w:t>
      </w:r>
      <w:r>
        <w:rPr>
          <w:rFonts w:eastAsia="Times New Roman" w:cs="Times New Roman"/>
          <w:szCs w:val="22"/>
        </w:rPr>
        <w:t>n</w:t>
      </w:r>
      <w:r w:rsidRPr="007B30CF">
        <w:rPr>
          <w:rFonts w:eastAsia="Times New Roman" w:cs="Times New Roman"/>
          <w:szCs w:val="22"/>
        </w:rPr>
        <w:t xml:space="preserve"> incluir los recursos que contra la misma procedan, órgano administrativo o judicial ante el que presentarlos y el plazo para interponerlos. </w:t>
      </w:r>
    </w:p>
    <w:p w:rsidR="00377787" w:rsidRPr="007B30CF" w:rsidRDefault="00377787" w:rsidP="00377787">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ind w:left="142"/>
        <w:rPr>
          <w:rFonts w:eastAsia="Times New Roman" w:cs="Times New Roman"/>
          <w:szCs w:val="22"/>
        </w:rPr>
      </w:pPr>
      <w:r>
        <w:rPr>
          <w:rFonts w:eastAsia="Times New Roman" w:cs="Times New Roman"/>
          <w:szCs w:val="22"/>
        </w:rPr>
        <w:t>También debería incluirse esta información entre la proporcionada en las webs institucionales de las entidades relativa al ejercicio del derecho de acceso a la información pública.</w:t>
      </w:r>
    </w:p>
    <w:p w:rsidR="00AC149D" w:rsidRDefault="00AC149D" w:rsidP="006B577E">
      <w:pPr>
        <w:rPr>
          <w:lang w:bidi="es-ES"/>
        </w:rPr>
      </w:pPr>
    </w:p>
    <w:p w:rsidR="00E750B6" w:rsidRDefault="00B1253D" w:rsidP="00F73923">
      <w:pPr>
        <w:rPr>
          <w:lang w:bidi="es-ES"/>
        </w:rPr>
      </w:pPr>
      <w:r>
        <w:rPr>
          <w:lang w:bidi="es-ES"/>
        </w:rPr>
        <w:t>Finalmente, aunque en todos los casos la información se proporciona en el momento de la notificación, no siempre se entrega en el formato solicitado</w:t>
      </w:r>
      <w:r w:rsidR="00E750B6" w:rsidRPr="00F73923">
        <w:rPr>
          <w:lang w:bidi="es-ES"/>
        </w:rPr>
        <w:t>.</w:t>
      </w:r>
    </w:p>
    <w:p w:rsidR="00F73923" w:rsidRDefault="00F73923" w:rsidP="00F73923">
      <w:pPr>
        <w:pBdr>
          <w:top w:val="single" w:sz="4" w:space="1" w:color="008000"/>
          <w:left w:val="single" w:sz="4" w:space="4" w:color="008000"/>
          <w:bottom w:val="single" w:sz="4" w:space="1" w:color="008000"/>
          <w:right w:val="single" w:sz="4" w:space="4" w:color="008000"/>
        </w:pBdr>
        <w:rPr>
          <w:lang w:bidi="es-ES"/>
        </w:rPr>
      </w:pPr>
      <w:r>
        <w:rPr>
          <w:lang w:bidi="es-ES"/>
        </w:rPr>
        <w:t xml:space="preserve">Aunque </w:t>
      </w:r>
      <w:r w:rsidR="00547E59" w:rsidRPr="00547E59">
        <w:rPr>
          <w:lang w:bidi="es-ES"/>
        </w:rPr>
        <w:t>por la escasa entidad de los expedientes relativos a la información solicitada,</w:t>
      </w:r>
      <w:r w:rsidR="00547E59">
        <w:rPr>
          <w:lang w:bidi="es-ES"/>
        </w:rPr>
        <w:t xml:space="preserve"> </w:t>
      </w:r>
      <w:r>
        <w:rPr>
          <w:lang w:bidi="es-ES"/>
        </w:rPr>
        <w:t xml:space="preserve">pueda estar justificado que </w:t>
      </w:r>
      <w:r w:rsidR="00547E59">
        <w:rPr>
          <w:lang w:bidi="es-ES"/>
        </w:rPr>
        <w:t>ésta</w:t>
      </w:r>
      <w:r>
        <w:rPr>
          <w:lang w:bidi="es-ES"/>
        </w:rPr>
        <w:t xml:space="preserve"> no se proporcione en el formato </w:t>
      </w:r>
      <w:r w:rsidR="00547E59">
        <w:rPr>
          <w:lang w:bidi="es-ES"/>
        </w:rPr>
        <w:t>indicado</w:t>
      </w:r>
      <w:r>
        <w:rPr>
          <w:lang w:bidi="es-ES"/>
        </w:rPr>
        <w:t>, en la medida de lo posible debería</w:t>
      </w:r>
      <w:r w:rsidR="00547E59">
        <w:rPr>
          <w:lang w:bidi="es-ES"/>
        </w:rPr>
        <w:t>n</w:t>
      </w:r>
      <w:r>
        <w:rPr>
          <w:lang w:bidi="es-ES"/>
        </w:rPr>
        <w:t xml:space="preserve"> </w:t>
      </w:r>
      <w:r w:rsidR="00547E59">
        <w:rPr>
          <w:lang w:bidi="es-ES"/>
        </w:rPr>
        <w:t>respetarse</w:t>
      </w:r>
      <w:r>
        <w:rPr>
          <w:lang w:bidi="es-ES"/>
        </w:rPr>
        <w:t xml:space="preserve"> </w:t>
      </w:r>
      <w:r w:rsidR="00377787">
        <w:rPr>
          <w:lang w:bidi="es-ES"/>
        </w:rPr>
        <w:t>las preferencias de</w:t>
      </w:r>
      <w:r>
        <w:rPr>
          <w:lang w:bidi="es-ES"/>
        </w:rPr>
        <w:t xml:space="preserve"> los solicitantes.</w:t>
      </w:r>
    </w:p>
    <w:p w:rsidR="00E750B6" w:rsidRDefault="00E750B6" w:rsidP="00D67951">
      <w:pPr>
        <w:spacing w:before="120" w:after="120"/>
        <w:ind w:left="142"/>
        <w:rPr>
          <w:rFonts w:eastAsia="Times New Roman" w:cs="Times New Roman"/>
          <w:bCs/>
          <w:color w:val="FF0000"/>
          <w:szCs w:val="22"/>
          <w:lang w:bidi="es-ES"/>
        </w:rPr>
      </w:pPr>
    </w:p>
    <w:p w:rsidR="00377787" w:rsidRDefault="00377787" w:rsidP="00D67951">
      <w:pPr>
        <w:spacing w:before="120" w:after="120"/>
        <w:ind w:left="142"/>
        <w:rPr>
          <w:rFonts w:eastAsia="Times New Roman" w:cs="Times New Roman"/>
          <w:bCs/>
          <w:color w:val="FF0000"/>
          <w:szCs w:val="22"/>
          <w:lang w:bidi="es-ES"/>
        </w:rPr>
      </w:pPr>
      <w:bookmarkStart w:id="60" w:name="_GoBack"/>
      <w:bookmarkEnd w:id="60"/>
    </w:p>
    <w:p w:rsidR="00377787" w:rsidRDefault="00377787" w:rsidP="00D67951">
      <w:pPr>
        <w:spacing w:before="120" w:after="120"/>
        <w:ind w:left="142"/>
        <w:rPr>
          <w:rFonts w:eastAsia="Times New Roman" w:cs="Times New Roman"/>
          <w:bCs/>
          <w:color w:val="FF0000"/>
          <w:szCs w:val="22"/>
          <w:lang w:bidi="es-ES"/>
        </w:rPr>
      </w:pPr>
    </w:p>
    <w:p w:rsidR="00377787" w:rsidRDefault="00377787" w:rsidP="00D67951">
      <w:pPr>
        <w:spacing w:before="120" w:after="120"/>
        <w:ind w:left="142"/>
        <w:rPr>
          <w:rFonts w:eastAsia="Times New Roman" w:cs="Times New Roman"/>
          <w:bCs/>
          <w:color w:val="FF0000"/>
          <w:szCs w:val="22"/>
          <w:lang w:bidi="es-ES"/>
        </w:rPr>
      </w:pPr>
    </w:p>
    <w:p w:rsidR="00377787" w:rsidRDefault="00377787" w:rsidP="00D67951">
      <w:pPr>
        <w:spacing w:before="120" w:after="120"/>
        <w:ind w:left="142"/>
        <w:rPr>
          <w:rFonts w:eastAsia="Times New Roman" w:cs="Times New Roman"/>
          <w:bCs/>
          <w:color w:val="FF0000"/>
          <w:szCs w:val="22"/>
          <w:lang w:bidi="es-ES"/>
        </w:rPr>
      </w:pPr>
    </w:p>
    <w:p w:rsidR="00794A50" w:rsidRPr="00794A50" w:rsidRDefault="00746B31" w:rsidP="00794A50">
      <w:pPr>
        <w:spacing w:line="240" w:lineRule="auto"/>
        <w:jc w:val="center"/>
        <w:rPr>
          <w:rFonts w:eastAsia="Times New Roman" w:cs="Times New Roman"/>
          <w:b/>
          <w:color w:val="000000"/>
          <w:sz w:val="30"/>
          <w:szCs w:val="30"/>
          <w:lang w:eastAsia="en-US"/>
        </w:rPr>
      </w:pPr>
      <w:sdt>
        <w:sdtPr>
          <w:rPr>
            <w:rFonts w:eastAsia="Times New Roman" w:cs="Times New Roman"/>
            <w:b/>
            <w:color w:val="438086" w:themeColor="accent2"/>
            <w:sz w:val="30"/>
            <w:szCs w:val="30"/>
            <w:lang w:eastAsia="en-US"/>
          </w:rPr>
          <w:id w:val="1557966967"/>
        </w:sdtPr>
        <w:sdtEndPr>
          <w:rPr>
            <w:color w:val="auto"/>
          </w:rPr>
        </w:sdtEndPr>
        <w:sdtContent>
          <w:r w:rsidR="00794A50" w:rsidRPr="00FF20A2">
            <w:rPr>
              <w:rFonts w:eastAsia="Times New Roman" w:cs="Times New Roman"/>
              <w:b/>
              <w:color w:val="438086" w:themeColor="accent2"/>
              <w:sz w:val="30"/>
              <w:szCs w:val="30"/>
              <w:lang w:eastAsia="en-US"/>
            </w:rPr>
            <w:t xml:space="preserve">Anexo: Criterios de medición de los atributos de la </w:t>
          </w:r>
          <w:r w:rsidR="00384774">
            <w:rPr>
              <w:rFonts w:eastAsia="Times New Roman" w:cs="Times New Roman"/>
              <w:b/>
              <w:color w:val="438086" w:themeColor="accent2"/>
              <w:sz w:val="30"/>
              <w:szCs w:val="30"/>
              <w:lang w:eastAsia="en-US"/>
            </w:rPr>
            <w:t>i</w:t>
          </w:r>
          <w:r w:rsidR="00794A50" w:rsidRPr="00FF20A2">
            <w:rPr>
              <w:rFonts w:eastAsia="Times New Roman" w:cs="Times New Roman"/>
              <w:b/>
              <w:color w:val="438086" w:themeColor="accent2"/>
              <w:sz w:val="30"/>
              <w:szCs w:val="30"/>
              <w:lang w:eastAsia="en-US"/>
            </w:rPr>
            <w:t>nformación</w:t>
          </w:r>
        </w:sdtContent>
      </w:sdt>
    </w:p>
    <w:tbl>
      <w:tblPr>
        <w:tblW w:w="5694" w:type="pct"/>
        <w:tblInd w:w="-497" w:type="dxa"/>
        <w:tblCellMar>
          <w:left w:w="70" w:type="dxa"/>
          <w:right w:w="70" w:type="dxa"/>
        </w:tblCellMar>
        <w:tblLook w:val="04A0" w:firstRow="1" w:lastRow="0" w:firstColumn="1" w:lastColumn="0" w:noHBand="0" w:noVBand="1"/>
      </w:tblPr>
      <w:tblGrid>
        <w:gridCol w:w="1929"/>
        <w:gridCol w:w="1519"/>
        <w:gridCol w:w="2381"/>
        <w:gridCol w:w="668"/>
        <w:gridCol w:w="3992"/>
      </w:tblGrid>
      <w:tr w:rsidR="00794A50" w:rsidRPr="00794A50" w:rsidTr="00384774">
        <w:trPr>
          <w:trHeight w:val="300"/>
        </w:trPr>
        <w:tc>
          <w:tcPr>
            <w:tcW w:w="919" w:type="pct"/>
            <w:tcBorders>
              <w:top w:val="single" w:sz="4" w:space="0" w:color="auto"/>
              <w:left w:val="single" w:sz="4" w:space="0" w:color="auto"/>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PRINCIPIOS GENERALES</w:t>
            </w:r>
          </w:p>
        </w:tc>
        <w:tc>
          <w:tcPr>
            <w:tcW w:w="724"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CRITERIO</w:t>
            </w:r>
          </w:p>
        </w:tc>
        <w:tc>
          <w:tcPr>
            <w:tcW w:w="1135"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DESCRIPCION</w:t>
            </w:r>
          </w:p>
        </w:tc>
        <w:tc>
          <w:tcPr>
            <w:tcW w:w="318"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VALOR</w:t>
            </w:r>
          </w:p>
        </w:tc>
        <w:tc>
          <w:tcPr>
            <w:tcW w:w="1903"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SIGNIFICADO</w:t>
            </w:r>
          </w:p>
        </w:tc>
      </w:tr>
      <w:tr w:rsidR="00794A50" w:rsidRPr="00794A50" w:rsidTr="00384774">
        <w:trPr>
          <w:trHeight w:val="514"/>
        </w:trPr>
        <w:tc>
          <w:tcPr>
            <w:tcW w:w="9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PUBLICACIÓN</w:t>
            </w: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CONTENIDO</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Se obliga su publicación por la Ley19/21013</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SI se publica el contenido de la obligación exigida</w:t>
            </w:r>
          </w:p>
        </w:tc>
      </w:tr>
      <w:tr w:rsidR="00794A50" w:rsidRPr="00794A50" w:rsidTr="00384774">
        <w:trPr>
          <w:trHeight w:val="323"/>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se publica el contenido de la obligación exigida</w:t>
            </w:r>
          </w:p>
        </w:tc>
      </w:tr>
      <w:tr w:rsidR="00794A50" w:rsidRPr="00794A50" w:rsidTr="00384774">
        <w:trPr>
          <w:trHeight w:val="427"/>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FORMA</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Modo de presentar la información</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De forma DIRECTA en la misma web o con enlace directo a la información</w:t>
            </w:r>
          </w:p>
        </w:tc>
      </w:tr>
      <w:tr w:rsidR="00794A50" w:rsidRPr="00794A50" w:rsidTr="00384774">
        <w:trPr>
          <w:trHeight w:val="419"/>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De forma INDIRECTA pero sin dirigir a la información a la que se refiere</w:t>
            </w:r>
          </w:p>
        </w:tc>
      </w:tr>
      <w:tr w:rsidR="00794A50" w:rsidRPr="00794A50" w:rsidTr="00384774">
        <w:trPr>
          <w:trHeight w:val="411"/>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ACTUALIZACIÓN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Se identifica la fecha de datación de la información</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Tiene FECHA y está dentro de los TRES meses previos a la fecha de consulta</w:t>
            </w:r>
          </w:p>
        </w:tc>
      </w:tr>
      <w:tr w:rsidR="00794A50" w:rsidRPr="00794A50" w:rsidTr="00384774">
        <w:trPr>
          <w:trHeight w:val="416"/>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Tiene FECHA  pero NO ESTA ACTUALIZADO dentro de los tres meses</w:t>
            </w:r>
          </w:p>
        </w:tc>
      </w:tr>
      <w:tr w:rsidR="00794A50" w:rsidRPr="00794A50" w:rsidTr="00384774">
        <w:trPr>
          <w:trHeight w:val="422"/>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SE CONOCE la fecha de publicación de la información</w:t>
            </w:r>
          </w:p>
        </w:tc>
      </w:tr>
      <w:tr w:rsidR="00794A50" w:rsidRPr="00794A50" w:rsidTr="00384774">
        <w:trPr>
          <w:trHeight w:val="300"/>
        </w:trPr>
        <w:tc>
          <w:tcPr>
            <w:tcW w:w="919"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ATRIBUTOS</w:t>
            </w: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ACCESIBILIDAD</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Número de clics para acceder a la información desde la página principal de transparencia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3 clics como máximo</w:t>
            </w:r>
          </w:p>
        </w:tc>
      </w:tr>
      <w:tr w:rsidR="00794A50" w:rsidRPr="00794A50" w:rsidTr="00384774">
        <w:trPr>
          <w:trHeight w:val="1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9</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4</w:t>
            </w:r>
          </w:p>
        </w:tc>
      </w:tr>
      <w:tr w:rsidR="00794A50" w:rsidRPr="00794A50" w:rsidTr="00384774">
        <w:trPr>
          <w:trHeight w:val="245"/>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8</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5</w:t>
            </w:r>
          </w:p>
        </w:tc>
      </w:tr>
      <w:tr w:rsidR="00794A50" w:rsidRPr="00794A50" w:rsidTr="00384774">
        <w:trPr>
          <w:trHeight w:val="26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7</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6</w:t>
            </w:r>
          </w:p>
        </w:tc>
      </w:tr>
      <w:tr w:rsidR="00794A50" w:rsidRPr="00794A50" w:rsidTr="00384774">
        <w:trPr>
          <w:trHeight w:val="28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6</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7</w:t>
            </w:r>
          </w:p>
        </w:tc>
      </w:tr>
      <w:tr w:rsidR="00794A50" w:rsidRPr="00794A50" w:rsidTr="00384774">
        <w:trPr>
          <w:trHeight w:val="2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8</w:t>
            </w:r>
          </w:p>
        </w:tc>
      </w:tr>
      <w:tr w:rsidR="00794A50" w:rsidRPr="00794A50" w:rsidTr="00384774">
        <w:trPr>
          <w:trHeight w:val="13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4</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9</w:t>
            </w:r>
          </w:p>
        </w:tc>
      </w:tr>
      <w:tr w:rsidR="00794A50" w:rsidRPr="00794A50" w:rsidTr="00384774">
        <w:trPr>
          <w:trHeight w:val="20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3</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10</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2</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11</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12</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Más de 12 clics</w:t>
            </w:r>
          </w:p>
        </w:tc>
      </w:tr>
      <w:tr w:rsidR="00794A50" w:rsidRPr="00794A50" w:rsidTr="00384774">
        <w:trPr>
          <w:trHeight w:val="265"/>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CLARIDAD</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Lenguaje fácil de entender por el público general. La información compleja se acompaña de comentarios, glosarios, textos introductorios o similares</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MUY comprensible o con ayudas, en su caso</w:t>
            </w:r>
          </w:p>
        </w:tc>
      </w:tr>
      <w:tr w:rsidR="00794A50" w:rsidRPr="00794A50" w:rsidTr="00384774">
        <w:trPr>
          <w:trHeight w:val="2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9</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8</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Comprensible</w:t>
            </w:r>
          </w:p>
        </w:tc>
      </w:tr>
      <w:tr w:rsidR="00794A50" w:rsidRPr="00794A50" w:rsidTr="00384774">
        <w:trPr>
          <w:trHeight w:val="25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7</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6</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Normal</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4</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Poco comprensible</w:t>
            </w:r>
          </w:p>
        </w:tc>
      </w:tr>
      <w:tr w:rsidR="00794A50" w:rsidRPr="00794A50" w:rsidTr="00384774">
        <w:trPr>
          <w:trHeight w:val="18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3</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2</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Difícilmente comprensible</w:t>
            </w:r>
          </w:p>
        </w:tc>
      </w:tr>
      <w:tr w:rsidR="00794A50" w:rsidRPr="00794A50" w:rsidTr="00384774">
        <w:trPr>
          <w:trHeight w:val="24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12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NADA comprensible</w:t>
            </w:r>
          </w:p>
        </w:tc>
      </w:tr>
      <w:tr w:rsidR="00794A50" w:rsidRPr="00794A50" w:rsidTr="00384774">
        <w:trPr>
          <w:trHeight w:val="57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ESTRUCTURACIÓN</w:t>
            </w:r>
          </w:p>
        </w:tc>
        <w:tc>
          <w:tcPr>
            <w:tcW w:w="1135"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Información organizada siguiendo una lógica clara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sz w:val="16"/>
                <w:szCs w:val="16"/>
              </w:rPr>
            </w:pPr>
            <w:r w:rsidRPr="00794A50">
              <w:rPr>
                <w:rFonts w:eastAsia="Times New Roman" w:cs="Calibri"/>
                <w:sz w:val="16"/>
                <w:szCs w:val="16"/>
              </w:rPr>
              <w:t>la información se encuentra ordenada en grupos de materias, temáticas o de acuerdo con los bloques o grupos de información de la ley</w:t>
            </w:r>
          </w:p>
        </w:tc>
      </w:tr>
      <w:tr w:rsidR="00794A50" w:rsidRPr="00794A50" w:rsidTr="00384774">
        <w:trPr>
          <w:trHeight w:val="42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sz w:val="16"/>
                <w:szCs w:val="16"/>
              </w:rPr>
            </w:pPr>
            <w:r w:rsidRPr="00794A50">
              <w:rPr>
                <w:rFonts w:eastAsia="Times New Roman" w:cs="Calibri"/>
                <w:sz w:val="16"/>
                <w:szCs w:val="16"/>
              </w:rPr>
              <w:t>la información se presenta dispersa sin agrupación ni ordenación alguna</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Reutilización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Formatos según Ley 37/2007</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Es un formato reutilizable establecido</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es un formato reutilizable</w:t>
            </w:r>
          </w:p>
        </w:tc>
      </w:tr>
      <w:tr w:rsidR="00794A50" w:rsidRPr="00794A50" w:rsidTr="00384774">
        <w:trPr>
          <w:trHeight w:val="343"/>
        </w:trPr>
        <w:tc>
          <w:tcPr>
            <w:tcW w:w="919"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WEB</w:t>
            </w: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LUGAR PUBLICACION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Dónde quedan publicadas las obligaciones de publicidad activa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Apartado específico o banner en la página inicial del sitio</w:t>
            </w:r>
          </w:p>
        </w:tc>
      </w:tr>
      <w:tr w:rsidR="00794A50" w:rsidRPr="00794A50" w:rsidTr="00384774">
        <w:trPr>
          <w:trHeight w:val="362"/>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Apartado específico pero NO en la página de inicio</w:t>
            </w:r>
          </w:p>
        </w:tc>
      </w:tr>
      <w:tr w:rsidR="00794A50" w:rsidRPr="00794A50" w:rsidTr="00384774">
        <w:trPr>
          <w:trHeight w:val="6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existe un apartado específico de transparencia</w:t>
            </w:r>
          </w:p>
        </w:tc>
      </w:tr>
    </w:tbl>
    <w:p w:rsidR="00794A50" w:rsidRPr="00596EDD" w:rsidRDefault="00794A50" w:rsidP="00596EDD"/>
    <w:sectPr w:rsidR="00794A50" w:rsidRPr="00596EDD">
      <w:headerReference w:type="even" r:id="rId26"/>
      <w:headerReference w:type="default" r:id="rId27"/>
      <w:footerReference w:type="even" r:id="rId28"/>
      <w:footerReference w:type="default" r:id="rId29"/>
      <w:pgSz w:w="11907" w:h="16839"/>
      <w:pgMar w:top="1440" w:right="1418" w:bottom="1440" w:left="1418"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390" w:rsidRDefault="00EF4390">
      <w:pPr>
        <w:spacing w:after="0" w:line="240" w:lineRule="auto"/>
      </w:pPr>
      <w:r>
        <w:separator/>
      </w:r>
    </w:p>
  </w:endnote>
  <w:endnote w:type="continuationSeparator" w:id="0">
    <w:p w:rsidR="00EF4390" w:rsidRDefault="00EF4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90" w:rsidRDefault="00EF4390">
    <w:r>
      <w:fldChar w:fldCharType="begin"/>
    </w:r>
    <w:r>
      <w:instrText>PAGE   \* MERGEFORMAT</w:instrText>
    </w:r>
    <w:r>
      <w:fldChar w:fldCharType="separate"/>
    </w:r>
    <w:r w:rsidR="00A331DE">
      <w:rPr>
        <w:noProof/>
      </w:rPr>
      <w:t>40</w:t>
    </w:r>
    <w: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2632"/>
      <w:gridCol w:w="990"/>
    </w:tblGrid>
    <w:tr w:rsidR="00EF4390">
      <w:trPr>
        <w:trHeight w:hRule="exact" w:val="72"/>
      </w:trPr>
      <w:tc>
        <w:tcPr>
          <w:tcW w:w="2718" w:type="dxa"/>
          <w:tcBorders>
            <w:top w:val="single" w:sz="12" w:space="0" w:color="438086" w:themeColor="accent2"/>
            <w:bottom w:val="single" w:sz="2" w:space="0" w:color="438086" w:themeColor="accent2"/>
          </w:tcBorders>
        </w:tcPr>
        <w:p w:rsidR="00EF4390" w:rsidRDefault="00EF4390">
          <w:pPr>
            <w:pStyle w:val="Sinespaciado"/>
          </w:pPr>
        </w:p>
      </w:tc>
      <w:tc>
        <w:tcPr>
          <w:tcW w:w="1017" w:type="dxa"/>
          <w:tcBorders>
            <w:bottom w:val="single" w:sz="2" w:space="0" w:color="438086" w:themeColor="accent2"/>
          </w:tcBorders>
        </w:tcPr>
        <w:p w:rsidR="00EF4390" w:rsidRDefault="00EF4390">
          <w:pPr>
            <w:pStyle w:val="Sinespaciado"/>
          </w:pPr>
        </w:p>
      </w:tc>
    </w:tr>
  </w:tbl>
  <w:p w:rsidR="00EF4390" w:rsidRDefault="00EF43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90" w:rsidRPr="008876B2" w:rsidRDefault="00EF4390">
    <w:pPr>
      <w:jc w:val="right"/>
    </w:pPr>
    <w:r>
      <w:t>CTBG. Subdirección General de Transparencia y Buen Gobierno</w:t>
    </w:r>
    <w:r w:rsidRPr="008876B2">
      <w:t xml:space="preserve">.  </w:t>
    </w:r>
    <w:r w:rsidRPr="008876B2">
      <w:fldChar w:fldCharType="begin"/>
    </w:r>
    <w:r w:rsidRPr="008876B2">
      <w:instrText>PAGE   \* MERGEFORMAT</w:instrText>
    </w:r>
    <w:r w:rsidRPr="008876B2">
      <w:fldChar w:fldCharType="separate"/>
    </w:r>
    <w:r w:rsidR="00547E59">
      <w:rPr>
        <w:noProof/>
      </w:rPr>
      <w:t>41</w:t>
    </w:r>
    <w:r w:rsidRPr="008876B2">
      <w:fldChar w:fldCharType="end"/>
    </w:r>
    <w:r w:rsidRPr="008876B2">
      <w:t xml:space="preserve"> </w:t>
    </w:r>
    <w:r w:rsidRPr="008876B2">
      <w:rPr>
        <w:color w:val="A04DA3" w:themeColor="accent3"/>
      </w:rPr>
      <w:sym w:font="Wingdings 2" w:char="F097"/>
    </w:r>
    <w:r w:rsidRPr="008876B2">
      <w:t xml:space="preserve"> </w:t>
    </w:r>
  </w:p>
  <w:tbl>
    <w:tblPr>
      <w:tblW w:w="1950" w:type="pct"/>
      <w:jc w:val="right"/>
      <w:tblLook w:val="04A0" w:firstRow="1" w:lastRow="0" w:firstColumn="1" w:lastColumn="0" w:noHBand="0" w:noVBand="1"/>
    </w:tblPr>
    <w:tblGrid>
      <w:gridCol w:w="1044"/>
      <w:gridCol w:w="2578"/>
    </w:tblGrid>
    <w:tr w:rsidR="00EF4390">
      <w:trPr>
        <w:trHeight w:hRule="exact" w:val="72"/>
        <w:jc w:val="right"/>
      </w:trPr>
      <w:tc>
        <w:tcPr>
          <w:tcW w:w="1098" w:type="dxa"/>
          <w:tcBorders>
            <w:bottom w:val="single" w:sz="2" w:space="0" w:color="438086" w:themeColor="accent2"/>
          </w:tcBorders>
        </w:tcPr>
        <w:p w:rsidR="00EF4390" w:rsidRDefault="00EF4390">
          <w:pPr>
            <w:pStyle w:val="Sinespaciado"/>
          </w:pPr>
        </w:p>
      </w:tc>
      <w:tc>
        <w:tcPr>
          <w:tcW w:w="2732" w:type="dxa"/>
          <w:tcBorders>
            <w:top w:val="single" w:sz="12" w:space="0" w:color="438086" w:themeColor="accent2"/>
            <w:bottom w:val="single" w:sz="2" w:space="0" w:color="438086" w:themeColor="accent2"/>
          </w:tcBorders>
        </w:tcPr>
        <w:p w:rsidR="00EF4390" w:rsidRDefault="00EF4390">
          <w:pPr>
            <w:pStyle w:val="Sinespaciado"/>
          </w:pPr>
        </w:p>
      </w:tc>
    </w:tr>
  </w:tbl>
  <w:p w:rsidR="00EF4390" w:rsidRDefault="00EF43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390" w:rsidRDefault="00EF4390">
      <w:pPr>
        <w:spacing w:after="0" w:line="240" w:lineRule="auto"/>
      </w:pPr>
      <w:r>
        <w:separator/>
      </w:r>
    </w:p>
  </w:footnote>
  <w:footnote w:type="continuationSeparator" w:id="0">
    <w:p w:rsidR="00EF4390" w:rsidRDefault="00EF4390">
      <w:pPr>
        <w:spacing w:after="0" w:line="240" w:lineRule="auto"/>
      </w:pPr>
      <w:r>
        <w:continuationSeparator/>
      </w:r>
    </w:p>
  </w:footnote>
  <w:footnote w:id="1">
    <w:p w:rsidR="00EF4390" w:rsidRPr="003549D0" w:rsidRDefault="00EF4390">
      <w:pPr>
        <w:pStyle w:val="Textonotapie"/>
        <w:rPr>
          <w:sz w:val="18"/>
          <w:szCs w:val="18"/>
        </w:rPr>
      </w:pPr>
      <w:r>
        <w:rPr>
          <w:rStyle w:val="Refdenotaalpie"/>
        </w:rPr>
        <w:footnoteRef/>
      </w:r>
      <w:r>
        <w:t xml:space="preserve"> </w:t>
      </w:r>
      <w:r w:rsidRPr="003549D0">
        <w:rPr>
          <w:sz w:val="18"/>
          <w:szCs w:val="18"/>
        </w:rPr>
        <w:t>Estas obligaciones no son aplicables a las Sociedades Mercantiles y a las Fundaciones Públicas.</w:t>
      </w:r>
    </w:p>
  </w:footnote>
  <w:footnote w:id="2">
    <w:p w:rsidR="00EF4390" w:rsidRPr="004856CF" w:rsidRDefault="00EF4390">
      <w:pPr>
        <w:pStyle w:val="Textonotapie"/>
        <w:rPr>
          <w:sz w:val="18"/>
          <w:szCs w:val="18"/>
        </w:rPr>
      </w:pPr>
      <w:r>
        <w:rPr>
          <w:rStyle w:val="Refdenotaalpie"/>
        </w:rPr>
        <w:footnoteRef/>
      </w:r>
      <w:r>
        <w:t xml:space="preserve"> </w:t>
      </w:r>
      <w:r>
        <w:rPr>
          <w:sz w:val="18"/>
          <w:szCs w:val="18"/>
        </w:rPr>
        <w:t xml:space="preserve">A una </w:t>
      </w:r>
      <w:r w:rsidRPr="004856CF">
        <w:rPr>
          <w:sz w:val="18"/>
          <w:szCs w:val="18"/>
        </w:rPr>
        <w:t>entidad no es aplicable esta obligación</w:t>
      </w:r>
      <w:r>
        <w:t xml:space="preserve"> </w:t>
      </w:r>
      <w:r w:rsidRPr="004856CF">
        <w:rPr>
          <w:sz w:val="18"/>
          <w:szCs w:val="18"/>
        </w:rPr>
        <w:t>porque sus planes</w:t>
      </w:r>
      <w:r>
        <w:t xml:space="preserve"> </w:t>
      </w:r>
      <w:r w:rsidRPr="004856CF">
        <w:rPr>
          <w:sz w:val="18"/>
          <w:szCs w:val="18"/>
        </w:rPr>
        <w:t>han iniciado su ejecución en 202</w:t>
      </w:r>
      <w:r>
        <w:rPr>
          <w:sz w:val="18"/>
          <w:szCs w:val="18"/>
        </w:rPr>
        <w:t>1</w:t>
      </w:r>
      <w:r w:rsidRPr="004856CF">
        <w:rPr>
          <w:sz w:val="18"/>
          <w:szCs w:val="18"/>
        </w:rPr>
        <w:t xml:space="preserve"> o </w:t>
      </w:r>
      <w:r>
        <w:rPr>
          <w:sz w:val="18"/>
          <w:szCs w:val="18"/>
        </w:rPr>
        <w:t>2022</w:t>
      </w:r>
      <w:r w:rsidRPr="004856CF">
        <w:rPr>
          <w:sz w:val="18"/>
          <w:szCs w:val="18"/>
        </w:rPr>
        <w:t xml:space="preserve"> </w:t>
      </w:r>
    </w:p>
  </w:footnote>
  <w:footnote w:id="3">
    <w:p w:rsidR="00EF4390" w:rsidRPr="003549D0" w:rsidRDefault="00EF4390">
      <w:pPr>
        <w:pStyle w:val="Textonotapie"/>
        <w:rPr>
          <w:sz w:val="18"/>
          <w:szCs w:val="18"/>
        </w:rPr>
      </w:pPr>
      <w:r w:rsidRPr="003549D0">
        <w:rPr>
          <w:rStyle w:val="Refdenotaalpie"/>
          <w:sz w:val="18"/>
          <w:szCs w:val="18"/>
        </w:rPr>
        <w:footnoteRef/>
      </w:r>
      <w:r w:rsidRPr="003549D0">
        <w:rPr>
          <w:sz w:val="18"/>
          <w:szCs w:val="18"/>
        </w:rPr>
        <w:t xml:space="preserve"> Esta obligación no es aplicable a las </w:t>
      </w:r>
      <w:r>
        <w:rPr>
          <w:sz w:val="18"/>
          <w:szCs w:val="18"/>
        </w:rPr>
        <w:t>MATEPSS</w:t>
      </w:r>
      <w:r w:rsidRPr="003549D0">
        <w:rPr>
          <w:sz w:val="18"/>
          <w:szCs w:val="18"/>
        </w:rPr>
        <w:t xml:space="preserve"> y a las Sociedades Mercantiles.</w:t>
      </w:r>
    </w:p>
  </w:footnote>
  <w:footnote w:id="4">
    <w:p w:rsidR="00EF4390" w:rsidRPr="00463BE8" w:rsidRDefault="00EF4390">
      <w:pPr>
        <w:pStyle w:val="Textonotapie"/>
        <w:rPr>
          <w:sz w:val="18"/>
          <w:szCs w:val="18"/>
        </w:rPr>
      </w:pPr>
      <w:r>
        <w:rPr>
          <w:rStyle w:val="Refdenotaalpie"/>
        </w:rPr>
        <w:footnoteRef/>
      </w:r>
      <w:r>
        <w:t xml:space="preserve"> </w:t>
      </w:r>
      <w:r w:rsidRPr="00463BE8">
        <w:rPr>
          <w:sz w:val="18"/>
          <w:szCs w:val="18"/>
        </w:rPr>
        <w:t>La información de relevancia jurídica no es aplic</w:t>
      </w:r>
      <w:r>
        <w:rPr>
          <w:sz w:val="18"/>
          <w:szCs w:val="18"/>
        </w:rPr>
        <w:t>able a las Fundaciones Públicas,</w:t>
      </w:r>
      <w:r w:rsidRPr="00463BE8">
        <w:rPr>
          <w:sz w:val="18"/>
          <w:szCs w:val="18"/>
        </w:rPr>
        <w:t xml:space="preserve"> a las</w:t>
      </w:r>
      <w:r>
        <w:rPr>
          <w:sz w:val="18"/>
          <w:szCs w:val="18"/>
        </w:rPr>
        <w:t xml:space="preserve"> S</w:t>
      </w:r>
      <w:r w:rsidRPr="00463BE8">
        <w:rPr>
          <w:sz w:val="18"/>
          <w:szCs w:val="18"/>
        </w:rPr>
        <w:t>ociedades Mercantiles</w:t>
      </w:r>
      <w:r>
        <w:rPr>
          <w:sz w:val="18"/>
          <w:szCs w:val="18"/>
        </w:rPr>
        <w:t xml:space="preserve"> y a las MATEPSS ya que, en este último caso, las competencias vinculadas a este bloque de obligaciones corresponden a la Dirección General de Ordenación de la Seguridad Social</w:t>
      </w:r>
      <w:r w:rsidRPr="00463BE8">
        <w:rPr>
          <w:sz w:val="18"/>
          <w:szCs w:val="18"/>
        </w:rPr>
        <w:t>. Además alguna de las informaciones obligatorias de este grupo no resultan de aplicación a algunos organismos en concreto</w:t>
      </w:r>
      <w:r>
        <w:rPr>
          <w:sz w:val="18"/>
          <w:szCs w:val="18"/>
        </w:rPr>
        <w:t>,</w:t>
      </w:r>
      <w:r w:rsidRPr="00463BE8">
        <w:rPr>
          <w:sz w:val="18"/>
          <w:szCs w:val="18"/>
        </w:rPr>
        <w:t xml:space="preserve"> por la naturaleza de las funciones que desempeñan.</w:t>
      </w:r>
    </w:p>
  </w:footnote>
  <w:footnote w:id="5">
    <w:p w:rsidR="00EF4390" w:rsidRDefault="00EF4390">
      <w:pPr>
        <w:pStyle w:val="Textonotapie"/>
      </w:pPr>
      <w:r>
        <w:rPr>
          <w:rStyle w:val="Refdenotaalpie"/>
        </w:rPr>
        <w:footnoteRef/>
      </w:r>
      <w:r>
        <w:t xml:space="preserve"> Esta obligación no es aplicable a las Fundaciones Públicas y a las Sociedades Mercantiles.</w:t>
      </w:r>
    </w:p>
  </w:footnote>
  <w:footnote w:id="6">
    <w:p w:rsidR="00EF4390" w:rsidRPr="00702E60" w:rsidRDefault="00EF4390">
      <w:pPr>
        <w:pStyle w:val="Textonotapie"/>
        <w:rPr>
          <w:sz w:val="18"/>
          <w:szCs w:val="18"/>
        </w:rPr>
      </w:pPr>
      <w:r>
        <w:rPr>
          <w:rStyle w:val="Refdenotaalpie"/>
        </w:rPr>
        <w:footnoteRef/>
      </w:r>
      <w:r>
        <w:t xml:space="preserve"> </w:t>
      </w:r>
      <w:r w:rsidRPr="00702E60">
        <w:rPr>
          <w:sz w:val="18"/>
          <w:szCs w:val="18"/>
        </w:rPr>
        <w:t xml:space="preserve">Sólo incluye a aquellas entidades evaluadas por primera vez en 2022. </w:t>
      </w:r>
    </w:p>
  </w:footnote>
  <w:footnote w:id="7">
    <w:p w:rsidR="00EF4390" w:rsidRPr="00702E60" w:rsidRDefault="00EF4390" w:rsidP="00360C44">
      <w:pPr>
        <w:pStyle w:val="Textonotapie"/>
        <w:rPr>
          <w:sz w:val="18"/>
          <w:szCs w:val="18"/>
        </w:rPr>
      </w:pPr>
      <w:r w:rsidRPr="00702E60">
        <w:rPr>
          <w:rStyle w:val="Refdenotaalpie"/>
          <w:sz w:val="18"/>
          <w:szCs w:val="18"/>
        </w:rPr>
        <w:footnoteRef/>
      </w:r>
      <w:r w:rsidRPr="00702E60">
        <w:rPr>
          <w:sz w:val="18"/>
          <w:szCs w:val="18"/>
        </w:rPr>
        <w:t xml:space="preserve"> Sólo incluye a aquellas entidades evaluadas por primera vez en 2022. </w:t>
      </w:r>
    </w:p>
    <w:p w:rsidR="00EF4390" w:rsidRDefault="00EF4390">
      <w:pPr>
        <w:pStyle w:val="Textonotapie"/>
      </w:pPr>
    </w:p>
  </w:footnote>
  <w:footnote w:id="8">
    <w:p w:rsidR="00EF4390" w:rsidRPr="005646C3" w:rsidRDefault="00EF4390" w:rsidP="00341355">
      <w:pPr>
        <w:pStyle w:val="Textonotapie"/>
        <w:rPr>
          <w:sz w:val="18"/>
          <w:szCs w:val="18"/>
        </w:rPr>
      </w:pPr>
      <w:r>
        <w:rPr>
          <w:rStyle w:val="Refdenotaalpie"/>
        </w:rPr>
        <w:footnoteRef/>
      </w:r>
      <w:r>
        <w:t xml:space="preserve"> </w:t>
      </w:r>
      <w:r>
        <w:rPr>
          <w:sz w:val="18"/>
          <w:szCs w:val="18"/>
        </w:rPr>
        <w:t>15</w:t>
      </w:r>
      <w:r w:rsidRPr="005646C3">
        <w:rPr>
          <w:sz w:val="18"/>
          <w:szCs w:val="18"/>
        </w:rPr>
        <w:t xml:space="preserve"> organismos no han remitido información sobre la actividad generada en 202</w:t>
      </w:r>
      <w:r>
        <w:rPr>
          <w:sz w:val="18"/>
          <w:szCs w:val="18"/>
        </w:rPr>
        <w:t>1</w:t>
      </w:r>
      <w:r w:rsidRPr="005646C3">
        <w:rPr>
          <w:sz w:val="18"/>
          <w:szCs w:val="18"/>
        </w:rPr>
        <w:t xml:space="preserve"> por el ejercicio del derecho de acceso.</w:t>
      </w:r>
    </w:p>
  </w:footnote>
  <w:footnote w:id="9">
    <w:p w:rsidR="00EF4390" w:rsidRPr="00956AEB" w:rsidRDefault="00EF4390">
      <w:pPr>
        <w:pStyle w:val="Textonotapie"/>
        <w:rPr>
          <w:sz w:val="18"/>
          <w:szCs w:val="18"/>
        </w:rPr>
      </w:pPr>
      <w:r>
        <w:rPr>
          <w:rStyle w:val="Refdenotaalpie"/>
        </w:rPr>
        <w:footnoteRef/>
      </w:r>
      <w:r>
        <w:t xml:space="preserve"> </w:t>
      </w:r>
      <w:r w:rsidRPr="00956AEB">
        <w:rPr>
          <w:sz w:val="18"/>
          <w:szCs w:val="18"/>
        </w:rPr>
        <w:t xml:space="preserve">En un caso se había solicitado ampliación del plazo, sin que se haya obtenido respuesta </w:t>
      </w:r>
      <w:proofErr w:type="gramStart"/>
      <w:r>
        <w:rPr>
          <w:sz w:val="18"/>
          <w:szCs w:val="18"/>
        </w:rPr>
        <w:t>transcurrido</w:t>
      </w:r>
      <w:proofErr w:type="gramEnd"/>
      <w:r w:rsidRPr="00956AEB">
        <w:rPr>
          <w:sz w:val="18"/>
          <w:szCs w:val="18"/>
        </w:rPr>
        <w:t xml:space="preserve"> el plazo ampliado</w:t>
      </w:r>
      <w:r>
        <w:rPr>
          <w:sz w:val="18"/>
          <w:szCs w:val="18"/>
        </w:rPr>
        <w:t>.</w:t>
      </w:r>
    </w:p>
  </w:footnote>
  <w:footnote w:id="10">
    <w:p w:rsidR="00EF4390" w:rsidRPr="004E63FC" w:rsidRDefault="00EF4390">
      <w:pPr>
        <w:pStyle w:val="Textonotapie"/>
        <w:rPr>
          <w:sz w:val="18"/>
          <w:szCs w:val="18"/>
        </w:rPr>
      </w:pPr>
      <w:r>
        <w:rPr>
          <w:rStyle w:val="Refdenotaalpie"/>
        </w:rPr>
        <w:footnoteRef/>
      </w:r>
      <w:r>
        <w:t xml:space="preserve"> </w:t>
      </w:r>
      <w:r w:rsidRPr="004E63FC">
        <w:rPr>
          <w:sz w:val="18"/>
          <w:szCs w:val="18"/>
        </w:rPr>
        <w:t xml:space="preserve">Esta evaluación se ha limitado a las entidades evaluadas por primera vez en 2022.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07790"/>
      <w:dataBinding w:prefixMappings="xmlns:ns0='http://schemas.openxmlformats.org/package/2006/metadata/core-properties' xmlns:ns1='http://purl.org/dc/elements/1.1/'" w:xpath="/ns0:coreProperties[1]/ns1:creator[1]" w:storeItemID="{6C3C8BC8-F283-45AE-878A-BAB7291924A1}"/>
      <w:text/>
    </w:sdtPr>
    <w:sdtContent>
      <w:p w:rsidR="00EF4390" w:rsidRDefault="00EF4390" w:rsidP="006219DA">
        <w:pPr>
          <w:pStyle w:val="Encabezado"/>
          <w:pBdr>
            <w:bottom w:val="single" w:sz="4" w:space="0" w:color="auto"/>
          </w:pBdr>
          <w:jc w:val="right"/>
        </w:pPr>
        <w:r>
          <w:t>CTBG. Subdirección General de Transparencia y Buen Gobierno.</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390" w:rsidRDefault="00EF4390" w:rsidP="00360C44">
    <w:pPr>
      <w:pStyle w:val="Listaconvietas"/>
      <w:numPr>
        <w:ilvl w:val="0"/>
        <w:numId w:val="0"/>
      </w:numPr>
      <w:pBdr>
        <w:bottom w:val="single" w:sz="4" w:space="1" w:color="auto"/>
      </w:pBdr>
      <w:ind w:left="360"/>
    </w:pPr>
    <w:r w:rsidRPr="008876B2">
      <w:t>Plan de e</w:t>
    </w:r>
    <w:r>
      <w:t xml:space="preserve">valuación 2022. Evaluación de las entidades integrantes del Sector </w:t>
    </w:r>
  </w:p>
  <w:p w:rsidR="00EF4390" w:rsidRDefault="00EF4390" w:rsidP="00360C44">
    <w:pPr>
      <w:pStyle w:val="Listaconvietas"/>
      <w:numPr>
        <w:ilvl w:val="0"/>
        <w:numId w:val="0"/>
      </w:numPr>
      <w:pBdr>
        <w:bottom w:val="single" w:sz="4" w:space="1" w:color="auto"/>
      </w:pBdr>
      <w:ind w:left="360"/>
    </w:pPr>
    <w:r>
      <w:t xml:space="preserve">Público Institucional </w:t>
    </w:r>
    <w:r w:rsidRPr="008876B2">
      <w:t xml:space="preserve"> </w:t>
    </w:r>
  </w:p>
  <w:p w:rsidR="00EF4390" w:rsidRPr="008876B2" w:rsidRDefault="00EF4390" w:rsidP="00D74601">
    <w:pPr>
      <w:pStyle w:val="Listaconvietas"/>
      <w:numPr>
        <w:ilvl w:val="0"/>
        <w:numId w:val="0"/>
      </w:numPr>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style="width:9.35pt;height:9.35pt" o:bullet="t">
        <v:imagedata r:id="rId1" o:title="BD14533_"/>
      </v:shape>
    </w:pict>
  </w:numPicBullet>
  <w:numPicBullet w:numPicBulletId="1">
    <w:pict>
      <v:shape id="_x0000_i1258" type="#_x0000_t75" style="width:9.35pt;height:9.35pt" o:bullet="t">
        <v:imagedata r:id="rId2" o:title="BD10268_"/>
      </v:shape>
    </w:pict>
  </w:numPicBullet>
  <w:numPicBullet w:numPicBulletId="2">
    <w:pict>
      <v:shape id="_x0000_i1259" type="#_x0000_t75" style="width:11.2pt;height:11.2pt" o:bullet="t">
        <v:imagedata r:id="rId3" o:title="BD14529_"/>
      </v:shape>
    </w:pict>
  </w:numPicBullet>
  <w:numPicBullet w:numPicBulletId="3">
    <w:pict>
      <v:shape id="_x0000_i1260" type="#_x0000_t75" style="width:11.2pt;height:11.2pt" o:bullet="t">
        <v:imagedata r:id="rId4" o:title="BD14529_"/>
      </v:shape>
    </w:pict>
  </w:numPicBullet>
  <w:abstractNum w:abstractNumId="0">
    <w:nsid w:val="FFFFFF7C"/>
    <w:multiLevelType w:val="singleLevel"/>
    <w:tmpl w:val="C2A6D920"/>
    <w:lvl w:ilvl="0">
      <w:start w:val="1"/>
      <w:numFmt w:val="decimal"/>
      <w:lvlText w:val="%1."/>
      <w:lvlJc w:val="left"/>
      <w:pPr>
        <w:tabs>
          <w:tab w:val="num" w:pos="1800"/>
        </w:tabs>
        <w:ind w:left="1800" w:hanging="360"/>
      </w:pPr>
    </w:lvl>
  </w:abstractNum>
  <w:abstractNum w:abstractNumId="1">
    <w:nsid w:val="FFFFFF7D"/>
    <w:multiLevelType w:val="singleLevel"/>
    <w:tmpl w:val="AA46E614"/>
    <w:lvl w:ilvl="0">
      <w:start w:val="1"/>
      <w:numFmt w:val="decimal"/>
      <w:lvlText w:val="%1."/>
      <w:lvlJc w:val="left"/>
      <w:pPr>
        <w:tabs>
          <w:tab w:val="num" w:pos="1440"/>
        </w:tabs>
        <w:ind w:left="1440" w:hanging="360"/>
      </w:pPr>
    </w:lvl>
  </w:abstractNum>
  <w:abstractNum w:abstractNumId="2">
    <w:nsid w:val="FFFFFF7E"/>
    <w:multiLevelType w:val="singleLevel"/>
    <w:tmpl w:val="1B5E526C"/>
    <w:lvl w:ilvl="0">
      <w:start w:val="1"/>
      <w:numFmt w:val="decimal"/>
      <w:lvlText w:val="%1."/>
      <w:lvlJc w:val="left"/>
      <w:pPr>
        <w:tabs>
          <w:tab w:val="num" w:pos="1080"/>
        </w:tabs>
        <w:ind w:left="1080" w:hanging="360"/>
      </w:pPr>
    </w:lvl>
  </w:abstractNum>
  <w:abstractNum w:abstractNumId="3">
    <w:nsid w:val="FFFFFF7F"/>
    <w:multiLevelType w:val="singleLevel"/>
    <w:tmpl w:val="BBA64556"/>
    <w:lvl w:ilvl="0">
      <w:start w:val="1"/>
      <w:numFmt w:val="decimal"/>
      <w:lvlText w:val="%1."/>
      <w:lvlJc w:val="left"/>
      <w:pPr>
        <w:tabs>
          <w:tab w:val="num" w:pos="720"/>
        </w:tabs>
        <w:ind w:left="720" w:hanging="360"/>
      </w:pPr>
    </w:lvl>
  </w:abstractNum>
  <w:abstractNum w:abstractNumId="4">
    <w:nsid w:val="FFFFFF80"/>
    <w:multiLevelType w:val="singleLevel"/>
    <w:tmpl w:val="55EA7C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326DB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3A6B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E0E3EE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F4EB12"/>
    <w:lvl w:ilvl="0">
      <w:start w:val="1"/>
      <w:numFmt w:val="decimal"/>
      <w:lvlText w:val="%1."/>
      <w:lvlJc w:val="left"/>
      <w:pPr>
        <w:tabs>
          <w:tab w:val="num" w:pos="360"/>
        </w:tabs>
        <w:ind w:left="360" w:hanging="360"/>
      </w:pPr>
    </w:lvl>
  </w:abstractNum>
  <w:abstractNum w:abstractNumId="9">
    <w:nsid w:val="FFFFFF89"/>
    <w:multiLevelType w:val="singleLevel"/>
    <w:tmpl w:val="4FD4F5F6"/>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05D11A9"/>
    <w:multiLevelType w:val="multilevel"/>
    <w:tmpl w:val="33B056D0"/>
    <w:numStyleLink w:val="Listaconvietasurbana"/>
  </w:abstractNum>
  <w:abstractNum w:abstractNumId="11">
    <w:nsid w:val="0482200E"/>
    <w:multiLevelType w:val="hybridMultilevel"/>
    <w:tmpl w:val="E6C6F8CE"/>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EDC38E4"/>
    <w:multiLevelType w:val="multilevel"/>
    <w:tmpl w:val="33B056D0"/>
    <w:numStyleLink w:val="Listaconvietasurbana"/>
  </w:abstractNum>
  <w:abstractNum w:abstractNumId="13">
    <w:nsid w:val="124B7CF1"/>
    <w:multiLevelType w:val="multilevel"/>
    <w:tmpl w:val="7AC6A14E"/>
    <w:styleLink w:val="Listanumeradaurbana"/>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14">
    <w:nsid w:val="12796372"/>
    <w:multiLevelType w:val="hybridMultilevel"/>
    <w:tmpl w:val="D1821594"/>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9550593"/>
    <w:multiLevelType w:val="hybridMultilevel"/>
    <w:tmpl w:val="1E423E76"/>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9BE3A5C"/>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7">
    <w:nsid w:val="1A6C5517"/>
    <w:multiLevelType w:val="multilevel"/>
    <w:tmpl w:val="7AC6A14E"/>
    <w:numStyleLink w:val="Listanumeradaurbana"/>
  </w:abstractNum>
  <w:abstractNum w:abstractNumId="18">
    <w:nsid w:val="1DDE73E0"/>
    <w:multiLevelType w:val="multilevel"/>
    <w:tmpl w:val="33B056D0"/>
    <w:numStyleLink w:val="Listaconvietasurbana"/>
  </w:abstractNum>
  <w:abstractNum w:abstractNumId="19">
    <w:nsid w:val="251A0F72"/>
    <w:multiLevelType w:val="multilevel"/>
    <w:tmpl w:val="7AC6A14E"/>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20">
    <w:nsid w:val="308C1F36"/>
    <w:multiLevelType w:val="hybridMultilevel"/>
    <w:tmpl w:val="3AE83DDC"/>
    <w:lvl w:ilvl="0" w:tplc="0409000F">
      <w:start w:val="1"/>
      <w:numFmt w:val="decimal"/>
      <w:lvlText w:val="%1."/>
      <w:lvlJc w:val="left"/>
      <w:pPr>
        <w:ind w:left="1440" w:hanging="360"/>
      </w:pPr>
    </w:lvl>
    <w:lvl w:ilvl="1" w:tplc="84D2ED82">
      <w:start w:val="1"/>
      <w:numFmt w:val="lowerLetter"/>
      <w:lvlText w:val="%2."/>
      <w:lvlJc w:val="left"/>
      <w:pPr>
        <w:ind w:left="2160" w:hanging="360"/>
      </w:pPr>
      <w:rPr>
        <w:color w:val="424456" w:themeColor="text2"/>
      </w:rPr>
    </w:lvl>
    <w:lvl w:ilvl="2" w:tplc="553E7D70">
      <w:start w:val="1"/>
      <w:numFmt w:val="lowerRoman"/>
      <w:lvlText w:val="%3."/>
      <w:lvlJc w:val="right"/>
      <w:pPr>
        <w:ind w:left="2880" w:hanging="180"/>
      </w:pPr>
      <w:rPr>
        <w:color w:val="424456" w:themeColor="text2"/>
      </w:rPr>
    </w:lvl>
    <w:lvl w:ilvl="3" w:tplc="DEE48288">
      <w:start w:val="1"/>
      <w:numFmt w:val="decimal"/>
      <w:lvlText w:val="%4."/>
      <w:lvlJc w:val="left"/>
      <w:pPr>
        <w:ind w:left="3600" w:hanging="360"/>
      </w:pPr>
      <w:rPr>
        <w:color w:val="424456" w:themeColor="text2"/>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35E71CD9"/>
    <w:multiLevelType w:val="hybridMultilevel"/>
    <w:tmpl w:val="39D65854"/>
    <w:lvl w:ilvl="0" w:tplc="07525450">
      <w:start w:val="1"/>
      <w:numFmt w:val="bullet"/>
      <w:lvlText w:val=""/>
      <w:lvlJc w:val="left"/>
      <w:pPr>
        <w:ind w:left="1440" w:hanging="360"/>
      </w:pPr>
      <w:rPr>
        <w:rFonts w:ascii="Symbol" w:hAnsi="Symbol" w:cs="Symbol" w:hint="default"/>
        <w:color w:val="A04DA3" w:themeColor="accent3"/>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2">
    <w:nsid w:val="36A80E22"/>
    <w:multiLevelType w:val="hybridMultilevel"/>
    <w:tmpl w:val="CF765A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3D9C46A3"/>
    <w:multiLevelType w:val="multilevel"/>
    <w:tmpl w:val="33B056D0"/>
    <w:styleLink w:val="Listaconvietasurbana"/>
    <w:lvl w:ilvl="0">
      <w:start w:val="1"/>
      <w:numFmt w:val="bullet"/>
      <w:pStyle w:val="Vieta1"/>
      <w:lvlText w:val=""/>
      <w:lvlJc w:val="left"/>
      <w:pPr>
        <w:ind w:left="216" w:hanging="216"/>
      </w:pPr>
      <w:rPr>
        <w:rFonts w:ascii="Symbol" w:hAnsi="Symbol" w:hint="default"/>
        <w:b w:val="0"/>
        <w:i w:val="0"/>
        <w:color w:val="A04DA3" w:themeColor="accent3"/>
        <w:sz w:val="18"/>
      </w:rPr>
    </w:lvl>
    <w:lvl w:ilvl="1">
      <w:start w:val="1"/>
      <w:numFmt w:val="bullet"/>
      <w:pStyle w:val="Vieta2"/>
      <w:lvlText w:val=""/>
      <w:lvlJc w:val="left"/>
      <w:pPr>
        <w:ind w:left="461" w:hanging="216"/>
      </w:pPr>
      <w:rPr>
        <w:rFonts w:ascii="Wingdings" w:hAnsi="Wingdings" w:hint="default"/>
        <w:b w:val="0"/>
        <w:i w:val="0"/>
        <w:color w:val="438086" w:themeColor="accent2"/>
        <w:sz w:val="12"/>
      </w:rPr>
    </w:lvl>
    <w:lvl w:ilvl="2">
      <w:start w:val="1"/>
      <w:numFmt w:val="bullet"/>
      <w:pStyle w:val="Vieta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4">
    <w:nsid w:val="40B17DB9"/>
    <w:multiLevelType w:val="hybridMultilevel"/>
    <w:tmpl w:val="A0BE2AD0"/>
    <w:lvl w:ilvl="0" w:tplc="C4045840">
      <w:start w:val="1"/>
      <w:numFmt w:val="decimal"/>
      <w:lvlText w:val="%1."/>
      <w:lvlJc w:val="left"/>
      <w:pPr>
        <w:ind w:left="720" w:hanging="360"/>
      </w:pPr>
      <w:rPr>
        <w:rFonts w:asciiTheme="majorHAnsi" w:hAnsiTheme="majorHAnsi" w:hint="default"/>
        <w:color w:val="325F64" w:themeColor="accent2" w:themeShade="BF"/>
        <w:sz w:val="18"/>
        <w:szCs w:val="18"/>
        <w:u w:val="none"/>
      </w:rPr>
    </w:lvl>
    <w:lvl w:ilvl="1" w:tplc="098C87B0">
      <w:start w:val="1"/>
      <w:numFmt w:val="lowerLetter"/>
      <w:lvlText w:val="%2."/>
      <w:lvlJc w:val="left"/>
      <w:pPr>
        <w:ind w:left="1440" w:hanging="360"/>
      </w:pPr>
      <w:rPr>
        <w:color w:val="438086" w:themeColor="accent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C57BC7"/>
    <w:multiLevelType w:val="hybridMultilevel"/>
    <w:tmpl w:val="5064A2F4"/>
    <w:lvl w:ilvl="0" w:tplc="BDC83ACC">
      <w:start w:val="1"/>
      <w:numFmt w:val="bullet"/>
      <w:lvlText w:val=""/>
      <w:lvlJc w:val="left"/>
      <w:pPr>
        <w:ind w:left="720" w:hanging="360"/>
      </w:pPr>
      <w:rPr>
        <w:rFonts w:ascii="Wingdings" w:hAnsi="Wingdings" w:cs="Wingdings" w:hint="default"/>
        <w:color w:val="325F64" w:themeColor="accent2" w:themeShade="BF"/>
        <w:sz w:val="16"/>
        <w:szCs w:val="16"/>
      </w:rPr>
    </w:lvl>
    <w:lvl w:ilvl="1" w:tplc="E896886C">
      <w:start w:val="1"/>
      <w:numFmt w:val="bullet"/>
      <w:lvlText w:val=""/>
      <w:lvlJc w:val="left"/>
      <w:pPr>
        <w:ind w:left="1440" w:hanging="360"/>
      </w:pPr>
      <w:rPr>
        <w:rFonts w:ascii="Wingdings" w:hAnsi="Wingdings" w:cs="Wingdings" w:hint="default"/>
        <w:color w:val="438086" w:themeColor="accent2"/>
        <w:sz w:val="16"/>
        <w:szCs w:val="16"/>
      </w:rPr>
    </w:lvl>
    <w:lvl w:ilvl="2" w:tplc="13C0FDF8">
      <w:start w:val="1"/>
      <w:numFmt w:val="bullet"/>
      <w:lvlText w:val=""/>
      <w:lvlJc w:val="left"/>
      <w:pPr>
        <w:ind w:left="2160" w:hanging="360"/>
      </w:pPr>
      <w:rPr>
        <w:rFonts w:ascii="Wingdings" w:hAnsi="Wingdings" w:cs="Wingdings" w:hint="default"/>
        <w:color w:val="83BBC1" w:themeColor="accent2" w:themeTint="99"/>
        <w:sz w:val="16"/>
        <w:szCs w:val="16"/>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nsid w:val="43303F17"/>
    <w:multiLevelType w:val="hybridMultilevel"/>
    <w:tmpl w:val="4000B040"/>
    <w:lvl w:ilvl="0" w:tplc="A6C453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8785B94"/>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8">
    <w:nsid w:val="57911FB4"/>
    <w:multiLevelType w:val="hybridMultilevel"/>
    <w:tmpl w:val="D6B69FD2"/>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ECA42F2"/>
    <w:multiLevelType w:val="hybridMultilevel"/>
    <w:tmpl w:val="F60CC51C"/>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0C70A48"/>
    <w:multiLevelType w:val="hybridMultilevel"/>
    <w:tmpl w:val="60F65B56"/>
    <w:lvl w:ilvl="0" w:tplc="59F6C5FA">
      <w:start w:val="5"/>
      <w:numFmt w:val="upperRoman"/>
      <w:lvlText w:val="%1."/>
      <w:lvlJc w:val="left"/>
      <w:pPr>
        <w:ind w:left="1146"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1751600"/>
    <w:multiLevelType w:val="hybridMultilevel"/>
    <w:tmpl w:val="38F8EBC4"/>
    <w:lvl w:ilvl="0" w:tplc="5C1E6DF8">
      <w:start w:val="1"/>
      <w:numFmt w:val="upperRoman"/>
      <w:lvlText w:val="%1."/>
      <w:lvlJc w:val="left"/>
      <w:pPr>
        <w:ind w:left="1146"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3E8022B"/>
    <w:multiLevelType w:val="multilevel"/>
    <w:tmpl w:val="33B056D0"/>
    <w:numStyleLink w:val="Listaconvietasurbana"/>
  </w:abstractNum>
  <w:abstractNum w:abstractNumId="33">
    <w:nsid w:val="65C32A75"/>
    <w:multiLevelType w:val="hybridMultilevel"/>
    <w:tmpl w:val="0544674A"/>
    <w:lvl w:ilvl="0" w:tplc="AA644D84">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F0D0B31"/>
    <w:multiLevelType w:val="multilevel"/>
    <w:tmpl w:val="7AC6A14E"/>
    <w:numStyleLink w:val="Listanumeradaurbana"/>
  </w:abstractNum>
  <w:abstractNum w:abstractNumId="35">
    <w:nsid w:val="72817FF1"/>
    <w:multiLevelType w:val="hybridMultilevel"/>
    <w:tmpl w:val="702CD21C"/>
    <w:lvl w:ilvl="0" w:tplc="07525450">
      <w:start w:val="1"/>
      <w:numFmt w:val="bullet"/>
      <w:lvlText w:val=""/>
      <w:lvlJc w:val="left"/>
      <w:pPr>
        <w:ind w:left="1440" w:hanging="360"/>
      </w:pPr>
      <w:rPr>
        <w:rFonts w:ascii="Symbol" w:hAnsi="Symbol" w:cs="Symbol" w:hint="default"/>
        <w:color w:val="A04DA3" w:themeColor="accent3"/>
      </w:rPr>
    </w:lvl>
    <w:lvl w:ilvl="1" w:tplc="F4389890">
      <w:start w:val="1"/>
      <w:numFmt w:val="bullet"/>
      <w:lvlText w:val=""/>
      <w:lvlJc w:val="left"/>
      <w:pPr>
        <w:ind w:left="2160" w:hanging="360"/>
      </w:pPr>
      <w:rPr>
        <w:rFonts w:ascii="Wingdings" w:hAnsi="Wingdings" w:cs="Wingdings" w:hint="default"/>
        <w:color w:val="438086" w:themeColor="accent2"/>
        <w:sz w:val="12"/>
        <w:szCs w:val="12"/>
      </w:rPr>
    </w:lvl>
    <w:lvl w:ilvl="2" w:tplc="9A9E4A9C">
      <w:start w:val="1"/>
      <w:numFmt w:val="bullet"/>
      <w:lvlText w:val=""/>
      <w:lvlJc w:val="left"/>
      <w:pPr>
        <w:ind w:left="2880" w:hanging="360"/>
      </w:pPr>
      <w:rPr>
        <w:rFonts w:ascii="Symbol" w:hAnsi="Symbol" w:cs="Symbol" w:hint="default"/>
        <w:color w:val="53548A" w:themeColor="accent1"/>
        <w:sz w:val="16"/>
        <w:szCs w:val="16"/>
      </w:rPr>
    </w:lvl>
    <w:lvl w:ilvl="3" w:tplc="96863BBE">
      <w:start w:val="1"/>
      <w:numFmt w:val="bullet"/>
      <w:lvlText w:val=""/>
      <w:lvlJc w:val="left"/>
      <w:pPr>
        <w:ind w:left="3600" w:hanging="360"/>
      </w:pPr>
      <w:rPr>
        <w:rFonts w:ascii="Symbol" w:hAnsi="Symbol" w:cs="Symbol" w:hint="default"/>
        <w:sz w:val="16"/>
        <w:szCs w:val="16"/>
      </w:rPr>
    </w:lvl>
    <w:lvl w:ilvl="4" w:tplc="98987F98">
      <w:start w:val="1"/>
      <w:numFmt w:val="bullet"/>
      <w:lvlText w:val=""/>
      <w:lvlJc w:val="left"/>
      <w:pPr>
        <w:ind w:left="4320" w:hanging="360"/>
      </w:pPr>
      <w:rPr>
        <w:rFonts w:ascii="Symbol" w:hAnsi="Symbol" w:cs="Symbol" w:hint="default"/>
        <w:sz w:val="16"/>
        <w:szCs w:val="16"/>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6">
    <w:nsid w:val="733505FE"/>
    <w:multiLevelType w:val="hybridMultilevel"/>
    <w:tmpl w:val="41F4AC88"/>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6740294"/>
    <w:multiLevelType w:val="multilevel"/>
    <w:tmpl w:val="33B056D0"/>
    <w:numStyleLink w:val="Listaconvietasurbana"/>
  </w:abstractNum>
  <w:abstractNum w:abstractNumId="38">
    <w:nsid w:val="76921C5B"/>
    <w:multiLevelType w:val="multilevel"/>
    <w:tmpl w:val="33B056D0"/>
    <w:numStyleLink w:val="Listaconvietasurbana"/>
  </w:abstractNum>
  <w:abstractNum w:abstractNumId="39">
    <w:nsid w:val="7E025C09"/>
    <w:multiLevelType w:val="multilevel"/>
    <w:tmpl w:val="33B056D0"/>
    <w:numStyleLink w:val="Listaconvietasurbana"/>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4"/>
  </w:num>
  <w:num w:numId="13">
    <w:abstractNumId w:val="25"/>
  </w:num>
  <w:num w:numId="14">
    <w:abstractNumId w:val="21"/>
  </w:num>
  <w:num w:numId="15">
    <w:abstractNumId w:val="35"/>
  </w:num>
  <w:num w:numId="16">
    <w:abstractNumId w:val="20"/>
  </w:num>
  <w:num w:numId="17">
    <w:abstractNumId w:val="23"/>
  </w:num>
  <w:num w:numId="18">
    <w:abstractNumId w:val="12"/>
  </w:num>
  <w:num w:numId="19">
    <w:abstractNumId w:val="37"/>
  </w:num>
  <w:num w:numId="20">
    <w:abstractNumId w:val="3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bullet"/>
        <w:lvlText w:val=""/>
        <w:lvlJc w:val="left"/>
        <w:pPr>
          <w:ind w:left="1196" w:hanging="216"/>
        </w:pPr>
        <w:rPr>
          <w:rFonts w:ascii="Symbol" w:hAnsi="Symbol" w:hint="default"/>
          <w:color w:val="53548A" w:themeColor="accent1"/>
          <w:sz w:val="18"/>
          <w:szCs w:val="18"/>
        </w:rPr>
      </w:lvl>
    </w:lvlOverride>
  </w:num>
  <w:num w:numId="21">
    <w:abstractNumId w:val="32"/>
    <w:lvlOverride w:ilvl="0">
      <w:lvl w:ilvl="0">
        <w:start w:val="1"/>
        <w:numFmt w:val="bullet"/>
        <w:lvlText w:val=""/>
        <w:lvlJc w:val="left"/>
        <w:pPr>
          <w:ind w:left="216" w:hanging="216"/>
        </w:pPr>
        <w:rPr>
          <w:rFonts w:ascii="Symbol" w:hAnsi="Symbol" w:hint="default"/>
          <w:b w:val="0"/>
          <w:i w:val="0"/>
          <w:color w:val="A04DA3" w:themeColor="accent3"/>
          <w:sz w:val="18"/>
          <w:szCs w:val="18"/>
        </w:rPr>
      </w:lvl>
    </w:lvlOverride>
  </w:num>
  <w:num w:numId="22">
    <w:abstractNumId w:val="13"/>
  </w:num>
  <w:num w:numId="23">
    <w:abstractNumId w:val="34"/>
  </w:num>
  <w:num w:numId="24">
    <w:abstractNumId w:val="17"/>
  </w:num>
  <w:num w:numId="25">
    <w:abstractNumId w:val="16"/>
  </w:num>
  <w:num w:numId="26">
    <w:abstractNumId w:val="10"/>
  </w:num>
  <w:num w:numId="27">
    <w:abstractNumId w:val="39"/>
  </w:num>
  <w:num w:numId="28">
    <w:abstractNumId w:val="27"/>
  </w:num>
  <w:num w:numId="29">
    <w:abstractNumId w:val="19"/>
  </w:num>
  <w:num w:numId="30">
    <w:abstractNumId w:val="18"/>
  </w:num>
  <w:num w:numId="31">
    <w:abstractNumId w:val="18"/>
  </w:num>
  <w:num w:numId="32">
    <w:abstractNumId w:val="18"/>
  </w:num>
  <w:num w:numId="33">
    <w:abstractNumId w:val="23"/>
  </w:num>
  <w:num w:numId="34">
    <w:abstractNumId w:val="13"/>
  </w:num>
  <w:num w:numId="35">
    <w:abstractNumId w:val="23"/>
  </w:num>
  <w:num w:numId="36">
    <w:abstractNumId w:val="23"/>
  </w:num>
  <w:num w:numId="37">
    <w:abstractNumId w:val="23"/>
  </w:num>
  <w:num w:numId="38">
    <w:abstractNumId w:val="23"/>
  </w:num>
  <w:num w:numId="39">
    <w:abstractNumId w:val="13"/>
  </w:num>
  <w:num w:numId="40">
    <w:abstractNumId w:val="31"/>
  </w:num>
  <w:num w:numId="41">
    <w:abstractNumId w:val="28"/>
  </w:num>
  <w:num w:numId="42">
    <w:abstractNumId w:val="11"/>
  </w:num>
  <w:num w:numId="43">
    <w:abstractNumId w:val="29"/>
  </w:num>
  <w:num w:numId="44">
    <w:abstractNumId w:val="15"/>
  </w:num>
  <w:num w:numId="45">
    <w:abstractNumId w:val="14"/>
  </w:num>
  <w:num w:numId="46">
    <w:abstractNumId w:val="36"/>
  </w:num>
  <w:num w:numId="47">
    <w:abstractNumId w:val="30"/>
  </w:num>
  <w:num w:numId="48">
    <w:abstractNumId w:val="26"/>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00"/>
  <w:displayHorizontalDrawingGridEvery w:val="2"/>
  <w:characterSpacingControl w:val="doNotCompress"/>
  <w:hdrShapeDefaults>
    <o:shapedefaults v:ext="edit" spidmax="2049"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6B2"/>
    <w:rsid w:val="0000250A"/>
    <w:rsid w:val="00004C5D"/>
    <w:rsid w:val="000200DB"/>
    <w:rsid w:val="00020673"/>
    <w:rsid w:val="0002440D"/>
    <w:rsid w:val="00026A1D"/>
    <w:rsid w:val="000302F6"/>
    <w:rsid w:val="00032714"/>
    <w:rsid w:val="00033C6B"/>
    <w:rsid w:val="00040795"/>
    <w:rsid w:val="0004614D"/>
    <w:rsid w:val="000467A9"/>
    <w:rsid w:val="00047055"/>
    <w:rsid w:val="00047DDB"/>
    <w:rsid w:val="00047ECA"/>
    <w:rsid w:val="00053BF4"/>
    <w:rsid w:val="00071449"/>
    <w:rsid w:val="00077CDF"/>
    <w:rsid w:val="0008061C"/>
    <w:rsid w:val="00090A3E"/>
    <w:rsid w:val="00095E18"/>
    <w:rsid w:val="000B5A54"/>
    <w:rsid w:val="000C0689"/>
    <w:rsid w:val="000C37F6"/>
    <w:rsid w:val="000C4A0A"/>
    <w:rsid w:val="000D057F"/>
    <w:rsid w:val="000D2D73"/>
    <w:rsid w:val="000D2D9C"/>
    <w:rsid w:val="000D5243"/>
    <w:rsid w:val="000E0645"/>
    <w:rsid w:val="000E1511"/>
    <w:rsid w:val="000F02B2"/>
    <w:rsid w:val="000F22B5"/>
    <w:rsid w:val="000F3CFB"/>
    <w:rsid w:val="000F5663"/>
    <w:rsid w:val="000F6C27"/>
    <w:rsid w:val="000F7251"/>
    <w:rsid w:val="00100FDC"/>
    <w:rsid w:val="001015E0"/>
    <w:rsid w:val="001048E0"/>
    <w:rsid w:val="00115E70"/>
    <w:rsid w:val="00120441"/>
    <w:rsid w:val="00124108"/>
    <w:rsid w:val="00124764"/>
    <w:rsid w:val="00131645"/>
    <w:rsid w:val="00141DBA"/>
    <w:rsid w:val="00144B18"/>
    <w:rsid w:val="00144DA6"/>
    <w:rsid w:val="00146232"/>
    <w:rsid w:val="00146504"/>
    <w:rsid w:val="0014740D"/>
    <w:rsid w:val="00152FBA"/>
    <w:rsid w:val="00162C20"/>
    <w:rsid w:val="00167E4C"/>
    <w:rsid w:val="00174861"/>
    <w:rsid w:val="00181303"/>
    <w:rsid w:val="001832B6"/>
    <w:rsid w:val="0019120F"/>
    <w:rsid w:val="00195B99"/>
    <w:rsid w:val="001963A1"/>
    <w:rsid w:val="00196E57"/>
    <w:rsid w:val="001B45B7"/>
    <w:rsid w:val="001C07E7"/>
    <w:rsid w:val="001C0ECE"/>
    <w:rsid w:val="001C5432"/>
    <w:rsid w:val="001D364C"/>
    <w:rsid w:val="001D5FAD"/>
    <w:rsid w:val="001E7F43"/>
    <w:rsid w:val="001F3962"/>
    <w:rsid w:val="00205084"/>
    <w:rsid w:val="002136D7"/>
    <w:rsid w:val="00216D63"/>
    <w:rsid w:val="0021780C"/>
    <w:rsid w:val="0022471D"/>
    <w:rsid w:val="002313A7"/>
    <w:rsid w:val="00235A5B"/>
    <w:rsid w:val="002456B0"/>
    <w:rsid w:val="00247E8E"/>
    <w:rsid w:val="0025449D"/>
    <w:rsid w:val="00255EC4"/>
    <w:rsid w:val="0026084F"/>
    <w:rsid w:val="0026153E"/>
    <w:rsid w:val="002652DB"/>
    <w:rsid w:val="0027311B"/>
    <w:rsid w:val="00277C4C"/>
    <w:rsid w:val="0028680F"/>
    <w:rsid w:val="002B3243"/>
    <w:rsid w:val="002B5A11"/>
    <w:rsid w:val="002B5BB5"/>
    <w:rsid w:val="002C5AAC"/>
    <w:rsid w:val="002D79CB"/>
    <w:rsid w:val="002D79EE"/>
    <w:rsid w:val="002F2CAA"/>
    <w:rsid w:val="002F4D73"/>
    <w:rsid w:val="002F71A3"/>
    <w:rsid w:val="0031284F"/>
    <w:rsid w:val="003220BF"/>
    <w:rsid w:val="003256DE"/>
    <w:rsid w:val="00337289"/>
    <w:rsid w:val="00341355"/>
    <w:rsid w:val="00342EA2"/>
    <w:rsid w:val="0034357D"/>
    <w:rsid w:val="0034381D"/>
    <w:rsid w:val="00345ABD"/>
    <w:rsid w:val="00352180"/>
    <w:rsid w:val="003549D0"/>
    <w:rsid w:val="00355F1A"/>
    <w:rsid w:val="00360C44"/>
    <w:rsid w:val="00375B00"/>
    <w:rsid w:val="0037618E"/>
    <w:rsid w:val="00377787"/>
    <w:rsid w:val="00381193"/>
    <w:rsid w:val="00384774"/>
    <w:rsid w:val="00391F22"/>
    <w:rsid w:val="00395F26"/>
    <w:rsid w:val="003A5C81"/>
    <w:rsid w:val="003A61D2"/>
    <w:rsid w:val="003A6B5E"/>
    <w:rsid w:val="003B18E0"/>
    <w:rsid w:val="003C3FCE"/>
    <w:rsid w:val="003C4162"/>
    <w:rsid w:val="003D5691"/>
    <w:rsid w:val="003E0D12"/>
    <w:rsid w:val="003E4333"/>
    <w:rsid w:val="003E71A0"/>
    <w:rsid w:val="003F10D6"/>
    <w:rsid w:val="003F1417"/>
    <w:rsid w:val="0040196E"/>
    <w:rsid w:val="00406C3D"/>
    <w:rsid w:val="00406DDA"/>
    <w:rsid w:val="00412C7A"/>
    <w:rsid w:val="00413C4E"/>
    <w:rsid w:val="00415CDA"/>
    <w:rsid w:val="00416CC3"/>
    <w:rsid w:val="00417966"/>
    <w:rsid w:val="004452FC"/>
    <w:rsid w:val="0046145E"/>
    <w:rsid w:val="00463BE8"/>
    <w:rsid w:val="00470683"/>
    <w:rsid w:val="0047212C"/>
    <w:rsid w:val="00473D85"/>
    <w:rsid w:val="00475A84"/>
    <w:rsid w:val="00483ABF"/>
    <w:rsid w:val="004856CF"/>
    <w:rsid w:val="00497839"/>
    <w:rsid w:val="004A60E2"/>
    <w:rsid w:val="004B5A06"/>
    <w:rsid w:val="004C21D3"/>
    <w:rsid w:val="004C740B"/>
    <w:rsid w:val="004C792C"/>
    <w:rsid w:val="004E0D63"/>
    <w:rsid w:val="004E63FC"/>
    <w:rsid w:val="004E7A7C"/>
    <w:rsid w:val="004F6249"/>
    <w:rsid w:val="00513EC7"/>
    <w:rsid w:val="0051614E"/>
    <w:rsid w:val="00520912"/>
    <w:rsid w:val="0052794A"/>
    <w:rsid w:val="00535CD6"/>
    <w:rsid w:val="0054337E"/>
    <w:rsid w:val="00547E59"/>
    <w:rsid w:val="00550FCC"/>
    <w:rsid w:val="00554AE4"/>
    <w:rsid w:val="00561E73"/>
    <w:rsid w:val="00563729"/>
    <w:rsid w:val="005646C3"/>
    <w:rsid w:val="00570F7A"/>
    <w:rsid w:val="005718D7"/>
    <w:rsid w:val="005915F6"/>
    <w:rsid w:val="00591E4A"/>
    <w:rsid w:val="00596EDD"/>
    <w:rsid w:val="005A1673"/>
    <w:rsid w:val="005A1B1B"/>
    <w:rsid w:val="005A2346"/>
    <w:rsid w:val="005B7C64"/>
    <w:rsid w:val="005C4D90"/>
    <w:rsid w:val="005C5DC1"/>
    <w:rsid w:val="005C658E"/>
    <w:rsid w:val="005C74FB"/>
    <w:rsid w:val="005E6AD8"/>
    <w:rsid w:val="005F0168"/>
    <w:rsid w:val="005F0A2F"/>
    <w:rsid w:val="005F586A"/>
    <w:rsid w:val="00604BD2"/>
    <w:rsid w:val="006205CF"/>
    <w:rsid w:val="006219DA"/>
    <w:rsid w:val="0062716C"/>
    <w:rsid w:val="006350B7"/>
    <w:rsid w:val="00646612"/>
    <w:rsid w:val="006469F3"/>
    <w:rsid w:val="00651737"/>
    <w:rsid w:val="0065420F"/>
    <w:rsid w:val="00656CBC"/>
    <w:rsid w:val="00670C8C"/>
    <w:rsid w:val="006831C1"/>
    <w:rsid w:val="00683852"/>
    <w:rsid w:val="006A2316"/>
    <w:rsid w:val="006A42D4"/>
    <w:rsid w:val="006A7B1F"/>
    <w:rsid w:val="006B577E"/>
    <w:rsid w:val="006C0613"/>
    <w:rsid w:val="006C216F"/>
    <w:rsid w:val="006C3C82"/>
    <w:rsid w:val="006C4499"/>
    <w:rsid w:val="006D0307"/>
    <w:rsid w:val="006D7EE4"/>
    <w:rsid w:val="006E01D9"/>
    <w:rsid w:val="006E749A"/>
    <w:rsid w:val="007009D5"/>
    <w:rsid w:val="00702E60"/>
    <w:rsid w:val="007109F5"/>
    <w:rsid w:val="00723C9E"/>
    <w:rsid w:val="00743995"/>
    <w:rsid w:val="007462DD"/>
    <w:rsid w:val="00746B31"/>
    <w:rsid w:val="0075372C"/>
    <w:rsid w:val="00757000"/>
    <w:rsid w:val="007601C2"/>
    <w:rsid w:val="00765F43"/>
    <w:rsid w:val="00770643"/>
    <w:rsid w:val="0077256F"/>
    <w:rsid w:val="00777DE9"/>
    <w:rsid w:val="00794A50"/>
    <w:rsid w:val="007A7474"/>
    <w:rsid w:val="007B30CF"/>
    <w:rsid w:val="007C562B"/>
    <w:rsid w:val="007D7BE3"/>
    <w:rsid w:val="007E1A62"/>
    <w:rsid w:val="007E1A7A"/>
    <w:rsid w:val="00801472"/>
    <w:rsid w:val="00802233"/>
    <w:rsid w:val="008072B3"/>
    <w:rsid w:val="00811B08"/>
    <w:rsid w:val="008176A6"/>
    <w:rsid w:val="008220D7"/>
    <w:rsid w:val="008234D9"/>
    <w:rsid w:val="00827F78"/>
    <w:rsid w:val="00841717"/>
    <w:rsid w:val="00841A00"/>
    <w:rsid w:val="008469AD"/>
    <w:rsid w:val="0085057F"/>
    <w:rsid w:val="0085543A"/>
    <w:rsid w:val="008876B2"/>
    <w:rsid w:val="008929EF"/>
    <w:rsid w:val="00893D4A"/>
    <w:rsid w:val="008A7D3B"/>
    <w:rsid w:val="008D5F41"/>
    <w:rsid w:val="008E0D35"/>
    <w:rsid w:val="008F03C4"/>
    <w:rsid w:val="008F0A3A"/>
    <w:rsid w:val="009005BB"/>
    <w:rsid w:val="00900909"/>
    <w:rsid w:val="00901E5F"/>
    <w:rsid w:val="00902A11"/>
    <w:rsid w:val="00925B4F"/>
    <w:rsid w:val="009318F3"/>
    <w:rsid w:val="00933B4C"/>
    <w:rsid w:val="009348AA"/>
    <w:rsid w:val="009417A3"/>
    <w:rsid w:val="009505E3"/>
    <w:rsid w:val="00954BE4"/>
    <w:rsid w:val="00954EA4"/>
    <w:rsid w:val="00956AEB"/>
    <w:rsid w:val="00962B08"/>
    <w:rsid w:val="00967D72"/>
    <w:rsid w:val="00971688"/>
    <w:rsid w:val="00973C9C"/>
    <w:rsid w:val="00976AE5"/>
    <w:rsid w:val="009832A4"/>
    <w:rsid w:val="00984881"/>
    <w:rsid w:val="00990975"/>
    <w:rsid w:val="009A0015"/>
    <w:rsid w:val="009A1DDA"/>
    <w:rsid w:val="009B165E"/>
    <w:rsid w:val="009B2880"/>
    <w:rsid w:val="009B4CF8"/>
    <w:rsid w:val="009B529F"/>
    <w:rsid w:val="009C1436"/>
    <w:rsid w:val="009C7B1E"/>
    <w:rsid w:val="009D7EB3"/>
    <w:rsid w:val="009E3455"/>
    <w:rsid w:val="009E5841"/>
    <w:rsid w:val="009F1F97"/>
    <w:rsid w:val="009F2E34"/>
    <w:rsid w:val="009F5AAA"/>
    <w:rsid w:val="00A0382A"/>
    <w:rsid w:val="00A06568"/>
    <w:rsid w:val="00A07AF5"/>
    <w:rsid w:val="00A239A9"/>
    <w:rsid w:val="00A25618"/>
    <w:rsid w:val="00A301DD"/>
    <w:rsid w:val="00A32599"/>
    <w:rsid w:val="00A331DE"/>
    <w:rsid w:val="00A36403"/>
    <w:rsid w:val="00A375F8"/>
    <w:rsid w:val="00A526BF"/>
    <w:rsid w:val="00A5659C"/>
    <w:rsid w:val="00A61B8E"/>
    <w:rsid w:val="00A73F3F"/>
    <w:rsid w:val="00AA2D83"/>
    <w:rsid w:val="00AA4B11"/>
    <w:rsid w:val="00AB0ABE"/>
    <w:rsid w:val="00AB5A48"/>
    <w:rsid w:val="00AC149D"/>
    <w:rsid w:val="00AC7031"/>
    <w:rsid w:val="00AD6D80"/>
    <w:rsid w:val="00AF02EB"/>
    <w:rsid w:val="00AF32A5"/>
    <w:rsid w:val="00AF627B"/>
    <w:rsid w:val="00B044F3"/>
    <w:rsid w:val="00B057CB"/>
    <w:rsid w:val="00B1253D"/>
    <w:rsid w:val="00B13AD7"/>
    <w:rsid w:val="00B14C7B"/>
    <w:rsid w:val="00B17F38"/>
    <w:rsid w:val="00B305DD"/>
    <w:rsid w:val="00B529FF"/>
    <w:rsid w:val="00B56352"/>
    <w:rsid w:val="00B5699D"/>
    <w:rsid w:val="00B654C0"/>
    <w:rsid w:val="00B725B8"/>
    <w:rsid w:val="00B7453A"/>
    <w:rsid w:val="00B82CC0"/>
    <w:rsid w:val="00B842CF"/>
    <w:rsid w:val="00B86CD2"/>
    <w:rsid w:val="00BA54C2"/>
    <w:rsid w:val="00BB55B0"/>
    <w:rsid w:val="00BB5FFF"/>
    <w:rsid w:val="00BC6A56"/>
    <w:rsid w:val="00BD3DF5"/>
    <w:rsid w:val="00BD4F6E"/>
    <w:rsid w:val="00BE52F3"/>
    <w:rsid w:val="00BE68CD"/>
    <w:rsid w:val="00BE7255"/>
    <w:rsid w:val="00BF3F82"/>
    <w:rsid w:val="00BF557E"/>
    <w:rsid w:val="00C02ADF"/>
    <w:rsid w:val="00C05C6E"/>
    <w:rsid w:val="00C060B9"/>
    <w:rsid w:val="00C12FE5"/>
    <w:rsid w:val="00C227BE"/>
    <w:rsid w:val="00C31F9B"/>
    <w:rsid w:val="00C326DD"/>
    <w:rsid w:val="00C46EF1"/>
    <w:rsid w:val="00C773FD"/>
    <w:rsid w:val="00C95495"/>
    <w:rsid w:val="00CA1FF0"/>
    <w:rsid w:val="00CA722F"/>
    <w:rsid w:val="00CB2499"/>
    <w:rsid w:val="00CB65E7"/>
    <w:rsid w:val="00CB6D6C"/>
    <w:rsid w:val="00CC3142"/>
    <w:rsid w:val="00CC4021"/>
    <w:rsid w:val="00CD6E1B"/>
    <w:rsid w:val="00CE0AAA"/>
    <w:rsid w:val="00CE1E32"/>
    <w:rsid w:val="00CE43A8"/>
    <w:rsid w:val="00CF325D"/>
    <w:rsid w:val="00D001DB"/>
    <w:rsid w:val="00D01F89"/>
    <w:rsid w:val="00D21232"/>
    <w:rsid w:val="00D23563"/>
    <w:rsid w:val="00D2461E"/>
    <w:rsid w:val="00D24B74"/>
    <w:rsid w:val="00D33380"/>
    <w:rsid w:val="00D438E9"/>
    <w:rsid w:val="00D46714"/>
    <w:rsid w:val="00D55EB5"/>
    <w:rsid w:val="00D631CC"/>
    <w:rsid w:val="00D67951"/>
    <w:rsid w:val="00D74601"/>
    <w:rsid w:val="00D836EF"/>
    <w:rsid w:val="00D85775"/>
    <w:rsid w:val="00D97EF9"/>
    <w:rsid w:val="00DA7486"/>
    <w:rsid w:val="00DA75A9"/>
    <w:rsid w:val="00DB52E9"/>
    <w:rsid w:val="00DB5307"/>
    <w:rsid w:val="00DE364B"/>
    <w:rsid w:val="00DE5408"/>
    <w:rsid w:val="00DF323D"/>
    <w:rsid w:val="00DF7C00"/>
    <w:rsid w:val="00E1247F"/>
    <w:rsid w:val="00E12B1A"/>
    <w:rsid w:val="00E1322B"/>
    <w:rsid w:val="00E21B76"/>
    <w:rsid w:val="00E719EF"/>
    <w:rsid w:val="00E72C72"/>
    <w:rsid w:val="00E74D60"/>
    <w:rsid w:val="00E750B6"/>
    <w:rsid w:val="00E838E6"/>
    <w:rsid w:val="00E924EF"/>
    <w:rsid w:val="00EA0FD2"/>
    <w:rsid w:val="00EA1027"/>
    <w:rsid w:val="00EB1F5F"/>
    <w:rsid w:val="00EB204B"/>
    <w:rsid w:val="00EC5048"/>
    <w:rsid w:val="00EC5B11"/>
    <w:rsid w:val="00EE04EB"/>
    <w:rsid w:val="00EE20F1"/>
    <w:rsid w:val="00EE3C20"/>
    <w:rsid w:val="00EF3A76"/>
    <w:rsid w:val="00EF4390"/>
    <w:rsid w:val="00F07996"/>
    <w:rsid w:val="00F16D98"/>
    <w:rsid w:val="00F20DF6"/>
    <w:rsid w:val="00F22E36"/>
    <w:rsid w:val="00F23B80"/>
    <w:rsid w:val="00F23BD7"/>
    <w:rsid w:val="00F245CD"/>
    <w:rsid w:val="00F2504E"/>
    <w:rsid w:val="00F279CA"/>
    <w:rsid w:val="00F27CB0"/>
    <w:rsid w:val="00F30A2C"/>
    <w:rsid w:val="00F358D1"/>
    <w:rsid w:val="00F422E6"/>
    <w:rsid w:val="00F43FB5"/>
    <w:rsid w:val="00F446FB"/>
    <w:rsid w:val="00F47130"/>
    <w:rsid w:val="00F53FF2"/>
    <w:rsid w:val="00F73923"/>
    <w:rsid w:val="00F920A1"/>
    <w:rsid w:val="00F931F3"/>
    <w:rsid w:val="00F95BEE"/>
    <w:rsid w:val="00F95EE9"/>
    <w:rsid w:val="00FA377A"/>
    <w:rsid w:val="00FA5D07"/>
    <w:rsid w:val="00FB32A8"/>
    <w:rsid w:val="00FB4BBF"/>
    <w:rsid w:val="00FB7457"/>
    <w:rsid w:val="00FC3BD8"/>
    <w:rsid w:val="00FC70AB"/>
    <w:rsid w:val="00FD588F"/>
    <w:rsid w:val="00FE11BD"/>
    <w:rsid w:val="00FE1478"/>
    <w:rsid w:val="00FF20A2"/>
    <w:rsid w:val="00FF5B42"/>
    <w:rsid w:val="00FF5F43"/>
    <w:rsid w:val="00FF72DE"/>
  </w:rsids>
  <m:mathPr>
    <m:mathFont m:val="Cambria Math"/>
    <m:brkBin m:val="before"/>
    <m:brkBinSub m:val="--"/>
    <m:smallFrac m:val="0"/>
    <m:dispDef/>
    <m:lMargin m:val="1440"/>
    <m:rMargin m:val="144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CC"/>
    <w:pPr>
      <w:jc w:val="both"/>
    </w:pPr>
    <w:rPr>
      <w:rFonts w:ascii="Century Gothic" w:hAnsi="Century Gothic"/>
      <w:szCs w:val="20"/>
    </w:rPr>
  </w:style>
  <w:style w:type="paragraph" w:styleId="Ttulo1">
    <w:name w:val="heading 1"/>
    <w:basedOn w:val="Normal"/>
    <w:next w:val="Normal"/>
    <w:link w:val="Ttulo1Car"/>
    <w:uiPriority w:val="9"/>
    <w:qFormat/>
    <w:rsid w:val="00E719EF"/>
    <w:pPr>
      <w:pBdr>
        <w:bottom w:val="single" w:sz="4" w:space="1" w:color="438086" w:themeColor="accent2"/>
      </w:pBdr>
      <w:spacing w:before="360" w:after="80"/>
      <w:outlineLvl w:val="0"/>
    </w:pPr>
    <w:rPr>
      <w:rFonts w:asciiTheme="majorHAnsi" w:hAnsiTheme="majorHAnsi"/>
      <w:b/>
      <w:color w:val="438086" w:themeColor="accent2"/>
      <w:sz w:val="32"/>
      <w:szCs w:val="32"/>
    </w:rPr>
  </w:style>
  <w:style w:type="paragraph" w:styleId="Ttulo2">
    <w:name w:val="heading 2"/>
    <w:basedOn w:val="Normal"/>
    <w:next w:val="Normal"/>
    <w:link w:val="Ttulo2Car"/>
    <w:uiPriority w:val="9"/>
    <w:qFormat/>
    <w:rsid w:val="00AA2D83"/>
    <w:pPr>
      <w:spacing w:after="0"/>
      <w:outlineLvl w:val="1"/>
    </w:pPr>
    <w:rPr>
      <w:rFonts w:asciiTheme="majorHAnsi" w:hAnsiTheme="majorHAnsi"/>
      <w:b/>
      <w:color w:val="438086" w:themeColor="accent2"/>
      <w:sz w:val="28"/>
      <w:szCs w:val="28"/>
    </w:rPr>
  </w:style>
  <w:style w:type="paragraph" w:styleId="Ttulo3">
    <w:name w:val="heading 3"/>
    <w:basedOn w:val="Normal"/>
    <w:next w:val="Normal"/>
    <w:link w:val="Ttulo3Car"/>
    <w:uiPriority w:val="9"/>
    <w:qFormat/>
    <w:rsid w:val="00AA2D83"/>
    <w:pPr>
      <w:spacing w:after="0"/>
      <w:outlineLvl w:val="2"/>
    </w:pPr>
    <w:rPr>
      <w:rFonts w:asciiTheme="majorHAnsi" w:hAnsiTheme="majorHAnsi"/>
      <w:b/>
      <w:color w:val="438086" w:themeColor="accent2"/>
      <w:szCs w:val="24"/>
    </w:rPr>
  </w:style>
  <w:style w:type="paragraph" w:styleId="Ttulo4">
    <w:name w:val="heading 4"/>
    <w:basedOn w:val="Normal"/>
    <w:next w:val="Normal"/>
    <w:link w:val="Ttulo4Car"/>
    <w:uiPriority w:val="9"/>
    <w:unhideWhenUsed/>
    <w:qFormat/>
    <w:rsid w:val="00AA2D83"/>
    <w:pPr>
      <w:spacing w:after="0"/>
      <w:outlineLvl w:val="3"/>
    </w:pPr>
    <w:rPr>
      <w:rFonts w:asciiTheme="majorHAnsi" w:hAnsiTheme="majorHAnsi"/>
      <w:b/>
      <w:i/>
      <w:color w:val="438086" w:themeColor="accent2"/>
      <w:szCs w:val="22"/>
    </w:rPr>
  </w:style>
  <w:style w:type="paragraph" w:styleId="Ttulo5">
    <w:name w:val="heading 5"/>
    <w:basedOn w:val="Normal"/>
    <w:next w:val="Normal"/>
    <w:link w:val="Ttulo5Car"/>
    <w:uiPriority w:val="9"/>
    <w:semiHidden/>
    <w:unhideWhenUsed/>
    <w:qFormat/>
    <w:pPr>
      <w:spacing w:after="0"/>
      <w:outlineLvl w:val="4"/>
    </w:pPr>
    <w:rPr>
      <w:rFonts w:asciiTheme="majorHAnsi" w:hAnsiTheme="majorHAnsi"/>
      <w:b/>
      <w:color w:val="325F64" w:themeColor="accent2" w:themeShade="BF"/>
    </w:rPr>
  </w:style>
  <w:style w:type="paragraph" w:styleId="Ttulo6">
    <w:name w:val="heading 6"/>
    <w:basedOn w:val="Normal"/>
    <w:next w:val="Normal"/>
    <w:link w:val="Ttulo6Car"/>
    <w:uiPriority w:val="9"/>
    <w:semiHidden/>
    <w:unhideWhenUsed/>
    <w:qFormat/>
    <w:pPr>
      <w:spacing w:after="0"/>
      <w:outlineLvl w:val="5"/>
    </w:pPr>
    <w:rPr>
      <w:rFonts w:asciiTheme="majorHAnsi" w:hAnsiTheme="majorHAnsi"/>
      <w:b/>
      <w:i/>
      <w:color w:val="325F64" w:themeColor="accent2" w:themeShade="BF"/>
    </w:rPr>
  </w:style>
  <w:style w:type="paragraph" w:styleId="Ttulo7">
    <w:name w:val="heading 7"/>
    <w:basedOn w:val="Normal"/>
    <w:next w:val="Normal"/>
    <w:link w:val="Ttulo7Car"/>
    <w:uiPriority w:val="9"/>
    <w:semiHidden/>
    <w:unhideWhenUsed/>
    <w:qFormat/>
    <w:pPr>
      <w:spacing w:after="0"/>
      <w:outlineLvl w:val="6"/>
    </w:pPr>
    <w:rPr>
      <w:rFonts w:asciiTheme="majorHAnsi" w:hAnsiTheme="majorHAnsi"/>
      <w:b/>
      <w:color w:val="53548A" w:themeColor="accent1"/>
    </w:rPr>
  </w:style>
  <w:style w:type="paragraph" w:styleId="Ttulo8">
    <w:name w:val="heading 8"/>
    <w:basedOn w:val="Normal"/>
    <w:next w:val="Normal"/>
    <w:link w:val="Ttulo8Car"/>
    <w:uiPriority w:val="9"/>
    <w:semiHidden/>
    <w:unhideWhenUsed/>
    <w:qFormat/>
    <w:pPr>
      <w:spacing w:after="0"/>
      <w:outlineLvl w:val="7"/>
    </w:pPr>
    <w:rPr>
      <w:rFonts w:asciiTheme="majorHAnsi" w:hAnsiTheme="majorHAnsi"/>
      <w:b/>
      <w:i/>
      <w:color w:val="53548A" w:themeColor="accent1"/>
    </w:rPr>
  </w:style>
  <w:style w:type="paragraph" w:styleId="Ttulo9">
    <w:name w:val="heading 9"/>
    <w:basedOn w:val="Normal"/>
    <w:next w:val="Normal"/>
    <w:link w:val="Ttulo9Car"/>
    <w:uiPriority w:val="9"/>
    <w:semiHidden/>
    <w:unhideWhenUsed/>
    <w:qFormat/>
    <w:pPr>
      <w:spacing w:after="0"/>
      <w:outlineLvl w:val="8"/>
    </w:pPr>
    <w:rPr>
      <w:rFonts w:asciiTheme="majorHAnsi" w:hAnsiTheme="majorHAnsi"/>
      <w:b/>
      <w:color w:val="313240" w:themeColor="tex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uiPriority w:val="10"/>
    <w:qFormat/>
    <w:pPr>
      <w:spacing w:before="400"/>
    </w:pPr>
    <w:rPr>
      <w:rFonts w:asciiTheme="majorHAnsi" w:hAnsiTheme="majorHAnsi"/>
      <w:color w:val="3E3E67" w:themeColor="accent1" w:themeShade="BF"/>
      <w:sz w:val="56"/>
      <w:szCs w:val="56"/>
    </w:rPr>
  </w:style>
  <w:style w:type="character" w:customStyle="1" w:styleId="TtuloCar">
    <w:name w:val="Título Car"/>
    <w:basedOn w:val="Fuentedeprrafopredeter"/>
    <w:link w:val="Ttulo"/>
    <w:uiPriority w:val="10"/>
    <w:rPr>
      <w:rFonts w:asciiTheme="majorHAnsi" w:hAnsiTheme="majorHAnsi"/>
      <w:color w:val="3E3E67" w:themeColor="accent1" w:themeShade="BF"/>
      <w:sz w:val="56"/>
      <w:szCs w:val="56"/>
    </w:rPr>
  </w:style>
  <w:style w:type="paragraph" w:styleId="Subttulo">
    <w:name w:val="Subtitle"/>
    <w:basedOn w:val="Normal"/>
    <w:link w:val="SubttuloCar"/>
    <w:uiPriority w:val="11"/>
    <w:qFormat/>
    <w:pPr>
      <w:spacing w:after="480"/>
    </w:pPr>
    <w:rPr>
      <w:i/>
      <w:color w:val="424456" w:themeColor="text2"/>
      <w:szCs w:val="24"/>
    </w:rPr>
  </w:style>
  <w:style w:type="character" w:customStyle="1" w:styleId="SubttuloCar">
    <w:name w:val="Subtítulo Car"/>
    <w:basedOn w:val="Fuentedeprrafopredeter"/>
    <w:link w:val="Subttulo"/>
    <w:uiPriority w:val="11"/>
    <w:rPr>
      <w:i/>
      <w:color w:val="424456" w:themeColor="text2"/>
      <w:sz w:val="24"/>
      <w:szCs w:val="24"/>
    </w:rPr>
  </w:style>
  <w:style w:type="character" w:styleId="nfasisintenso">
    <w:name w:val="Intense Emphasis"/>
    <w:basedOn w:val="Fuentedeprrafopredeter"/>
    <w:uiPriority w:val="21"/>
    <w:qFormat/>
    <w:rPr>
      <w:rFonts w:asciiTheme="minorHAnsi" w:hAnsiTheme="minorHAnsi" w:cstheme="minorBidi"/>
      <w:b/>
      <w:i/>
      <w:caps/>
      <w:color w:val="438086"/>
      <w:spacing w:val="5"/>
    </w:rPr>
  </w:style>
  <w:style w:type="character" w:customStyle="1" w:styleId="Ttulo1Car">
    <w:name w:val="Título 1 Car"/>
    <w:basedOn w:val="Fuentedeprrafopredeter"/>
    <w:link w:val="Ttulo1"/>
    <w:uiPriority w:val="9"/>
    <w:rsid w:val="00E719EF"/>
    <w:rPr>
      <w:rFonts w:asciiTheme="majorHAnsi" w:hAnsiTheme="majorHAnsi"/>
      <w:b/>
      <w:color w:val="438086" w:themeColor="accent2"/>
      <w:sz w:val="32"/>
      <w:szCs w:val="32"/>
    </w:rPr>
  </w:style>
  <w:style w:type="character" w:customStyle="1" w:styleId="Ttulo2Car">
    <w:name w:val="Título 2 Car"/>
    <w:basedOn w:val="Fuentedeprrafopredeter"/>
    <w:link w:val="Ttulo2"/>
    <w:uiPriority w:val="9"/>
    <w:rsid w:val="00AA2D83"/>
    <w:rPr>
      <w:rFonts w:asciiTheme="majorHAnsi" w:hAnsiTheme="majorHAnsi"/>
      <w:b/>
      <w:color w:val="438086" w:themeColor="accent2"/>
      <w:sz w:val="28"/>
      <w:szCs w:val="28"/>
    </w:rPr>
  </w:style>
  <w:style w:type="character" w:customStyle="1" w:styleId="Ttulo3Car">
    <w:name w:val="Título 3 Car"/>
    <w:basedOn w:val="Fuentedeprrafopredeter"/>
    <w:link w:val="Ttulo3"/>
    <w:uiPriority w:val="9"/>
    <w:rsid w:val="00AA2D83"/>
    <w:rPr>
      <w:rFonts w:asciiTheme="majorHAnsi" w:hAnsiTheme="majorHAnsi"/>
      <w:b/>
      <w:color w:val="438086" w:themeColor="accent2"/>
      <w:sz w:val="24"/>
      <w:szCs w:val="24"/>
    </w:rPr>
  </w:style>
  <w:style w:type="character" w:customStyle="1" w:styleId="Ttulo4Car">
    <w:name w:val="Título 4 Car"/>
    <w:basedOn w:val="Fuentedeprrafopredeter"/>
    <w:link w:val="Ttulo4"/>
    <w:uiPriority w:val="9"/>
    <w:rsid w:val="00AA2D83"/>
    <w:rPr>
      <w:rFonts w:asciiTheme="majorHAnsi" w:hAnsiTheme="majorHAnsi"/>
      <w:b/>
      <w:i/>
      <w:color w:val="438086" w:themeColor="accent2"/>
    </w:rPr>
  </w:style>
  <w:style w:type="character" w:customStyle="1" w:styleId="Ttulo5Car">
    <w:name w:val="Título 5 Car"/>
    <w:basedOn w:val="Fuentedeprrafopredeter"/>
    <w:link w:val="Ttulo5"/>
    <w:uiPriority w:val="9"/>
    <w:semiHidden/>
    <w:rPr>
      <w:rFonts w:asciiTheme="majorHAnsi" w:hAnsiTheme="majorHAnsi"/>
      <w:b/>
      <w:color w:val="325F64" w:themeColor="accent2" w:themeShade="BF"/>
      <w:sz w:val="20"/>
      <w:szCs w:val="20"/>
    </w:rPr>
  </w:style>
  <w:style w:type="character" w:customStyle="1" w:styleId="Ttulo6Car">
    <w:name w:val="Título 6 Car"/>
    <w:basedOn w:val="Fuentedeprrafopredeter"/>
    <w:link w:val="Ttulo6"/>
    <w:uiPriority w:val="9"/>
    <w:semiHidden/>
    <w:rPr>
      <w:rFonts w:asciiTheme="majorHAnsi" w:hAnsiTheme="majorHAnsi"/>
      <w:b/>
      <w:i/>
      <w:color w:val="325F64" w:themeColor="accent2" w:themeShade="BF"/>
      <w:sz w:val="20"/>
      <w:szCs w:val="20"/>
    </w:rPr>
  </w:style>
  <w:style w:type="character" w:customStyle="1" w:styleId="Ttulo7Car">
    <w:name w:val="Título 7 Car"/>
    <w:basedOn w:val="Fuentedeprrafopredeter"/>
    <w:link w:val="Ttulo7"/>
    <w:uiPriority w:val="9"/>
    <w:semiHidden/>
    <w:rPr>
      <w:rFonts w:asciiTheme="majorHAnsi" w:hAnsiTheme="majorHAnsi"/>
      <w:b/>
      <w:color w:val="53548A" w:themeColor="accent1"/>
      <w:sz w:val="20"/>
      <w:szCs w:val="20"/>
    </w:rPr>
  </w:style>
  <w:style w:type="character" w:customStyle="1" w:styleId="Ttulo8Car">
    <w:name w:val="Título 8 Car"/>
    <w:basedOn w:val="Fuentedeprrafopredeter"/>
    <w:link w:val="Ttulo8"/>
    <w:uiPriority w:val="9"/>
    <w:semiHidden/>
    <w:rPr>
      <w:rFonts w:asciiTheme="majorHAnsi" w:hAnsiTheme="majorHAnsi"/>
      <w:b/>
      <w:i/>
      <w:color w:val="53548A" w:themeColor="accent1"/>
      <w:sz w:val="20"/>
      <w:szCs w:val="20"/>
    </w:rPr>
  </w:style>
  <w:style w:type="character" w:customStyle="1" w:styleId="Ttulo9Car">
    <w:name w:val="Título 9 Car"/>
    <w:basedOn w:val="Fuentedeprrafopredeter"/>
    <w:link w:val="Ttulo9"/>
    <w:uiPriority w:val="9"/>
    <w:semiHidden/>
    <w:rPr>
      <w:rFonts w:asciiTheme="majorHAnsi" w:hAnsiTheme="majorHAnsi"/>
      <w:b/>
      <w:color w:val="313240" w:themeColor="text2" w:themeShade="BF"/>
      <w:sz w:val="20"/>
      <w:szCs w:val="20"/>
    </w:rPr>
  </w:style>
  <w:style w:type="character" w:styleId="Textoennegrita">
    <w:name w:val="Strong"/>
    <w:basedOn w:val="Fuentedeprrafopredeter"/>
    <w:uiPriority w:val="22"/>
    <w:qFormat/>
    <w:rPr>
      <w:b/>
      <w:bCs/>
    </w:rPr>
  </w:style>
  <w:style w:type="paragraph" w:styleId="Textodebloqu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nfasissutil">
    <w:name w:val="Subtle Emphasis"/>
    <w:basedOn w:val="Fuentedeprrafopredeter"/>
    <w:uiPriority w:val="19"/>
    <w:qFormat/>
    <w:rPr>
      <w:rFonts w:asciiTheme="minorHAnsi" w:hAnsiTheme="minorHAnsi"/>
      <w:i/>
      <w:color w:val="006666"/>
    </w:rPr>
  </w:style>
  <w:style w:type="character" w:styleId="Referenciaintensa">
    <w:name w:val="Intense Reference"/>
    <w:basedOn w:val="Fuentedeprrafopredeter"/>
    <w:uiPriority w:val="32"/>
    <w:qFormat/>
    <w:rPr>
      <w:rFonts w:asciiTheme="minorHAnsi" w:hAnsiTheme="minorHAnsi" w:cs="Times New Roman"/>
      <w:b/>
      <w:i/>
      <w:caps/>
      <w:color w:val="4E4F89"/>
      <w:spacing w:val="5"/>
    </w:rPr>
  </w:style>
  <w:style w:type="character" w:styleId="Referenciasutil">
    <w:name w:val="Subtle Reference"/>
    <w:basedOn w:val="Fuentedeprrafopredeter"/>
    <w:uiPriority w:val="31"/>
    <w:qFormat/>
    <w:rPr>
      <w:rFonts w:cs="Times New Roman"/>
      <w:i/>
      <w:color w:val="4E4F89"/>
    </w:rPr>
  </w:style>
  <w:style w:type="character" w:styleId="nfasis">
    <w:name w:val="Emphasis"/>
    <w:uiPriority w:val="20"/>
    <w:qFormat/>
    <w:rPr>
      <w:rFonts w:asciiTheme="minorHAnsi" w:hAnsiTheme="minorHAnsi"/>
      <w:b/>
      <w:color w:val="438086" w:themeColor="accent2"/>
      <w:spacing w:val="10"/>
    </w:rPr>
  </w:style>
  <w:style w:type="character" w:styleId="Ttulodellibro">
    <w:name w:val="Book Title"/>
    <w:basedOn w:val="Fuentedeprrafopredeter"/>
    <w:uiPriority w:val="33"/>
    <w:qFormat/>
    <w:rPr>
      <w:rFonts w:ascii="Cambria" w:hAnsi="Cambria" w:cs="Times New Roman"/>
      <w:i/>
      <w:color w:val="000000"/>
      <w:sz w:val="20"/>
      <w:szCs w:val="2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sz w:val="20"/>
      <w:szCs w:val="20"/>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sz w:val="20"/>
      <w:szCs w:val="20"/>
    </w:rPr>
  </w:style>
  <w:style w:type="paragraph" w:styleId="Sangranormal">
    <w:name w:val="Normal Indent"/>
    <w:basedOn w:val="Normal"/>
    <w:uiPriority w:val="99"/>
    <w:unhideWhenUsed/>
    <w:pPr>
      <w:ind w:left="720"/>
      <w:contextualSpacing/>
    </w:pPr>
  </w:style>
  <w:style w:type="paragraph" w:styleId="Citadestacada">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Cs w:val="22"/>
    </w:rPr>
  </w:style>
  <w:style w:type="numbering" w:customStyle="1" w:styleId="Listaconvietasurbana">
    <w:name w:val="Lista con viñetas urbana"/>
    <w:uiPriority w:val="99"/>
    <w:pPr>
      <w:numPr>
        <w:numId w:val="17"/>
      </w:numPr>
    </w:pPr>
  </w:style>
  <w:style w:type="numbering" w:customStyle="1" w:styleId="Listanumeradaurbana">
    <w:name w:val="Lista numerada urbana"/>
    <w:uiPriority w:val="99"/>
    <w:pPr>
      <w:numPr>
        <w:numId w:val="22"/>
      </w:numPr>
    </w:pPr>
  </w:style>
  <w:style w:type="paragraph" w:styleId="Prrafodelista">
    <w:name w:val="List Paragraph"/>
    <w:basedOn w:val="Normal"/>
    <w:uiPriority w:val="34"/>
    <w:unhideWhenUsed/>
    <w:qFormat/>
    <w:pPr>
      <w:ind w:left="720"/>
      <w:contextualSpacing/>
    </w:pPr>
  </w:style>
  <w:style w:type="paragraph" w:styleId="Sinespaciado">
    <w:name w:val="No Spacing"/>
    <w:basedOn w:val="Normal"/>
    <w:uiPriority w:val="1"/>
    <w:qFormat/>
    <w:pPr>
      <w:spacing w:after="0" w:line="240" w:lineRule="auto"/>
    </w:pPr>
    <w:rPr>
      <w:szCs w:val="32"/>
    </w:rPr>
  </w:style>
  <w:style w:type="character" w:styleId="Textodelmarcadordeposicin">
    <w:name w:val="Placeholder Text"/>
    <w:basedOn w:val="Fuentedeprrafopredeter"/>
    <w:uiPriority w:val="99"/>
    <w:unhideWhenUsed/>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Vieta1">
    <w:name w:val="Viñeta 1"/>
    <w:basedOn w:val="Prrafodelista"/>
    <w:uiPriority w:val="38"/>
    <w:qFormat/>
    <w:pPr>
      <w:numPr>
        <w:numId w:val="38"/>
      </w:numPr>
      <w:spacing w:after="0"/>
    </w:pPr>
  </w:style>
  <w:style w:type="paragraph" w:customStyle="1" w:styleId="Vieta2">
    <w:name w:val="Viñeta 2"/>
    <w:basedOn w:val="Prrafodelista"/>
    <w:uiPriority w:val="38"/>
    <w:qFormat/>
    <w:pPr>
      <w:numPr>
        <w:ilvl w:val="1"/>
        <w:numId w:val="38"/>
      </w:numPr>
      <w:spacing w:after="0"/>
    </w:pPr>
  </w:style>
  <w:style w:type="paragraph" w:customStyle="1" w:styleId="Vieta3">
    <w:name w:val="Viñeta 3"/>
    <w:basedOn w:val="Prrafodelista"/>
    <w:uiPriority w:val="38"/>
    <w:qFormat/>
    <w:pPr>
      <w:numPr>
        <w:ilvl w:val="2"/>
        <w:numId w:val="38"/>
      </w:numPr>
      <w:spacing w:after="0"/>
    </w:pPr>
  </w:style>
  <w:style w:type="paragraph" w:customStyle="1" w:styleId="MarcadorDePosicinPredeterminadoAsunto10">
    <w:name w:val="MarcadorDePosiciónPredeterminado_Asunto10"/>
    <w:uiPriority w:val="39"/>
    <w:rPr>
      <w:i/>
      <w:color w:val="424456" w:themeColor="text2"/>
      <w:sz w:val="24"/>
      <w:szCs w:val="24"/>
    </w:rPr>
  </w:style>
  <w:style w:type="paragraph" w:customStyle="1" w:styleId="Encabezadopar">
    <w:name w:val="Encabezado par"/>
    <w:basedOn w:val="Encabezado"/>
    <w:uiPriority w:val="39"/>
    <w:pPr>
      <w:pBdr>
        <w:bottom w:val="single" w:sz="4" w:space="1" w:color="auto"/>
      </w:pBdr>
    </w:pPr>
  </w:style>
  <w:style w:type="paragraph" w:customStyle="1" w:styleId="Encabezadoimpar">
    <w:name w:val="Encabezado impar"/>
    <w:basedOn w:val="Encabezado"/>
    <w:uiPriority w:val="39"/>
    <w:pPr>
      <w:pBdr>
        <w:bottom w:val="single" w:sz="4" w:space="1" w:color="auto"/>
      </w:pBdr>
      <w:jc w:val="right"/>
    </w:pPr>
  </w:style>
  <w:style w:type="paragraph" w:customStyle="1" w:styleId="Categora">
    <w:name w:val="Categoría"/>
    <w:basedOn w:val="Normal"/>
    <w:uiPriority w:val="39"/>
    <w:qFormat/>
    <w:pPr>
      <w:framePr w:hSpace="187" w:wrap="around" w:hAnchor="margin" w:xAlign="center" w:y="721"/>
      <w:spacing w:after="0" w:line="240" w:lineRule="auto"/>
    </w:pPr>
    <w:rPr>
      <w:caps/>
      <w:szCs w:val="22"/>
    </w:rPr>
  </w:style>
  <w:style w:type="paragraph" w:customStyle="1" w:styleId="Comentarios">
    <w:name w:val="Comentarios"/>
    <w:basedOn w:val="Normal"/>
    <w:uiPriority w:val="39"/>
    <w:qFormat/>
    <w:pPr>
      <w:spacing w:after="120" w:line="240" w:lineRule="auto"/>
    </w:pPr>
    <w:rPr>
      <w:b/>
      <w:szCs w:val="22"/>
    </w:rPr>
  </w:style>
  <w:style w:type="paragraph" w:customStyle="1" w:styleId="Textodecomentarios">
    <w:name w:val="Texto de comentarios"/>
    <w:basedOn w:val="Normal"/>
    <w:uiPriority w:val="39"/>
    <w:qFormat/>
    <w:pPr>
      <w:spacing w:after="120" w:line="288" w:lineRule="auto"/>
    </w:pPr>
    <w:rPr>
      <w:szCs w:val="22"/>
    </w:rPr>
  </w:style>
  <w:style w:type="character" w:styleId="Hipervnculo">
    <w:name w:val="Hyperlink"/>
    <w:basedOn w:val="Fuentedeprrafopredeter"/>
    <w:uiPriority w:val="99"/>
    <w:unhideWhenUsed/>
    <w:rPr>
      <w:color w:val="67AFBD" w:themeColor="hyperlink"/>
      <w:u w:val="single"/>
    </w:rPr>
  </w:style>
  <w:style w:type="paragraph" w:styleId="TDC1">
    <w:name w:val="toc 1"/>
    <w:basedOn w:val="Normal"/>
    <w:next w:val="Normal"/>
    <w:autoRedefine/>
    <w:uiPriority w:val="39"/>
    <w:unhideWhenUsed/>
    <w:qFormat/>
    <w:rPr>
      <w:rFonts w:eastAsiaTheme="minorEastAsia"/>
      <w:szCs w:val="24"/>
    </w:rPr>
  </w:style>
  <w:style w:type="paragraph" w:styleId="TDC2">
    <w:name w:val="toc 2"/>
    <w:basedOn w:val="Normal"/>
    <w:next w:val="Normal"/>
    <w:autoRedefine/>
    <w:uiPriority w:val="39"/>
    <w:unhideWhenUsed/>
    <w:qFormat/>
    <w:pPr>
      <w:ind w:left="240"/>
    </w:pPr>
    <w:rPr>
      <w:rFonts w:eastAsiaTheme="minorEastAsia"/>
      <w:szCs w:val="24"/>
    </w:rPr>
  </w:style>
  <w:style w:type="paragraph" w:styleId="TDC3">
    <w:name w:val="toc 3"/>
    <w:basedOn w:val="Normal"/>
    <w:next w:val="Normal"/>
    <w:autoRedefine/>
    <w:uiPriority w:val="39"/>
    <w:unhideWhenUsed/>
    <w:qFormat/>
    <w:pPr>
      <w:spacing w:after="100"/>
      <w:ind w:left="400"/>
    </w:pPr>
  </w:style>
  <w:style w:type="paragraph" w:styleId="Epgrafe">
    <w:name w:val="caption"/>
    <w:basedOn w:val="Normal"/>
    <w:next w:val="Normal"/>
    <w:uiPriority w:val="35"/>
    <w:unhideWhenUsed/>
    <w:qFormat/>
    <w:pPr>
      <w:spacing w:line="240" w:lineRule="auto"/>
    </w:pPr>
    <w:rPr>
      <w:b/>
      <w:bCs/>
      <w:color w:val="53548A" w:themeColor="accent1"/>
      <w:sz w:val="18"/>
      <w:szCs w:val="18"/>
    </w:rPr>
  </w:style>
  <w:style w:type="paragraph" w:styleId="Textonotapie">
    <w:name w:val="footnote text"/>
    <w:basedOn w:val="Normal"/>
    <w:link w:val="TextonotapieCar"/>
    <w:uiPriority w:val="99"/>
    <w:semiHidden/>
    <w:unhideWhenUsed/>
    <w:rsid w:val="00E1322B"/>
    <w:pPr>
      <w:spacing w:after="0" w:line="240" w:lineRule="auto"/>
    </w:pPr>
    <w:rPr>
      <w:sz w:val="20"/>
    </w:rPr>
  </w:style>
  <w:style w:type="character" w:customStyle="1" w:styleId="TextonotapieCar">
    <w:name w:val="Texto nota pie Car"/>
    <w:basedOn w:val="Fuentedeprrafopredeter"/>
    <w:link w:val="Textonotapie"/>
    <w:uiPriority w:val="99"/>
    <w:semiHidden/>
    <w:rsid w:val="00E1322B"/>
    <w:rPr>
      <w:rFonts w:ascii="Century Gothic" w:hAnsi="Century Gothic"/>
      <w:sz w:val="20"/>
      <w:szCs w:val="20"/>
    </w:rPr>
  </w:style>
  <w:style w:type="character" w:styleId="Refdenotaalpie">
    <w:name w:val="footnote reference"/>
    <w:basedOn w:val="Fuentedeprrafopredeter"/>
    <w:uiPriority w:val="99"/>
    <w:semiHidden/>
    <w:unhideWhenUsed/>
    <w:rsid w:val="00E1322B"/>
    <w:rPr>
      <w:vertAlign w:val="superscript"/>
    </w:rPr>
  </w:style>
  <w:style w:type="paragraph" w:styleId="TtulodeTDC">
    <w:name w:val="TOC Heading"/>
    <w:basedOn w:val="Ttulo1"/>
    <w:next w:val="Normal"/>
    <w:uiPriority w:val="39"/>
    <w:semiHidden/>
    <w:unhideWhenUsed/>
    <w:qFormat/>
    <w:rsid w:val="00E924EF"/>
    <w:pPr>
      <w:keepNext/>
      <w:keepLines/>
      <w:pBdr>
        <w:bottom w:val="none" w:sz="0" w:space="0" w:color="auto"/>
      </w:pBdr>
      <w:spacing w:before="480" w:after="0"/>
      <w:jc w:val="left"/>
      <w:outlineLvl w:val="9"/>
    </w:pPr>
    <w:rPr>
      <w:rFonts w:eastAsiaTheme="majorEastAsia" w:cstheme="majorBidi"/>
      <w:bCs/>
      <w:color w:val="3E3E67" w:themeColor="accent1" w:themeShade="BF"/>
      <w:sz w:val="28"/>
      <w:szCs w:val="28"/>
    </w:rPr>
  </w:style>
  <w:style w:type="paragraph" w:styleId="Tabladeilustraciones">
    <w:name w:val="table of figures"/>
    <w:basedOn w:val="Normal"/>
    <w:next w:val="Normal"/>
    <w:uiPriority w:val="99"/>
    <w:unhideWhenUsed/>
    <w:rsid w:val="00E924EF"/>
    <w:pPr>
      <w:spacing w:after="0"/>
      <w:ind w:left="440" w:hanging="440"/>
      <w:jc w:val="left"/>
    </w:pPr>
    <w:rPr>
      <w:rFonts w:asciiTheme="minorHAnsi" w:hAnsiTheme="minorHAnsi"/>
      <w:b/>
      <w:bCs/>
      <w:sz w:val="20"/>
    </w:rPr>
  </w:style>
  <w:style w:type="table" w:styleId="Listavistosa-nfasis2">
    <w:name w:val="Colorful List Accent 2"/>
    <w:basedOn w:val="Tablanormal"/>
    <w:uiPriority w:val="42"/>
    <w:rsid w:val="0008061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5" w:themeFill="accent2" w:themeFillTint="19"/>
    </w:tcPr>
    <w:tblStylePr w:type="firstRow">
      <w:rPr>
        <w:b/>
        <w:bCs/>
        <w:color w:val="FFFFFF" w:themeColor="background1"/>
      </w:rPr>
      <w:tblPr/>
      <w:tcPr>
        <w:tcBorders>
          <w:bottom w:val="single" w:sz="12" w:space="0" w:color="FFFFFF" w:themeColor="background1"/>
        </w:tcBorders>
        <w:shd w:val="clear" w:color="auto" w:fill="35666B" w:themeFill="accent2" w:themeFillShade="CC"/>
      </w:tcPr>
    </w:tblStylePr>
    <w:tblStylePr w:type="lastRow">
      <w:rPr>
        <w:b/>
        <w:bCs/>
        <w:color w:val="3566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hemeFill="accent2" w:themeFillTint="3F"/>
      </w:tcPr>
    </w:tblStylePr>
    <w:tblStylePr w:type="band1Horz">
      <w:tblPr/>
      <w:tcPr>
        <w:shd w:val="clear" w:color="auto" w:fill="D5E8EA" w:themeFill="accent2" w:themeFillTint="33"/>
      </w:tcPr>
    </w:tblStylePr>
  </w:style>
  <w:style w:type="table" w:customStyle="1" w:styleId="Tablaconcuadrcula1">
    <w:name w:val="Tabla con cuadrícula1"/>
    <w:basedOn w:val="Tablanormal"/>
    <w:next w:val="Tablaconcuadrcula"/>
    <w:uiPriority w:val="59"/>
    <w:rsid w:val="00F931F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D364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35CD6"/>
    <w:rPr>
      <w:sz w:val="16"/>
      <w:szCs w:val="16"/>
    </w:rPr>
  </w:style>
  <w:style w:type="paragraph" w:styleId="Textocomentario">
    <w:name w:val="annotation text"/>
    <w:basedOn w:val="Normal"/>
    <w:link w:val="TextocomentarioCar"/>
    <w:uiPriority w:val="99"/>
    <w:semiHidden/>
    <w:unhideWhenUsed/>
    <w:rsid w:val="00535CD6"/>
    <w:pPr>
      <w:spacing w:line="240" w:lineRule="auto"/>
    </w:pPr>
    <w:rPr>
      <w:sz w:val="20"/>
    </w:rPr>
  </w:style>
  <w:style w:type="character" w:customStyle="1" w:styleId="TextocomentarioCar">
    <w:name w:val="Texto comentario Car"/>
    <w:basedOn w:val="Fuentedeprrafopredeter"/>
    <w:link w:val="Textocomentario"/>
    <w:uiPriority w:val="99"/>
    <w:semiHidden/>
    <w:rsid w:val="00535CD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5CD6"/>
    <w:rPr>
      <w:b/>
      <w:bCs/>
    </w:rPr>
  </w:style>
  <w:style w:type="character" w:customStyle="1" w:styleId="AsuntodelcomentarioCar">
    <w:name w:val="Asunto del comentario Car"/>
    <w:basedOn w:val="TextocomentarioCar"/>
    <w:link w:val="Asuntodelcomentario"/>
    <w:uiPriority w:val="99"/>
    <w:semiHidden/>
    <w:rsid w:val="00535CD6"/>
    <w:rPr>
      <w:rFonts w:ascii="Century Gothic" w:hAnsi="Century Gothic"/>
      <w:b/>
      <w:bCs/>
      <w:sz w:val="20"/>
      <w:szCs w:val="20"/>
    </w:rPr>
  </w:style>
  <w:style w:type="paragraph" w:styleId="Listaconvietas">
    <w:name w:val="List Bullet"/>
    <w:basedOn w:val="Normal"/>
    <w:uiPriority w:val="99"/>
    <w:unhideWhenUsed/>
    <w:rsid w:val="00D74601"/>
    <w:pPr>
      <w:numPr>
        <w:numId w:val="1"/>
      </w:numPr>
      <w:contextualSpacing/>
    </w:pPr>
  </w:style>
  <w:style w:type="table" w:styleId="Listaclara-nfasis2">
    <w:name w:val="Light List Accent 2"/>
    <w:basedOn w:val="Tablanormal"/>
    <w:uiPriority w:val="42"/>
    <w:rsid w:val="00141DBA"/>
    <w:pPr>
      <w:spacing w:after="0" w:line="240" w:lineRule="auto"/>
    </w:pPr>
    <w:tblPr>
      <w:tblStyleRowBandSize w:val="1"/>
      <w:tblStyleColBandSize w:val="1"/>
      <w:tblInd w:w="0" w:type="dxa"/>
      <w:tblBorders>
        <w:top w:val="single" w:sz="8" w:space="0" w:color="438086" w:themeColor="accent2"/>
        <w:left w:val="single" w:sz="8" w:space="0" w:color="438086" w:themeColor="accent2"/>
        <w:bottom w:val="single" w:sz="8" w:space="0" w:color="438086" w:themeColor="accent2"/>
        <w:right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38086" w:themeFill="accent2"/>
      </w:tcPr>
    </w:tblStylePr>
    <w:tblStylePr w:type="lastRow">
      <w:pPr>
        <w:spacing w:before="0" w:after="0" w:line="240" w:lineRule="auto"/>
      </w:pPr>
      <w:rPr>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tcBorders>
      </w:tcPr>
    </w:tblStylePr>
    <w:tblStylePr w:type="firstCol">
      <w:rPr>
        <w:b/>
        <w:bCs/>
      </w:rPr>
    </w:tblStylePr>
    <w:tblStylePr w:type="lastCol">
      <w:rPr>
        <w:b/>
        <w:bCs/>
      </w:r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style>
  <w:style w:type="paragraph" w:styleId="Textonotaalfinal">
    <w:name w:val="endnote text"/>
    <w:basedOn w:val="Normal"/>
    <w:link w:val="TextonotaalfinalCar"/>
    <w:uiPriority w:val="99"/>
    <w:semiHidden/>
    <w:unhideWhenUsed/>
    <w:rsid w:val="00360C44"/>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360C44"/>
    <w:rPr>
      <w:rFonts w:ascii="Century Gothic" w:hAnsi="Century Gothic"/>
      <w:sz w:val="20"/>
      <w:szCs w:val="20"/>
    </w:rPr>
  </w:style>
  <w:style w:type="character" w:styleId="Refdenotaalfinal">
    <w:name w:val="endnote reference"/>
    <w:basedOn w:val="Fuentedeprrafopredeter"/>
    <w:uiPriority w:val="99"/>
    <w:semiHidden/>
    <w:unhideWhenUsed/>
    <w:rsid w:val="00360C44"/>
    <w:rPr>
      <w:vertAlign w:val="superscript"/>
    </w:rPr>
  </w:style>
  <w:style w:type="table" w:styleId="Cuadrculamedia3-nfasis2">
    <w:name w:val="Medium Grid 3 Accent 2"/>
    <w:basedOn w:val="Tablanormal"/>
    <w:uiPriority w:val="42"/>
    <w:rsid w:val="00AB5A4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80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80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7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7CB"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CC"/>
    <w:pPr>
      <w:jc w:val="both"/>
    </w:pPr>
    <w:rPr>
      <w:rFonts w:ascii="Century Gothic" w:hAnsi="Century Gothic"/>
      <w:szCs w:val="20"/>
    </w:rPr>
  </w:style>
  <w:style w:type="paragraph" w:styleId="Ttulo1">
    <w:name w:val="heading 1"/>
    <w:basedOn w:val="Normal"/>
    <w:next w:val="Normal"/>
    <w:link w:val="Ttulo1Car"/>
    <w:uiPriority w:val="9"/>
    <w:qFormat/>
    <w:rsid w:val="00E719EF"/>
    <w:pPr>
      <w:pBdr>
        <w:bottom w:val="single" w:sz="4" w:space="1" w:color="438086" w:themeColor="accent2"/>
      </w:pBdr>
      <w:spacing w:before="360" w:after="80"/>
      <w:outlineLvl w:val="0"/>
    </w:pPr>
    <w:rPr>
      <w:rFonts w:asciiTheme="majorHAnsi" w:hAnsiTheme="majorHAnsi"/>
      <w:b/>
      <w:color w:val="438086" w:themeColor="accent2"/>
      <w:sz w:val="32"/>
      <w:szCs w:val="32"/>
    </w:rPr>
  </w:style>
  <w:style w:type="paragraph" w:styleId="Ttulo2">
    <w:name w:val="heading 2"/>
    <w:basedOn w:val="Normal"/>
    <w:next w:val="Normal"/>
    <w:link w:val="Ttulo2Car"/>
    <w:uiPriority w:val="9"/>
    <w:qFormat/>
    <w:rsid w:val="00AA2D83"/>
    <w:pPr>
      <w:spacing w:after="0"/>
      <w:outlineLvl w:val="1"/>
    </w:pPr>
    <w:rPr>
      <w:rFonts w:asciiTheme="majorHAnsi" w:hAnsiTheme="majorHAnsi"/>
      <w:b/>
      <w:color w:val="438086" w:themeColor="accent2"/>
      <w:sz w:val="28"/>
      <w:szCs w:val="28"/>
    </w:rPr>
  </w:style>
  <w:style w:type="paragraph" w:styleId="Ttulo3">
    <w:name w:val="heading 3"/>
    <w:basedOn w:val="Normal"/>
    <w:next w:val="Normal"/>
    <w:link w:val="Ttulo3Car"/>
    <w:uiPriority w:val="9"/>
    <w:qFormat/>
    <w:rsid w:val="00AA2D83"/>
    <w:pPr>
      <w:spacing w:after="0"/>
      <w:outlineLvl w:val="2"/>
    </w:pPr>
    <w:rPr>
      <w:rFonts w:asciiTheme="majorHAnsi" w:hAnsiTheme="majorHAnsi"/>
      <w:b/>
      <w:color w:val="438086" w:themeColor="accent2"/>
      <w:szCs w:val="24"/>
    </w:rPr>
  </w:style>
  <w:style w:type="paragraph" w:styleId="Ttulo4">
    <w:name w:val="heading 4"/>
    <w:basedOn w:val="Normal"/>
    <w:next w:val="Normal"/>
    <w:link w:val="Ttulo4Car"/>
    <w:uiPriority w:val="9"/>
    <w:unhideWhenUsed/>
    <w:qFormat/>
    <w:rsid w:val="00AA2D83"/>
    <w:pPr>
      <w:spacing w:after="0"/>
      <w:outlineLvl w:val="3"/>
    </w:pPr>
    <w:rPr>
      <w:rFonts w:asciiTheme="majorHAnsi" w:hAnsiTheme="majorHAnsi"/>
      <w:b/>
      <w:i/>
      <w:color w:val="438086" w:themeColor="accent2"/>
      <w:szCs w:val="22"/>
    </w:rPr>
  </w:style>
  <w:style w:type="paragraph" w:styleId="Ttulo5">
    <w:name w:val="heading 5"/>
    <w:basedOn w:val="Normal"/>
    <w:next w:val="Normal"/>
    <w:link w:val="Ttulo5Car"/>
    <w:uiPriority w:val="9"/>
    <w:semiHidden/>
    <w:unhideWhenUsed/>
    <w:qFormat/>
    <w:pPr>
      <w:spacing w:after="0"/>
      <w:outlineLvl w:val="4"/>
    </w:pPr>
    <w:rPr>
      <w:rFonts w:asciiTheme="majorHAnsi" w:hAnsiTheme="majorHAnsi"/>
      <w:b/>
      <w:color w:val="325F64" w:themeColor="accent2" w:themeShade="BF"/>
    </w:rPr>
  </w:style>
  <w:style w:type="paragraph" w:styleId="Ttulo6">
    <w:name w:val="heading 6"/>
    <w:basedOn w:val="Normal"/>
    <w:next w:val="Normal"/>
    <w:link w:val="Ttulo6Car"/>
    <w:uiPriority w:val="9"/>
    <w:semiHidden/>
    <w:unhideWhenUsed/>
    <w:qFormat/>
    <w:pPr>
      <w:spacing w:after="0"/>
      <w:outlineLvl w:val="5"/>
    </w:pPr>
    <w:rPr>
      <w:rFonts w:asciiTheme="majorHAnsi" w:hAnsiTheme="majorHAnsi"/>
      <w:b/>
      <w:i/>
      <w:color w:val="325F64" w:themeColor="accent2" w:themeShade="BF"/>
    </w:rPr>
  </w:style>
  <w:style w:type="paragraph" w:styleId="Ttulo7">
    <w:name w:val="heading 7"/>
    <w:basedOn w:val="Normal"/>
    <w:next w:val="Normal"/>
    <w:link w:val="Ttulo7Car"/>
    <w:uiPriority w:val="9"/>
    <w:semiHidden/>
    <w:unhideWhenUsed/>
    <w:qFormat/>
    <w:pPr>
      <w:spacing w:after="0"/>
      <w:outlineLvl w:val="6"/>
    </w:pPr>
    <w:rPr>
      <w:rFonts w:asciiTheme="majorHAnsi" w:hAnsiTheme="majorHAnsi"/>
      <w:b/>
      <w:color w:val="53548A" w:themeColor="accent1"/>
    </w:rPr>
  </w:style>
  <w:style w:type="paragraph" w:styleId="Ttulo8">
    <w:name w:val="heading 8"/>
    <w:basedOn w:val="Normal"/>
    <w:next w:val="Normal"/>
    <w:link w:val="Ttulo8Car"/>
    <w:uiPriority w:val="9"/>
    <w:semiHidden/>
    <w:unhideWhenUsed/>
    <w:qFormat/>
    <w:pPr>
      <w:spacing w:after="0"/>
      <w:outlineLvl w:val="7"/>
    </w:pPr>
    <w:rPr>
      <w:rFonts w:asciiTheme="majorHAnsi" w:hAnsiTheme="majorHAnsi"/>
      <w:b/>
      <w:i/>
      <w:color w:val="53548A" w:themeColor="accent1"/>
    </w:rPr>
  </w:style>
  <w:style w:type="paragraph" w:styleId="Ttulo9">
    <w:name w:val="heading 9"/>
    <w:basedOn w:val="Normal"/>
    <w:next w:val="Normal"/>
    <w:link w:val="Ttulo9Car"/>
    <w:uiPriority w:val="9"/>
    <w:semiHidden/>
    <w:unhideWhenUsed/>
    <w:qFormat/>
    <w:pPr>
      <w:spacing w:after="0"/>
      <w:outlineLvl w:val="8"/>
    </w:pPr>
    <w:rPr>
      <w:rFonts w:asciiTheme="majorHAnsi" w:hAnsiTheme="majorHAnsi"/>
      <w:b/>
      <w:color w:val="313240" w:themeColor="tex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uiPriority w:val="10"/>
    <w:qFormat/>
    <w:pPr>
      <w:spacing w:before="400"/>
    </w:pPr>
    <w:rPr>
      <w:rFonts w:asciiTheme="majorHAnsi" w:hAnsiTheme="majorHAnsi"/>
      <w:color w:val="3E3E67" w:themeColor="accent1" w:themeShade="BF"/>
      <w:sz w:val="56"/>
      <w:szCs w:val="56"/>
    </w:rPr>
  </w:style>
  <w:style w:type="character" w:customStyle="1" w:styleId="TtuloCar">
    <w:name w:val="Título Car"/>
    <w:basedOn w:val="Fuentedeprrafopredeter"/>
    <w:link w:val="Ttulo"/>
    <w:uiPriority w:val="10"/>
    <w:rPr>
      <w:rFonts w:asciiTheme="majorHAnsi" w:hAnsiTheme="majorHAnsi"/>
      <w:color w:val="3E3E67" w:themeColor="accent1" w:themeShade="BF"/>
      <w:sz w:val="56"/>
      <w:szCs w:val="56"/>
    </w:rPr>
  </w:style>
  <w:style w:type="paragraph" w:styleId="Subttulo">
    <w:name w:val="Subtitle"/>
    <w:basedOn w:val="Normal"/>
    <w:link w:val="SubttuloCar"/>
    <w:uiPriority w:val="11"/>
    <w:qFormat/>
    <w:pPr>
      <w:spacing w:after="480"/>
    </w:pPr>
    <w:rPr>
      <w:i/>
      <w:color w:val="424456" w:themeColor="text2"/>
      <w:szCs w:val="24"/>
    </w:rPr>
  </w:style>
  <w:style w:type="character" w:customStyle="1" w:styleId="SubttuloCar">
    <w:name w:val="Subtítulo Car"/>
    <w:basedOn w:val="Fuentedeprrafopredeter"/>
    <w:link w:val="Subttulo"/>
    <w:uiPriority w:val="11"/>
    <w:rPr>
      <w:i/>
      <w:color w:val="424456" w:themeColor="text2"/>
      <w:sz w:val="24"/>
      <w:szCs w:val="24"/>
    </w:rPr>
  </w:style>
  <w:style w:type="character" w:styleId="nfasisintenso">
    <w:name w:val="Intense Emphasis"/>
    <w:basedOn w:val="Fuentedeprrafopredeter"/>
    <w:uiPriority w:val="21"/>
    <w:qFormat/>
    <w:rPr>
      <w:rFonts w:asciiTheme="minorHAnsi" w:hAnsiTheme="minorHAnsi" w:cstheme="minorBidi"/>
      <w:b/>
      <w:i/>
      <w:caps/>
      <w:color w:val="438086"/>
      <w:spacing w:val="5"/>
    </w:rPr>
  </w:style>
  <w:style w:type="character" w:customStyle="1" w:styleId="Ttulo1Car">
    <w:name w:val="Título 1 Car"/>
    <w:basedOn w:val="Fuentedeprrafopredeter"/>
    <w:link w:val="Ttulo1"/>
    <w:uiPriority w:val="9"/>
    <w:rsid w:val="00E719EF"/>
    <w:rPr>
      <w:rFonts w:asciiTheme="majorHAnsi" w:hAnsiTheme="majorHAnsi"/>
      <w:b/>
      <w:color w:val="438086" w:themeColor="accent2"/>
      <w:sz w:val="32"/>
      <w:szCs w:val="32"/>
    </w:rPr>
  </w:style>
  <w:style w:type="character" w:customStyle="1" w:styleId="Ttulo2Car">
    <w:name w:val="Título 2 Car"/>
    <w:basedOn w:val="Fuentedeprrafopredeter"/>
    <w:link w:val="Ttulo2"/>
    <w:uiPriority w:val="9"/>
    <w:rsid w:val="00AA2D83"/>
    <w:rPr>
      <w:rFonts w:asciiTheme="majorHAnsi" w:hAnsiTheme="majorHAnsi"/>
      <w:b/>
      <w:color w:val="438086" w:themeColor="accent2"/>
      <w:sz w:val="28"/>
      <w:szCs w:val="28"/>
    </w:rPr>
  </w:style>
  <w:style w:type="character" w:customStyle="1" w:styleId="Ttulo3Car">
    <w:name w:val="Título 3 Car"/>
    <w:basedOn w:val="Fuentedeprrafopredeter"/>
    <w:link w:val="Ttulo3"/>
    <w:uiPriority w:val="9"/>
    <w:rsid w:val="00AA2D83"/>
    <w:rPr>
      <w:rFonts w:asciiTheme="majorHAnsi" w:hAnsiTheme="majorHAnsi"/>
      <w:b/>
      <w:color w:val="438086" w:themeColor="accent2"/>
      <w:sz w:val="24"/>
      <w:szCs w:val="24"/>
    </w:rPr>
  </w:style>
  <w:style w:type="character" w:customStyle="1" w:styleId="Ttulo4Car">
    <w:name w:val="Título 4 Car"/>
    <w:basedOn w:val="Fuentedeprrafopredeter"/>
    <w:link w:val="Ttulo4"/>
    <w:uiPriority w:val="9"/>
    <w:rsid w:val="00AA2D83"/>
    <w:rPr>
      <w:rFonts w:asciiTheme="majorHAnsi" w:hAnsiTheme="majorHAnsi"/>
      <w:b/>
      <w:i/>
      <w:color w:val="438086" w:themeColor="accent2"/>
    </w:rPr>
  </w:style>
  <w:style w:type="character" w:customStyle="1" w:styleId="Ttulo5Car">
    <w:name w:val="Título 5 Car"/>
    <w:basedOn w:val="Fuentedeprrafopredeter"/>
    <w:link w:val="Ttulo5"/>
    <w:uiPriority w:val="9"/>
    <w:semiHidden/>
    <w:rPr>
      <w:rFonts w:asciiTheme="majorHAnsi" w:hAnsiTheme="majorHAnsi"/>
      <w:b/>
      <w:color w:val="325F64" w:themeColor="accent2" w:themeShade="BF"/>
      <w:sz w:val="20"/>
      <w:szCs w:val="20"/>
    </w:rPr>
  </w:style>
  <w:style w:type="character" w:customStyle="1" w:styleId="Ttulo6Car">
    <w:name w:val="Título 6 Car"/>
    <w:basedOn w:val="Fuentedeprrafopredeter"/>
    <w:link w:val="Ttulo6"/>
    <w:uiPriority w:val="9"/>
    <w:semiHidden/>
    <w:rPr>
      <w:rFonts w:asciiTheme="majorHAnsi" w:hAnsiTheme="majorHAnsi"/>
      <w:b/>
      <w:i/>
      <w:color w:val="325F64" w:themeColor="accent2" w:themeShade="BF"/>
      <w:sz w:val="20"/>
      <w:szCs w:val="20"/>
    </w:rPr>
  </w:style>
  <w:style w:type="character" w:customStyle="1" w:styleId="Ttulo7Car">
    <w:name w:val="Título 7 Car"/>
    <w:basedOn w:val="Fuentedeprrafopredeter"/>
    <w:link w:val="Ttulo7"/>
    <w:uiPriority w:val="9"/>
    <w:semiHidden/>
    <w:rPr>
      <w:rFonts w:asciiTheme="majorHAnsi" w:hAnsiTheme="majorHAnsi"/>
      <w:b/>
      <w:color w:val="53548A" w:themeColor="accent1"/>
      <w:sz w:val="20"/>
      <w:szCs w:val="20"/>
    </w:rPr>
  </w:style>
  <w:style w:type="character" w:customStyle="1" w:styleId="Ttulo8Car">
    <w:name w:val="Título 8 Car"/>
    <w:basedOn w:val="Fuentedeprrafopredeter"/>
    <w:link w:val="Ttulo8"/>
    <w:uiPriority w:val="9"/>
    <w:semiHidden/>
    <w:rPr>
      <w:rFonts w:asciiTheme="majorHAnsi" w:hAnsiTheme="majorHAnsi"/>
      <w:b/>
      <w:i/>
      <w:color w:val="53548A" w:themeColor="accent1"/>
      <w:sz w:val="20"/>
      <w:szCs w:val="20"/>
    </w:rPr>
  </w:style>
  <w:style w:type="character" w:customStyle="1" w:styleId="Ttulo9Car">
    <w:name w:val="Título 9 Car"/>
    <w:basedOn w:val="Fuentedeprrafopredeter"/>
    <w:link w:val="Ttulo9"/>
    <w:uiPriority w:val="9"/>
    <w:semiHidden/>
    <w:rPr>
      <w:rFonts w:asciiTheme="majorHAnsi" w:hAnsiTheme="majorHAnsi"/>
      <w:b/>
      <w:color w:val="313240" w:themeColor="text2" w:themeShade="BF"/>
      <w:sz w:val="20"/>
      <w:szCs w:val="20"/>
    </w:rPr>
  </w:style>
  <w:style w:type="character" w:styleId="Textoennegrita">
    <w:name w:val="Strong"/>
    <w:basedOn w:val="Fuentedeprrafopredeter"/>
    <w:uiPriority w:val="22"/>
    <w:qFormat/>
    <w:rPr>
      <w:b/>
      <w:bCs/>
    </w:rPr>
  </w:style>
  <w:style w:type="paragraph" w:styleId="Textodebloqu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nfasissutil">
    <w:name w:val="Subtle Emphasis"/>
    <w:basedOn w:val="Fuentedeprrafopredeter"/>
    <w:uiPriority w:val="19"/>
    <w:qFormat/>
    <w:rPr>
      <w:rFonts w:asciiTheme="minorHAnsi" w:hAnsiTheme="minorHAnsi"/>
      <w:i/>
      <w:color w:val="006666"/>
    </w:rPr>
  </w:style>
  <w:style w:type="character" w:styleId="Referenciaintensa">
    <w:name w:val="Intense Reference"/>
    <w:basedOn w:val="Fuentedeprrafopredeter"/>
    <w:uiPriority w:val="32"/>
    <w:qFormat/>
    <w:rPr>
      <w:rFonts w:asciiTheme="minorHAnsi" w:hAnsiTheme="minorHAnsi" w:cs="Times New Roman"/>
      <w:b/>
      <w:i/>
      <w:caps/>
      <w:color w:val="4E4F89"/>
      <w:spacing w:val="5"/>
    </w:rPr>
  </w:style>
  <w:style w:type="character" w:styleId="Referenciasutil">
    <w:name w:val="Subtle Reference"/>
    <w:basedOn w:val="Fuentedeprrafopredeter"/>
    <w:uiPriority w:val="31"/>
    <w:qFormat/>
    <w:rPr>
      <w:rFonts w:cs="Times New Roman"/>
      <w:i/>
      <w:color w:val="4E4F89"/>
    </w:rPr>
  </w:style>
  <w:style w:type="character" w:styleId="nfasis">
    <w:name w:val="Emphasis"/>
    <w:uiPriority w:val="20"/>
    <w:qFormat/>
    <w:rPr>
      <w:rFonts w:asciiTheme="minorHAnsi" w:hAnsiTheme="minorHAnsi"/>
      <w:b/>
      <w:color w:val="438086" w:themeColor="accent2"/>
      <w:spacing w:val="10"/>
    </w:rPr>
  </w:style>
  <w:style w:type="character" w:styleId="Ttulodellibro">
    <w:name w:val="Book Title"/>
    <w:basedOn w:val="Fuentedeprrafopredeter"/>
    <w:uiPriority w:val="33"/>
    <w:qFormat/>
    <w:rPr>
      <w:rFonts w:ascii="Cambria" w:hAnsi="Cambria" w:cs="Times New Roman"/>
      <w:i/>
      <w:color w:val="000000"/>
      <w:sz w:val="20"/>
      <w:szCs w:val="2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sz w:val="20"/>
      <w:szCs w:val="20"/>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sz w:val="20"/>
      <w:szCs w:val="20"/>
    </w:rPr>
  </w:style>
  <w:style w:type="paragraph" w:styleId="Sangranormal">
    <w:name w:val="Normal Indent"/>
    <w:basedOn w:val="Normal"/>
    <w:uiPriority w:val="99"/>
    <w:unhideWhenUsed/>
    <w:pPr>
      <w:ind w:left="720"/>
      <w:contextualSpacing/>
    </w:pPr>
  </w:style>
  <w:style w:type="paragraph" w:styleId="Citadestacada">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Cs w:val="22"/>
    </w:rPr>
  </w:style>
  <w:style w:type="numbering" w:customStyle="1" w:styleId="Listaconvietasurbana">
    <w:name w:val="Lista con viñetas urbana"/>
    <w:uiPriority w:val="99"/>
    <w:pPr>
      <w:numPr>
        <w:numId w:val="17"/>
      </w:numPr>
    </w:pPr>
  </w:style>
  <w:style w:type="numbering" w:customStyle="1" w:styleId="Listanumeradaurbana">
    <w:name w:val="Lista numerada urbana"/>
    <w:uiPriority w:val="99"/>
    <w:pPr>
      <w:numPr>
        <w:numId w:val="22"/>
      </w:numPr>
    </w:pPr>
  </w:style>
  <w:style w:type="paragraph" w:styleId="Prrafodelista">
    <w:name w:val="List Paragraph"/>
    <w:basedOn w:val="Normal"/>
    <w:uiPriority w:val="34"/>
    <w:unhideWhenUsed/>
    <w:qFormat/>
    <w:pPr>
      <w:ind w:left="720"/>
      <w:contextualSpacing/>
    </w:pPr>
  </w:style>
  <w:style w:type="paragraph" w:styleId="Sinespaciado">
    <w:name w:val="No Spacing"/>
    <w:basedOn w:val="Normal"/>
    <w:uiPriority w:val="1"/>
    <w:qFormat/>
    <w:pPr>
      <w:spacing w:after="0" w:line="240" w:lineRule="auto"/>
    </w:pPr>
    <w:rPr>
      <w:szCs w:val="32"/>
    </w:rPr>
  </w:style>
  <w:style w:type="character" w:styleId="Textodelmarcadordeposicin">
    <w:name w:val="Placeholder Text"/>
    <w:basedOn w:val="Fuentedeprrafopredeter"/>
    <w:uiPriority w:val="99"/>
    <w:unhideWhenUsed/>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Vieta1">
    <w:name w:val="Viñeta 1"/>
    <w:basedOn w:val="Prrafodelista"/>
    <w:uiPriority w:val="38"/>
    <w:qFormat/>
    <w:pPr>
      <w:numPr>
        <w:numId w:val="38"/>
      </w:numPr>
      <w:spacing w:after="0"/>
    </w:pPr>
  </w:style>
  <w:style w:type="paragraph" w:customStyle="1" w:styleId="Vieta2">
    <w:name w:val="Viñeta 2"/>
    <w:basedOn w:val="Prrafodelista"/>
    <w:uiPriority w:val="38"/>
    <w:qFormat/>
    <w:pPr>
      <w:numPr>
        <w:ilvl w:val="1"/>
        <w:numId w:val="38"/>
      </w:numPr>
      <w:spacing w:after="0"/>
    </w:pPr>
  </w:style>
  <w:style w:type="paragraph" w:customStyle="1" w:styleId="Vieta3">
    <w:name w:val="Viñeta 3"/>
    <w:basedOn w:val="Prrafodelista"/>
    <w:uiPriority w:val="38"/>
    <w:qFormat/>
    <w:pPr>
      <w:numPr>
        <w:ilvl w:val="2"/>
        <w:numId w:val="38"/>
      </w:numPr>
      <w:spacing w:after="0"/>
    </w:pPr>
  </w:style>
  <w:style w:type="paragraph" w:customStyle="1" w:styleId="MarcadorDePosicinPredeterminadoAsunto10">
    <w:name w:val="MarcadorDePosiciónPredeterminado_Asunto10"/>
    <w:uiPriority w:val="39"/>
    <w:rPr>
      <w:i/>
      <w:color w:val="424456" w:themeColor="text2"/>
      <w:sz w:val="24"/>
      <w:szCs w:val="24"/>
    </w:rPr>
  </w:style>
  <w:style w:type="paragraph" w:customStyle="1" w:styleId="Encabezadopar">
    <w:name w:val="Encabezado par"/>
    <w:basedOn w:val="Encabezado"/>
    <w:uiPriority w:val="39"/>
    <w:pPr>
      <w:pBdr>
        <w:bottom w:val="single" w:sz="4" w:space="1" w:color="auto"/>
      </w:pBdr>
    </w:pPr>
  </w:style>
  <w:style w:type="paragraph" w:customStyle="1" w:styleId="Encabezadoimpar">
    <w:name w:val="Encabezado impar"/>
    <w:basedOn w:val="Encabezado"/>
    <w:uiPriority w:val="39"/>
    <w:pPr>
      <w:pBdr>
        <w:bottom w:val="single" w:sz="4" w:space="1" w:color="auto"/>
      </w:pBdr>
      <w:jc w:val="right"/>
    </w:pPr>
  </w:style>
  <w:style w:type="paragraph" w:customStyle="1" w:styleId="Categora">
    <w:name w:val="Categoría"/>
    <w:basedOn w:val="Normal"/>
    <w:uiPriority w:val="39"/>
    <w:qFormat/>
    <w:pPr>
      <w:framePr w:hSpace="187" w:wrap="around" w:hAnchor="margin" w:xAlign="center" w:y="721"/>
      <w:spacing w:after="0" w:line="240" w:lineRule="auto"/>
    </w:pPr>
    <w:rPr>
      <w:caps/>
      <w:szCs w:val="22"/>
    </w:rPr>
  </w:style>
  <w:style w:type="paragraph" w:customStyle="1" w:styleId="Comentarios">
    <w:name w:val="Comentarios"/>
    <w:basedOn w:val="Normal"/>
    <w:uiPriority w:val="39"/>
    <w:qFormat/>
    <w:pPr>
      <w:spacing w:after="120" w:line="240" w:lineRule="auto"/>
    </w:pPr>
    <w:rPr>
      <w:b/>
      <w:szCs w:val="22"/>
    </w:rPr>
  </w:style>
  <w:style w:type="paragraph" w:customStyle="1" w:styleId="Textodecomentarios">
    <w:name w:val="Texto de comentarios"/>
    <w:basedOn w:val="Normal"/>
    <w:uiPriority w:val="39"/>
    <w:qFormat/>
    <w:pPr>
      <w:spacing w:after="120" w:line="288" w:lineRule="auto"/>
    </w:pPr>
    <w:rPr>
      <w:szCs w:val="22"/>
    </w:rPr>
  </w:style>
  <w:style w:type="character" w:styleId="Hipervnculo">
    <w:name w:val="Hyperlink"/>
    <w:basedOn w:val="Fuentedeprrafopredeter"/>
    <w:uiPriority w:val="99"/>
    <w:unhideWhenUsed/>
    <w:rPr>
      <w:color w:val="67AFBD" w:themeColor="hyperlink"/>
      <w:u w:val="single"/>
    </w:rPr>
  </w:style>
  <w:style w:type="paragraph" w:styleId="TDC1">
    <w:name w:val="toc 1"/>
    <w:basedOn w:val="Normal"/>
    <w:next w:val="Normal"/>
    <w:autoRedefine/>
    <w:uiPriority w:val="39"/>
    <w:unhideWhenUsed/>
    <w:qFormat/>
    <w:rPr>
      <w:rFonts w:eastAsiaTheme="minorEastAsia"/>
      <w:szCs w:val="24"/>
    </w:rPr>
  </w:style>
  <w:style w:type="paragraph" w:styleId="TDC2">
    <w:name w:val="toc 2"/>
    <w:basedOn w:val="Normal"/>
    <w:next w:val="Normal"/>
    <w:autoRedefine/>
    <w:uiPriority w:val="39"/>
    <w:unhideWhenUsed/>
    <w:qFormat/>
    <w:pPr>
      <w:ind w:left="240"/>
    </w:pPr>
    <w:rPr>
      <w:rFonts w:eastAsiaTheme="minorEastAsia"/>
      <w:szCs w:val="24"/>
    </w:rPr>
  </w:style>
  <w:style w:type="paragraph" w:styleId="TDC3">
    <w:name w:val="toc 3"/>
    <w:basedOn w:val="Normal"/>
    <w:next w:val="Normal"/>
    <w:autoRedefine/>
    <w:uiPriority w:val="39"/>
    <w:unhideWhenUsed/>
    <w:qFormat/>
    <w:pPr>
      <w:spacing w:after="100"/>
      <w:ind w:left="400"/>
    </w:pPr>
  </w:style>
  <w:style w:type="paragraph" w:styleId="Epgrafe">
    <w:name w:val="caption"/>
    <w:basedOn w:val="Normal"/>
    <w:next w:val="Normal"/>
    <w:uiPriority w:val="35"/>
    <w:unhideWhenUsed/>
    <w:qFormat/>
    <w:pPr>
      <w:spacing w:line="240" w:lineRule="auto"/>
    </w:pPr>
    <w:rPr>
      <w:b/>
      <w:bCs/>
      <w:color w:val="53548A" w:themeColor="accent1"/>
      <w:sz w:val="18"/>
      <w:szCs w:val="18"/>
    </w:rPr>
  </w:style>
  <w:style w:type="paragraph" w:styleId="Textonotapie">
    <w:name w:val="footnote text"/>
    <w:basedOn w:val="Normal"/>
    <w:link w:val="TextonotapieCar"/>
    <w:uiPriority w:val="99"/>
    <w:semiHidden/>
    <w:unhideWhenUsed/>
    <w:rsid w:val="00E1322B"/>
    <w:pPr>
      <w:spacing w:after="0" w:line="240" w:lineRule="auto"/>
    </w:pPr>
    <w:rPr>
      <w:sz w:val="20"/>
    </w:rPr>
  </w:style>
  <w:style w:type="character" w:customStyle="1" w:styleId="TextonotapieCar">
    <w:name w:val="Texto nota pie Car"/>
    <w:basedOn w:val="Fuentedeprrafopredeter"/>
    <w:link w:val="Textonotapie"/>
    <w:uiPriority w:val="99"/>
    <w:semiHidden/>
    <w:rsid w:val="00E1322B"/>
    <w:rPr>
      <w:rFonts w:ascii="Century Gothic" w:hAnsi="Century Gothic"/>
      <w:sz w:val="20"/>
      <w:szCs w:val="20"/>
    </w:rPr>
  </w:style>
  <w:style w:type="character" w:styleId="Refdenotaalpie">
    <w:name w:val="footnote reference"/>
    <w:basedOn w:val="Fuentedeprrafopredeter"/>
    <w:uiPriority w:val="99"/>
    <w:semiHidden/>
    <w:unhideWhenUsed/>
    <w:rsid w:val="00E1322B"/>
    <w:rPr>
      <w:vertAlign w:val="superscript"/>
    </w:rPr>
  </w:style>
  <w:style w:type="paragraph" w:styleId="TtulodeTDC">
    <w:name w:val="TOC Heading"/>
    <w:basedOn w:val="Ttulo1"/>
    <w:next w:val="Normal"/>
    <w:uiPriority w:val="39"/>
    <w:semiHidden/>
    <w:unhideWhenUsed/>
    <w:qFormat/>
    <w:rsid w:val="00E924EF"/>
    <w:pPr>
      <w:keepNext/>
      <w:keepLines/>
      <w:pBdr>
        <w:bottom w:val="none" w:sz="0" w:space="0" w:color="auto"/>
      </w:pBdr>
      <w:spacing w:before="480" w:after="0"/>
      <w:jc w:val="left"/>
      <w:outlineLvl w:val="9"/>
    </w:pPr>
    <w:rPr>
      <w:rFonts w:eastAsiaTheme="majorEastAsia" w:cstheme="majorBidi"/>
      <w:bCs/>
      <w:color w:val="3E3E67" w:themeColor="accent1" w:themeShade="BF"/>
      <w:sz w:val="28"/>
      <w:szCs w:val="28"/>
    </w:rPr>
  </w:style>
  <w:style w:type="paragraph" w:styleId="Tabladeilustraciones">
    <w:name w:val="table of figures"/>
    <w:basedOn w:val="Normal"/>
    <w:next w:val="Normal"/>
    <w:uiPriority w:val="99"/>
    <w:unhideWhenUsed/>
    <w:rsid w:val="00E924EF"/>
    <w:pPr>
      <w:spacing w:after="0"/>
      <w:ind w:left="440" w:hanging="440"/>
      <w:jc w:val="left"/>
    </w:pPr>
    <w:rPr>
      <w:rFonts w:asciiTheme="minorHAnsi" w:hAnsiTheme="minorHAnsi"/>
      <w:b/>
      <w:bCs/>
      <w:sz w:val="20"/>
    </w:rPr>
  </w:style>
  <w:style w:type="table" w:styleId="Listavistosa-nfasis2">
    <w:name w:val="Colorful List Accent 2"/>
    <w:basedOn w:val="Tablanormal"/>
    <w:uiPriority w:val="42"/>
    <w:rsid w:val="0008061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5" w:themeFill="accent2" w:themeFillTint="19"/>
    </w:tcPr>
    <w:tblStylePr w:type="firstRow">
      <w:rPr>
        <w:b/>
        <w:bCs/>
        <w:color w:val="FFFFFF" w:themeColor="background1"/>
      </w:rPr>
      <w:tblPr/>
      <w:tcPr>
        <w:tcBorders>
          <w:bottom w:val="single" w:sz="12" w:space="0" w:color="FFFFFF" w:themeColor="background1"/>
        </w:tcBorders>
        <w:shd w:val="clear" w:color="auto" w:fill="35666B" w:themeFill="accent2" w:themeFillShade="CC"/>
      </w:tcPr>
    </w:tblStylePr>
    <w:tblStylePr w:type="lastRow">
      <w:rPr>
        <w:b/>
        <w:bCs/>
        <w:color w:val="3566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hemeFill="accent2" w:themeFillTint="3F"/>
      </w:tcPr>
    </w:tblStylePr>
    <w:tblStylePr w:type="band1Horz">
      <w:tblPr/>
      <w:tcPr>
        <w:shd w:val="clear" w:color="auto" w:fill="D5E8EA" w:themeFill="accent2" w:themeFillTint="33"/>
      </w:tcPr>
    </w:tblStylePr>
  </w:style>
  <w:style w:type="table" w:customStyle="1" w:styleId="Tablaconcuadrcula1">
    <w:name w:val="Tabla con cuadrícula1"/>
    <w:basedOn w:val="Tablanormal"/>
    <w:next w:val="Tablaconcuadrcula"/>
    <w:uiPriority w:val="59"/>
    <w:rsid w:val="00F931F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D364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35CD6"/>
    <w:rPr>
      <w:sz w:val="16"/>
      <w:szCs w:val="16"/>
    </w:rPr>
  </w:style>
  <w:style w:type="paragraph" w:styleId="Textocomentario">
    <w:name w:val="annotation text"/>
    <w:basedOn w:val="Normal"/>
    <w:link w:val="TextocomentarioCar"/>
    <w:uiPriority w:val="99"/>
    <w:semiHidden/>
    <w:unhideWhenUsed/>
    <w:rsid w:val="00535CD6"/>
    <w:pPr>
      <w:spacing w:line="240" w:lineRule="auto"/>
    </w:pPr>
    <w:rPr>
      <w:sz w:val="20"/>
    </w:rPr>
  </w:style>
  <w:style w:type="character" w:customStyle="1" w:styleId="TextocomentarioCar">
    <w:name w:val="Texto comentario Car"/>
    <w:basedOn w:val="Fuentedeprrafopredeter"/>
    <w:link w:val="Textocomentario"/>
    <w:uiPriority w:val="99"/>
    <w:semiHidden/>
    <w:rsid w:val="00535CD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5CD6"/>
    <w:rPr>
      <w:b/>
      <w:bCs/>
    </w:rPr>
  </w:style>
  <w:style w:type="character" w:customStyle="1" w:styleId="AsuntodelcomentarioCar">
    <w:name w:val="Asunto del comentario Car"/>
    <w:basedOn w:val="TextocomentarioCar"/>
    <w:link w:val="Asuntodelcomentario"/>
    <w:uiPriority w:val="99"/>
    <w:semiHidden/>
    <w:rsid w:val="00535CD6"/>
    <w:rPr>
      <w:rFonts w:ascii="Century Gothic" w:hAnsi="Century Gothic"/>
      <w:b/>
      <w:bCs/>
      <w:sz w:val="20"/>
      <w:szCs w:val="20"/>
    </w:rPr>
  </w:style>
  <w:style w:type="paragraph" w:styleId="Listaconvietas">
    <w:name w:val="List Bullet"/>
    <w:basedOn w:val="Normal"/>
    <w:uiPriority w:val="99"/>
    <w:unhideWhenUsed/>
    <w:rsid w:val="00D74601"/>
    <w:pPr>
      <w:numPr>
        <w:numId w:val="1"/>
      </w:numPr>
      <w:contextualSpacing/>
    </w:pPr>
  </w:style>
  <w:style w:type="table" w:styleId="Listaclara-nfasis2">
    <w:name w:val="Light List Accent 2"/>
    <w:basedOn w:val="Tablanormal"/>
    <w:uiPriority w:val="42"/>
    <w:rsid w:val="00141DBA"/>
    <w:pPr>
      <w:spacing w:after="0" w:line="240" w:lineRule="auto"/>
    </w:pPr>
    <w:tblPr>
      <w:tblStyleRowBandSize w:val="1"/>
      <w:tblStyleColBandSize w:val="1"/>
      <w:tblInd w:w="0" w:type="dxa"/>
      <w:tblBorders>
        <w:top w:val="single" w:sz="8" w:space="0" w:color="438086" w:themeColor="accent2"/>
        <w:left w:val="single" w:sz="8" w:space="0" w:color="438086" w:themeColor="accent2"/>
        <w:bottom w:val="single" w:sz="8" w:space="0" w:color="438086" w:themeColor="accent2"/>
        <w:right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38086" w:themeFill="accent2"/>
      </w:tcPr>
    </w:tblStylePr>
    <w:tblStylePr w:type="lastRow">
      <w:pPr>
        <w:spacing w:before="0" w:after="0" w:line="240" w:lineRule="auto"/>
      </w:pPr>
      <w:rPr>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tcBorders>
      </w:tcPr>
    </w:tblStylePr>
    <w:tblStylePr w:type="firstCol">
      <w:rPr>
        <w:b/>
        <w:bCs/>
      </w:rPr>
    </w:tblStylePr>
    <w:tblStylePr w:type="lastCol">
      <w:rPr>
        <w:b/>
        <w:bCs/>
      </w:r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style>
  <w:style w:type="paragraph" w:styleId="Textonotaalfinal">
    <w:name w:val="endnote text"/>
    <w:basedOn w:val="Normal"/>
    <w:link w:val="TextonotaalfinalCar"/>
    <w:uiPriority w:val="99"/>
    <w:semiHidden/>
    <w:unhideWhenUsed/>
    <w:rsid w:val="00360C44"/>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360C44"/>
    <w:rPr>
      <w:rFonts w:ascii="Century Gothic" w:hAnsi="Century Gothic"/>
      <w:sz w:val="20"/>
      <w:szCs w:val="20"/>
    </w:rPr>
  </w:style>
  <w:style w:type="character" w:styleId="Refdenotaalfinal">
    <w:name w:val="endnote reference"/>
    <w:basedOn w:val="Fuentedeprrafopredeter"/>
    <w:uiPriority w:val="99"/>
    <w:semiHidden/>
    <w:unhideWhenUsed/>
    <w:rsid w:val="00360C44"/>
    <w:rPr>
      <w:vertAlign w:val="superscript"/>
    </w:rPr>
  </w:style>
  <w:style w:type="table" w:styleId="Cuadrculamedia3-nfasis2">
    <w:name w:val="Medium Grid 3 Accent 2"/>
    <w:basedOn w:val="Tablanormal"/>
    <w:uiPriority w:val="42"/>
    <w:rsid w:val="00AB5A4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80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80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7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7CB"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00059">
      <w:bodyDiv w:val="1"/>
      <w:marLeft w:val="0"/>
      <w:marRight w:val="0"/>
      <w:marTop w:val="0"/>
      <w:marBottom w:val="0"/>
      <w:divBdr>
        <w:top w:val="none" w:sz="0" w:space="0" w:color="auto"/>
        <w:left w:val="none" w:sz="0" w:space="0" w:color="auto"/>
        <w:bottom w:val="none" w:sz="0" w:space="0" w:color="auto"/>
        <w:right w:val="none" w:sz="0" w:space="0" w:color="auto"/>
      </w:divBdr>
    </w:div>
    <w:div w:id="446237854">
      <w:bodyDiv w:val="1"/>
      <w:marLeft w:val="0"/>
      <w:marRight w:val="0"/>
      <w:marTop w:val="0"/>
      <w:marBottom w:val="0"/>
      <w:divBdr>
        <w:top w:val="none" w:sz="0" w:space="0" w:color="auto"/>
        <w:left w:val="none" w:sz="0" w:space="0" w:color="auto"/>
        <w:bottom w:val="none" w:sz="0" w:space="0" w:color="auto"/>
        <w:right w:val="none" w:sz="0" w:space="0" w:color="auto"/>
      </w:divBdr>
    </w:div>
    <w:div w:id="500042847">
      <w:bodyDiv w:val="1"/>
      <w:marLeft w:val="0"/>
      <w:marRight w:val="0"/>
      <w:marTop w:val="0"/>
      <w:marBottom w:val="0"/>
      <w:divBdr>
        <w:top w:val="none" w:sz="0" w:space="0" w:color="auto"/>
        <w:left w:val="none" w:sz="0" w:space="0" w:color="auto"/>
        <w:bottom w:val="none" w:sz="0" w:space="0" w:color="auto"/>
        <w:right w:val="none" w:sz="0" w:space="0" w:color="auto"/>
      </w:divBdr>
    </w:div>
    <w:div w:id="688065234">
      <w:bodyDiv w:val="1"/>
      <w:marLeft w:val="0"/>
      <w:marRight w:val="0"/>
      <w:marTop w:val="0"/>
      <w:marBottom w:val="0"/>
      <w:divBdr>
        <w:top w:val="none" w:sz="0" w:space="0" w:color="auto"/>
        <w:left w:val="none" w:sz="0" w:space="0" w:color="auto"/>
        <w:bottom w:val="none" w:sz="0" w:space="0" w:color="auto"/>
        <w:right w:val="none" w:sz="0" w:space="0" w:color="auto"/>
      </w:divBdr>
    </w:div>
    <w:div w:id="1011882995">
      <w:bodyDiv w:val="1"/>
      <w:marLeft w:val="0"/>
      <w:marRight w:val="0"/>
      <w:marTop w:val="0"/>
      <w:marBottom w:val="0"/>
      <w:divBdr>
        <w:top w:val="none" w:sz="0" w:space="0" w:color="auto"/>
        <w:left w:val="none" w:sz="0" w:space="0" w:color="auto"/>
        <w:bottom w:val="none" w:sz="0" w:space="0" w:color="auto"/>
        <w:right w:val="none" w:sz="0" w:space="0" w:color="auto"/>
      </w:divBdr>
    </w:div>
    <w:div w:id="162916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5.png"/><Relationship Id="rId24" Type="http://schemas.openxmlformats.org/officeDocument/2006/relationships/chart" Target="charts/chart13.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Urban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38086"/>
            </a:solidFill>
          </c:spPr>
          <c:invertIfNegative val="0"/>
          <c:dLbls>
            <c:showLegendKey val="0"/>
            <c:showVal val="1"/>
            <c:showCatName val="0"/>
            <c:showSerName val="0"/>
            <c:showPercent val="0"/>
            <c:showBubbleSize val="0"/>
            <c:showLeaderLines val="0"/>
          </c:dLbls>
          <c:cat>
            <c:strRef>
              <c:f>Hoja1!$O$3:$O$9</c:f>
              <c:strCache>
                <c:ptCount val="7"/>
                <c:pt idx="0">
                  <c:v>0%</c:v>
                </c:pt>
                <c:pt idx="1">
                  <c:v>1-19,9%</c:v>
                </c:pt>
                <c:pt idx="2">
                  <c:v>20-39,9%</c:v>
                </c:pt>
                <c:pt idx="3">
                  <c:v>40-59,9%</c:v>
                </c:pt>
                <c:pt idx="4">
                  <c:v>60-79,9%</c:v>
                </c:pt>
                <c:pt idx="5">
                  <c:v>80-99,9%</c:v>
                </c:pt>
                <c:pt idx="6">
                  <c:v>100%</c:v>
                </c:pt>
              </c:strCache>
            </c:strRef>
          </c:cat>
          <c:val>
            <c:numRef>
              <c:f>Hoja1!$P$3:$P$9</c:f>
              <c:numCache>
                <c:formatCode>0.0%</c:formatCode>
                <c:ptCount val="7"/>
                <c:pt idx="0">
                  <c:v>0.08</c:v>
                </c:pt>
                <c:pt idx="1">
                  <c:v>0.26</c:v>
                </c:pt>
                <c:pt idx="2">
                  <c:v>0.2</c:v>
                </c:pt>
                <c:pt idx="3">
                  <c:v>0.08</c:v>
                </c:pt>
                <c:pt idx="4">
                  <c:v>0.16</c:v>
                </c:pt>
                <c:pt idx="5">
                  <c:v>0.2</c:v>
                </c:pt>
                <c:pt idx="6">
                  <c:v>0.02</c:v>
                </c:pt>
              </c:numCache>
            </c:numRef>
          </c:val>
        </c:ser>
        <c:dLbls>
          <c:showLegendKey val="0"/>
          <c:showVal val="0"/>
          <c:showCatName val="0"/>
          <c:showSerName val="0"/>
          <c:showPercent val="0"/>
          <c:showBubbleSize val="0"/>
        </c:dLbls>
        <c:gapWidth val="150"/>
        <c:axId val="196576384"/>
        <c:axId val="196578304"/>
      </c:barChart>
      <c:catAx>
        <c:axId val="196576384"/>
        <c:scaling>
          <c:orientation val="minMax"/>
        </c:scaling>
        <c:delete val="0"/>
        <c:axPos val="b"/>
        <c:title>
          <c:tx>
            <c:rich>
              <a:bodyPr/>
              <a:lstStyle/>
              <a:p>
                <a:pPr>
                  <a:defRPr/>
                </a:pPr>
                <a:r>
                  <a:rPr lang="es-ES"/>
                  <a:t>% de recomendaciones aplicadas</a:t>
                </a:r>
              </a:p>
            </c:rich>
          </c:tx>
          <c:layout/>
          <c:overlay val="0"/>
        </c:title>
        <c:majorTickMark val="out"/>
        <c:minorTickMark val="none"/>
        <c:tickLblPos val="nextTo"/>
        <c:crossAx val="196578304"/>
        <c:crosses val="autoZero"/>
        <c:auto val="1"/>
        <c:lblAlgn val="ctr"/>
        <c:lblOffset val="100"/>
        <c:noMultiLvlLbl val="0"/>
      </c:catAx>
      <c:valAx>
        <c:axId val="196578304"/>
        <c:scaling>
          <c:orientation val="minMax"/>
        </c:scaling>
        <c:delete val="1"/>
        <c:axPos val="l"/>
        <c:title>
          <c:tx>
            <c:rich>
              <a:bodyPr rot="-5400000" vert="horz"/>
              <a:lstStyle/>
              <a:p>
                <a:pPr>
                  <a:defRPr/>
                </a:pPr>
                <a:r>
                  <a:rPr lang="es-ES" b="1"/>
                  <a:t>% d</a:t>
                </a:r>
                <a:r>
                  <a:rPr lang="es-ES"/>
                  <a:t>e entidades</a:t>
                </a:r>
              </a:p>
            </c:rich>
          </c:tx>
          <c:layout>
            <c:manualLayout>
              <c:xMode val="edge"/>
              <c:yMode val="edge"/>
              <c:x val="3.6111111111111108E-2"/>
              <c:y val="0.26545895304753575"/>
            </c:manualLayout>
          </c:layout>
          <c:overlay val="0"/>
        </c:title>
        <c:numFmt formatCode="#,##0" sourceLinked="0"/>
        <c:majorTickMark val="out"/>
        <c:minorTickMark val="none"/>
        <c:tickLblPos val="nextTo"/>
        <c:crossAx val="19657638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SPI'!$B$29:$I$29</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SPI'!$B$30:$I$30</c:f>
              <c:numCache>
                <c:formatCode>0.0%</c:formatCode>
                <c:ptCount val="8"/>
                <c:pt idx="0">
                  <c:v>0.53723963414634157</c:v>
                </c:pt>
                <c:pt idx="1">
                  <c:v>0.50934297769740811</c:v>
                </c:pt>
                <c:pt idx="2">
                  <c:v>0.55660036166365279</c:v>
                </c:pt>
                <c:pt idx="3">
                  <c:v>0.50849909584086794</c:v>
                </c:pt>
                <c:pt idx="4">
                  <c:v>0.55937311633514164</c:v>
                </c:pt>
                <c:pt idx="5">
                  <c:v>0.52230259192284512</c:v>
                </c:pt>
                <c:pt idx="6">
                  <c:v>0.41862567811934903</c:v>
                </c:pt>
                <c:pt idx="7">
                  <c:v>0.51596282559944806</c:v>
                </c:pt>
              </c:numCache>
            </c:numRef>
          </c:val>
        </c:ser>
        <c:dLbls>
          <c:showLegendKey val="0"/>
          <c:showVal val="0"/>
          <c:showCatName val="0"/>
          <c:showSerName val="0"/>
          <c:showPercent val="0"/>
          <c:showBubbleSize val="0"/>
        </c:dLbls>
        <c:gapWidth val="150"/>
        <c:axId val="204002816"/>
        <c:axId val="204004352"/>
      </c:barChart>
      <c:catAx>
        <c:axId val="204002816"/>
        <c:scaling>
          <c:orientation val="minMax"/>
        </c:scaling>
        <c:delete val="0"/>
        <c:axPos val="b"/>
        <c:majorTickMark val="out"/>
        <c:minorTickMark val="none"/>
        <c:tickLblPos val="nextTo"/>
        <c:crossAx val="204004352"/>
        <c:crosses val="autoZero"/>
        <c:auto val="1"/>
        <c:lblAlgn val="ctr"/>
        <c:lblOffset val="100"/>
        <c:noMultiLvlLbl val="0"/>
      </c:catAx>
      <c:valAx>
        <c:axId val="204004352"/>
        <c:scaling>
          <c:orientation val="minMax"/>
          <c:max val="1"/>
        </c:scaling>
        <c:delete val="0"/>
        <c:axPos val="l"/>
        <c:numFmt formatCode="0%" sourceLinked="0"/>
        <c:majorTickMark val="out"/>
        <c:minorTickMark val="none"/>
        <c:tickLblPos val="nextTo"/>
        <c:crossAx val="204002816"/>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38086"/>
            </a:solidFill>
          </c:spPr>
          <c:invertIfNegative val="0"/>
          <c:dPt>
            <c:idx val="2"/>
            <c:invertIfNegative val="0"/>
            <c:bubble3D val="0"/>
            <c:spPr>
              <a:pattFill prst="wdDnDiag">
                <a:fgClr>
                  <a:srgbClr val="438086"/>
                </a:fgClr>
                <a:bgClr>
                  <a:sysClr val="window" lastClr="FFFFFF"/>
                </a:bgClr>
              </a:pattFill>
            </c:spPr>
          </c:dPt>
          <c:dPt>
            <c:idx val="3"/>
            <c:invertIfNegative val="0"/>
            <c:bubble3D val="0"/>
            <c:spPr>
              <a:solidFill>
                <a:srgbClr val="438086">
                  <a:lumMod val="60000"/>
                  <a:lumOff val="40000"/>
                </a:srgbClr>
              </a:solidFill>
            </c:spPr>
          </c:dPt>
          <c:dPt>
            <c:idx val="4"/>
            <c:invertIfNegative val="0"/>
            <c:bubble3D val="0"/>
            <c:spPr>
              <a:solidFill>
                <a:srgbClr val="438086">
                  <a:lumMod val="60000"/>
                  <a:lumOff val="40000"/>
                </a:srgbClr>
              </a:solidFill>
            </c:spPr>
          </c:dPt>
          <c:dPt>
            <c:idx val="5"/>
            <c:invertIfNegative val="0"/>
            <c:bubble3D val="0"/>
            <c:spPr>
              <a:solidFill>
                <a:srgbClr val="438086">
                  <a:lumMod val="60000"/>
                  <a:lumOff val="40000"/>
                </a:srgbClr>
              </a:solidFill>
            </c:spPr>
          </c:dPt>
          <c:dLbls>
            <c:showLegendKey val="0"/>
            <c:showVal val="1"/>
            <c:showCatName val="0"/>
            <c:showSerName val="0"/>
            <c:showPercent val="0"/>
            <c:showBubbleSize val="0"/>
            <c:showLeaderLines val="0"/>
          </c:dLbls>
          <c:cat>
            <c:strRef>
              <c:f>Hoja1!$B$44:$B$49</c:f>
              <c:strCache>
                <c:ptCount val="6"/>
                <c:pt idx="0">
                  <c:v>Sociedades Mercantiles Estatales</c:v>
                </c:pt>
                <c:pt idx="1">
                  <c:v>Mutuas</c:v>
                </c:pt>
                <c:pt idx="2">
                  <c:v>SPI Total</c:v>
                </c:pt>
                <c:pt idx="3">
                  <c:v>Entidades de Derecho Público</c:v>
                </c:pt>
                <c:pt idx="4">
                  <c:v>Agencias Estatales, OOAA, EPES</c:v>
                </c:pt>
                <c:pt idx="5">
                  <c:v>Fundaciones Públicas</c:v>
                </c:pt>
              </c:strCache>
            </c:strRef>
          </c:cat>
          <c:val>
            <c:numRef>
              <c:f>Hoja1!$C$44:$C$49</c:f>
              <c:numCache>
                <c:formatCode>General</c:formatCode>
                <c:ptCount val="6"/>
                <c:pt idx="0">
                  <c:v>63.6</c:v>
                </c:pt>
                <c:pt idx="1">
                  <c:v>54.1</c:v>
                </c:pt>
                <c:pt idx="2">
                  <c:v>51.6</c:v>
                </c:pt>
                <c:pt idx="3">
                  <c:v>47.4</c:v>
                </c:pt>
                <c:pt idx="4">
                  <c:v>46.9</c:v>
                </c:pt>
                <c:pt idx="5" formatCode="0.0">
                  <c:v>43</c:v>
                </c:pt>
              </c:numCache>
            </c:numRef>
          </c:val>
        </c:ser>
        <c:dLbls>
          <c:showLegendKey val="0"/>
          <c:showVal val="0"/>
          <c:showCatName val="0"/>
          <c:showSerName val="0"/>
          <c:showPercent val="0"/>
          <c:showBubbleSize val="0"/>
        </c:dLbls>
        <c:gapWidth val="150"/>
        <c:axId val="206672640"/>
        <c:axId val="206674176"/>
      </c:barChart>
      <c:catAx>
        <c:axId val="206672640"/>
        <c:scaling>
          <c:orientation val="minMax"/>
        </c:scaling>
        <c:delete val="0"/>
        <c:axPos val="b"/>
        <c:majorTickMark val="out"/>
        <c:minorTickMark val="none"/>
        <c:tickLblPos val="nextTo"/>
        <c:crossAx val="206674176"/>
        <c:crosses val="autoZero"/>
        <c:auto val="1"/>
        <c:lblAlgn val="ctr"/>
        <c:lblOffset val="100"/>
        <c:noMultiLvlLbl val="0"/>
      </c:catAx>
      <c:valAx>
        <c:axId val="206674176"/>
        <c:scaling>
          <c:orientation val="minMax"/>
        </c:scaling>
        <c:delete val="0"/>
        <c:axPos val="l"/>
        <c:numFmt formatCode="General" sourceLinked="1"/>
        <c:majorTickMark val="out"/>
        <c:minorTickMark val="none"/>
        <c:tickLblPos val="nextTo"/>
        <c:crossAx val="206672640"/>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dLbls>
            <c:txPr>
              <a:bodyPr/>
              <a:lstStyle/>
              <a:p>
                <a:pPr>
                  <a:defRPr sz="800">
                    <a:latin typeface="Century Gothic" pitchFamily="34" charset="0"/>
                  </a:defRPr>
                </a:pPr>
                <a:endParaRPr lang="es-ES"/>
              </a:p>
            </c:txPr>
            <c:showLegendKey val="0"/>
            <c:showVal val="1"/>
            <c:showCatName val="0"/>
            <c:showSerName val="0"/>
            <c:showPercent val="0"/>
            <c:showBubbleSize val="0"/>
            <c:showLeaderLines val="0"/>
          </c:dLbls>
          <c:cat>
            <c:strRef>
              <c:f>DAI!$C$19:$C$26</c:f>
              <c:strCache>
                <c:ptCount val="8"/>
                <c:pt idx="0">
                  <c:v>Información en curso de elaboración o de publicación general</c:v>
                </c:pt>
                <c:pt idx="1">
                  <c:v>Información auxiliar o de apoyo</c:v>
                </c:pt>
                <c:pt idx="2">
                  <c:v>Acción previa de reelaboración</c:v>
                </c:pt>
                <c:pt idx="3">
                  <c:v>Órgano no competente y desconocimiento del competente</c:v>
                </c:pt>
                <c:pt idx="4">
                  <c:v>Solicitud repetitiva o abusiva</c:v>
                </c:pt>
                <c:pt idx="5">
                  <c:v>Solicitudes de información de interesados en un procedimiento administrativo en curso </c:v>
                </c:pt>
                <c:pt idx="6">
                  <c:v>Solicitudes de información con un régimen específico de acceso a la información.</c:v>
                </c:pt>
                <c:pt idx="7">
                  <c:v>Otras causas.</c:v>
                </c:pt>
              </c:strCache>
            </c:strRef>
          </c:cat>
          <c:val>
            <c:numRef>
              <c:f>DAI!$E$19:$E$26</c:f>
              <c:numCache>
                <c:formatCode>0.0%</c:formatCode>
                <c:ptCount val="8"/>
                <c:pt idx="0">
                  <c:v>9.0909090909090912E-2</c:v>
                </c:pt>
                <c:pt idx="1">
                  <c:v>0</c:v>
                </c:pt>
                <c:pt idx="2">
                  <c:v>4.5454545454545456E-2</c:v>
                </c:pt>
                <c:pt idx="3">
                  <c:v>0.45454545454545453</c:v>
                </c:pt>
                <c:pt idx="4">
                  <c:v>0.31818181818181812</c:v>
                </c:pt>
                <c:pt idx="5">
                  <c:v>4.5454545454545456E-2</c:v>
                </c:pt>
                <c:pt idx="6">
                  <c:v>4.5454545454545456E-2</c:v>
                </c:pt>
                <c:pt idx="7">
                  <c:v>0</c:v>
                </c:pt>
              </c:numCache>
            </c:numRef>
          </c:val>
        </c:ser>
        <c:dLbls>
          <c:showLegendKey val="0"/>
          <c:showVal val="0"/>
          <c:showCatName val="0"/>
          <c:showSerName val="0"/>
          <c:showPercent val="0"/>
          <c:showBubbleSize val="0"/>
        </c:dLbls>
        <c:gapWidth val="150"/>
        <c:axId val="206858112"/>
        <c:axId val="206859648"/>
      </c:barChart>
      <c:catAx>
        <c:axId val="206858112"/>
        <c:scaling>
          <c:orientation val="minMax"/>
        </c:scaling>
        <c:delete val="0"/>
        <c:axPos val="b"/>
        <c:majorTickMark val="out"/>
        <c:minorTickMark val="none"/>
        <c:tickLblPos val="nextTo"/>
        <c:txPr>
          <a:bodyPr/>
          <a:lstStyle/>
          <a:p>
            <a:pPr>
              <a:defRPr sz="800"/>
            </a:pPr>
            <a:endParaRPr lang="es-ES"/>
          </a:p>
        </c:txPr>
        <c:crossAx val="206859648"/>
        <c:crosses val="autoZero"/>
        <c:auto val="1"/>
        <c:lblAlgn val="ctr"/>
        <c:lblOffset val="100"/>
        <c:noMultiLvlLbl val="0"/>
      </c:catAx>
      <c:valAx>
        <c:axId val="206859648"/>
        <c:scaling>
          <c:orientation val="minMax"/>
          <c:max val="1"/>
        </c:scaling>
        <c:delete val="0"/>
        <c:axPos val="l"/>
        <c:numFmt formatCode="0%" sourceLinked="0"/>
        <c:majorTickMark val="out"/>
        <c:minorTickMark val="none"/>
        <c:tickLblPos val="nextTo"/>
        <c:txPr>
          <a:bodyPr/>
          <a:lstStyle/>
          <a:p>
            <a:pPr>
              <a:defRPr sz="800">
                <a:latin typeface="Century Gothic" pitchFamily="34" charset="0"/>
              </a:defRPr>
            </a:pPr>
            <a:endParaRPr lang="es-ES"/>
          </a:p>
        </c:txPr>
        <c:crossAx val="206858112"/>
        <c:crosses val="autoZero"/>
        <c:crossBetween val="between"/>
        <c:majorUnit val="0.1"/>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dLbls>
            <c:showLegendKey val="0"/>
            <c:showVal val="1"/>
            <c:showCatName val="0"/>
            <c:showSerName val="0"/>
            <c:showPercent val="0"/>
            <c:showBubbleSize val="0"/>
            <c:showLeaderLines val="0"/>
          </c:dLbls>
          <c:cat>
            <c:strRef>
              <c:f>DAI!$K$31:$K$40</c:f>
              <c:strCache>
                <c:ptCount val="10"/>
                <c:pt idx="0">
                  <c:v>web/portal</c:v>
                </c:pt>
                <c:pt idx="1">
                  <c:v>email</c:v>
                </c:pt>
                <c:pt idx="2">
                  <c:v>correo postal</c:v>
                </c:pt>
                <c:pt idx="3">
                  <c:v>presencial</c:v>
                </c:pt>
                <c:pt idx="4">
                  <c:v>teléfono</c:v>
                </c:pt>
                <c:pt idx="5">
                  <c:v>fax</c:v>
                </c:pt>
                <c:pt idx="6">
                  <c:v>sede electrónica</c:v>
                </c:pt>
                <c:pt idx="7">
                  <c:v>registros</c:v>
                </c:pt>
                <c:pt idx="8">
                  <c:v>Oficinas de correos</c:v>
                </c:pt>
                <c:pt idx="9">
                  <c:v>consulados</c:v>
                </c:pt>
              </c:strCache>
            </c:strRef>
          </c:cat>
          <c:val>
            <c:numRef>
              <c:f>DAI!$M$31:$M$40</c:f>
              <c:numCache>
                <c:formatCode>0.0%</c:formatCode>
                <c:ptCount val="10"/>
                <c:pt idx="0">
                  <c:v>0.32</c:v>
                </c:pt>
                <c:pt idx="1">
                  <c:v>0.28000000000000003</c:v>
                </c:pt>
                <c:pt idx="2">
                  <c:v>0.28000000000000003</c:v>
                </c:pt>
                <c:pt idx="3">
                  <c:v>0.2</c:v>
                </c:pt>
                <c:pt idx="4">
                  <c:v>0.12</c:v>
                </c:pt>
                <c:pt idx="5">
                  <c:v>0.12</c:v>
                </c:pt>
                <c:pt idx="6">
                  <c:v>0.08</c:v>
                </c:pt>
                <c:pt idx="7">
                  <c:v>0.08</c:v>
                </c:pt>
                <c:pt idx="8">
                  <c:v>0.08</c:v>
                </c:pt>
                <c:pt idx="9">
                  <c:v>0.08</c:v>
                </c:pt>
              </c:numCache>
            </c:numRef>
          </c:val>
        </c:ser>
        <c:dLbls>
          <c:showLegendKey val="0"/>
          <c:showVal val="0"/>
          <c:showCatName val="0"/>
          <c:showSerName val="0"/>
          <c:showPercent val="0"/>
          <c:showBubbleSize val="0"/>
        </c:dLbls>
        <c:gapWidth val="150"/>
        <c:axId val="206785536"/>
        <c:axId val="206828288"/>
      </c:barChart>
      <c:catAx>
        <c:axId val="206785536"/>
        <c:scaling>
          <c:orientation val="minMax"/>
        </c:scaling>
        <c:delete val="0"/>
        <c:axPos val="b"/>
        <c:majorTickMark val="out"/>
        <c:minorTickMark val="none"/>
        <c:tickLblPos val="nextTo"/>
        <c:crossAx val="206828288"/>
        <c:crosses val="autoZero"/>
        <c:auto val="1"/>
        <c:lblAlgn val="ctr"/>
        <c:lblOffset val="100"/>
        <c:noMultiLvlLbl val="0"/>
      </c:catAx>
      <c:valAx>
        <c:axId val="206828288"/>
        <c:scaling>
          <c:orientation val="minMax"/>
          <c:max val="1"/>
        </c:scaling>
        <c:delete val="0"/>
        <c:axPos val="l"/>
        <c:numFmt formatCode="0%" sourceLinked="0"/>
        <c:majorTickMark val="out"/>
        <c:minorTickMark val="none"/>
        <c:tickLblPos val="nextTo"/>
        <c:crossAx val="206785536"/>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Lbls>
            <c:showLegendKey val="0"/>
            <c:showVal val="1"/>
            <c:showCatName val="0"/>
            <c:showSerName val="0"/>
            <c:showPercent val="0"/>
            <c:showBubbleSize val="0"/>
            <c:showLeaderLines val="0"/>
          </c:dLbls>
          <c:cat>
            <c:strRef>
              <c:f>DAI!$Q$39:$Q$45</c:f>
              <c:strCache>
                <c:ptCount val="7"/>
                <c:pt idx="0">
                  <c:v>,00</c:v>
                </c:pt>
                <c:pt idx="1">
                  <c:v>1,00</c:v>
                </c:pt>
                <c:pt idx="2">
                  <c:v>2,00</c:v>
                </c:pt>
                <c:pt idx="3">
                  <c:v>3,00</c:v>
                </c:pt>
                <c:pt idx="4">
                  <c:v>4,00</c:v>
                </c:pt>
                <c:pt idx="5">
                  <c:v>5,00</c:v>
                </c:pt>
                <c:pt idx="6">
                  <c:v>10,00</c:v>
                </c:pt>
              </c:strCache>
            </c:strRef>
          </c:cat>
          <c:val>
            <c:numRef>
              <c:f>DAI!$R$39:$R$45</c:f>
              <c:numCache>
                <c:formatCode>###0.0</c:formatCode>
                <c:ptCount val="7"/>
                <c:pt idx="0">
                  <c:v>52</c:v>
                </c:pt>
                <c:pt idx="1">
                  <c:v>20</c:v>
                </c:pt>
                <c:pt idx="2">
                  <c:v>8</c:v>
                </c:pt>
                <c:pt idx="3">
                  <c:v>4</c:v>
                </c:pt>
                <c:pt idx="4">
                  <c:v>4</c:v>
                </c:pt>
                <c:pt idx="5">
                  <c:v>4</c:v>
                </c:pt>
                <c:pt idx="6">
                  <c:v>8</c:v>
                </c:pt>
              </c:numCache>
            </c:numRef>
          </c:val>
        </c:ser>
        <c:dLbls>
          <c:showLegendKey val="0"/>
          <c:showVal val="0"/>
          <c:showCatName val="0"/>
          <c:showSerName val="0"/>
          <c:showPercent val="0"/>
          <c:showBubbleSize val="0"/>
        </c:dLbls>
        <c:gapWidth val="150"/>
        <c:axId val="207077760"/>
        <c:axId val="207079296"/>
      </c:barChart>
      <c:catAx>
        <c:axId val="207077760"/>
        <c:scaling>
          <c:orientation val="minMax"/>
        </c:scaling>
        <c:delete val="0"/>
        <c:axPos val="b"/>
        <c:majorTickMark val="out"/>
        <c:minorTickMark val="none"/>
        <c:tickLblPos val="nextTo"/>
        <c:crossAx val="207079296"/>
        <c:crosses val="autoZero"/>
        <c:auto val="1"/>
        <c:lblAlgn val="ctr"/>
        <c:lblOffset val="100"/>
        <c:noMultiLvlLbl val="0"/>
      </c:catAx>
      <c:valAx>
        <c:axId val="207079296"/>
        <c:scaling>
          <c:orientation val="minMax"/>
          <c:max val="100"/>
        </c:scaling>
        <c:delete val="0"/>
        <c:axPos val="l"/>
        <c:numFmt formatCode="#,##0" sourceLinked="0"/>
        <c:majorTickMark val="out"/>
        <c:minorTickMark val="none"/>
        <c:tickLblPos val="nextTo"/>
        <c:crossAx val="207077760"/>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38086"/>
            </a:solidFill>
          </c:spPr>
          <c:invertIfNegative val="0"/>
          <c:dPt>
            <c:idx val="0"/>
            <c:invertIfNegative val="0"/>
            <c:bubble3D val="0"/>
            <c:spPr>
              <a:solidFill>
                <a:srgbClr val="438086"/>
              </a:solidFill>
            </c:spPr>
          </c:dPt>
          <c:dPt>
            <c:idx val="2"/>
            <c:invertIfNegative val="0"/>
            <c:bubble3D val="0"/>
            <c:spPr>
              <a:pattFill prst="wdDnDiag">
                <a:fgClr>
                  <a:srgbClr val="438086"/>
                </a:fgClr>
                <a:bgClr>
                  <a:schemeClr val="bg1"/>
                </a:bgClr>
              </a:pattFill>
            </c:spPr>
          </c:dPt>
          <c:dPt>
            <c:idx val="3"/>
            <c:invertIfNegative val="0"/>
            <c:bubble3D val="0"/>
            <c:spPr>
              <a:solidFill>
                <a:schemeClr val="accent2">
                  <a:lumMod val="60000"/>
                  <a:lumOff val="40000"/>
                </a:schemeClr>
              </a:solidFill>
            </c:spPr>
          </c:dPt>
          <c:dPt>
            <c:idx val="4"/>
            <c:invertIfNegative val="0"/>
            <c:bubble3D val="0"/>
            <c:spPr>
              <a:solidFill>
                <a:schemeClr val="accent2">
                  <a:lumMod val="60000"/>
                  <a:lumOff val="40000"/>
                </a:schemeClr>
              </a:solidFill>
            </c:spPr>
          </c:dPt>
          <c:dPt>
            <c:idx val="5"/>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Hoja2!$B$23:$B$28</c:f>
              <c:strCache>
                <c:ptCount val="6"/>
                <c:pt idx="0">
                  <c:v>Sociedades Mercantiles Estatales</c:v>
                </c:pt>
                <c:pt idx="1">
                  <c:v> Agencias Estatales, OOAA, EPES</c:v>
                </c:pt>
                <c:pt idx="2">
                  <c:v>SPI Total</c:v>
                </c:pt>
                <c:pt idx="3">
                  <c:v>Fundaciones Públicas</c:v>
                </c:pt>
                <c:pt idx="4">
                  <c:v>Entidades de Derecho Público</c:v>
                </c:pt>
                <c:pt idx="5">
                  <c:v>Mutuas</c:v>
                </c:pt>
              </c:strCache>
            </c:strRef>
          </c:cat>
          <c:val>
            <c:numRef>
              <c:f>Hoja2!$C$23:$C$28</c:f>
              <c:numCache>
                <c:formatCode>0.0%</c:formatCode>
                <c:ptCount val="6"/>
                <c:pt idx="0">
                  <c:v>0.84687500000000004</c:v>
                </c:pt>
                <c:pt idx="1">
                  <c:v>0.74926470588235294</c:v>
                </c:pt>
                <c:pt idx="2">
                  <c:v>0.74352006688963213</c:v>
                </c:pt>
                <c:pt idx="3">
                  <c:v>0.69047619047619047</c:v>
                </c:pt>
                <c:pt idx="4">
                  <c:v>0.68195266272189348</c:v>
                </c:pt>
                <c:pt idx="5">
                  <c:v>0.63888888888888884</c:v>
                </c:pt>
              </c:numCache>
            </c:numRef>
          </c:val>
        </c:ser>
        <c:dLbls>
          <c:showLegendKey val="0"/>
          <c:showVal val="0"/>
          <c:showCatName val="0"/>
          <c:showSerName val="0"/>
          <c:showPercent val="0"/>
          <c:showBubbleSize val="0"/>
        </c:dLbls>
        <c:gapWidth val="150"/>
        <c:axId val="196606208"/>
        <c:axId val="201662464"/>
      </c:barChart>
      <c:catAx>
        <c:axId val="196606208"/>
        <c:scaling>
          <c:orientation val="minMax"/>
        </c:scaling>
        <c:delete val="0"/>
        <c:axPos val="b"/>
        <c:majorTickMark val="out"/>
        <c:minorTickMark val="none"/>
        <c:tickLblPos val="nextTo"/>
        <c:crossAx val="201662464"/>
        <c:crosses val="autoZero"/>
        <c:auto val="1"/>
        <c:lblAlgn val="ctr"/>
        <c:lblOffset val="100"/>
        <c:noMultiLvlLbl val="0"/>
      </c:catAx>
      <c:valAx>
        <c:axId val="201662464"/>
        <c:scaling>
          <c:orientation val="minMax"/>
          <c:max val="1"/>
        </c:scaling>
        <c:delete val="0"/>
        <c:axPos val="l"/>
        <c:numFmt formatCode="0%" sourceLinked="0"/>
        <c:majorTickMark val="out"/>
        <c:minorTickMark val="none"/>
        <c:tickLblPos val="nextTo"/>
        <c:crossAx val="196606208"/>
        <c:crosses val="autoZero"/>
        <c:crossBetween val="between"/>
        <c:majorUnit val="0.2"/>
      </c:valAx>
    </c:plotArea>
    <c:plotVisOnly val="1"/>
    <c:dispBlanksAs val="gap"/>
    <c:showDLblsOverMax val="0"/>
  </c:chart>
  <c:txPr>
    <a:bodyPr/>
    <a:lstStyle/>
    <a:p>
      <a:pPr>
        <a:defRPr>
          <a:latin typeface="Century Gothic" pitchFamily="34" charset="0"/>
          <a:cs typeface="Calibri"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SPI'!$L$18:$S$18</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SPI'!$L$19:$S$19</c:f>
              <c:numCache>
                <c:formatCode>0.0%</c:formatCode>
                <c:ptCount val="8"/>
                <c:pt idx="0">
                  <c:v>0.74352006688963213</c:v>
                </c:pt>
                <c:pt idx="1">
                  <c:v>0.77629382303839733</c:v>
                </c:pt>
                <c:pt idx="2">
                  <c:v>0.76694490818030048</c:v>
                </c:pt>
                <c:pt idx="3">
                  <c:v>0.77612687813021708</c:v>
                </c:pt>
                <c:pt idx="4">
                  <c:v>0.77295492487479134</c:v>
                </c:pt>
                <c:pt idx="5">
                  <c:v>0.71619365609348917</c:v>
                </c:pt>
                <c:pt idx="6">
                  <c:v>0.45742904841402338</c:v>
                </c:pt>
                <c:pt idx="7">
                  <c:v>0.71563096374045798</c:v>
                </c:pt>
              </c:numCache>
            </c:numRef>
          </c:val>
        </c:ser>
        <c:dLbls>
          <c:showLegendKey val="0"/>
          <c:showVal val="0"/>
          <c:showCatName val="0"/>
          <c:showSerName val="0"/>
          <c:showPercent val="0"/>
          <c:showBubbleSize val="0"/>
        </c:dLbls>
        <c:gapWidth val="150"/>
        <c:axId val="201715072"/>
        <c:axId val="203822208"/>
      </c:barChart>
      <c:catAx>
        <c:axId val="201715072"/>
        <c:scaling>
          <c:orientation val="minMax"/>
        </c:scaling>
        <c:delete val="0"/>
        <c:axPos val="b"/>
        <c:majorTickMark val="out"/>
        <c:minorTickMark val="none"/>
        <c:tickLblPos val="nextTo"/>
        <c:crossAx val="203822208"/>
        <c:crosses val="autoZero"/>
        <c:auto val="1"/>
        <c:lblAlgn val="ctr"/>
        <c:lblOffset val="100"/>
        <c:noMultiLvlLbl val="0"/>
      </c:catAx>
      <c:valAx>
        <c:axId val="203822208"/>
        <c:scaling>
          <c:orientation val="minMax"/>
          <c:max val="1"/>
        </c:scaling>
        <c:delete val="0"/>
        <c:axPos val="l"/>
        <c:numFmt formatCode="0%" sourceLinked="0"/>
        <c:majorTickMark val="out"/>
        <c:minorTickMark val="none"/>
        <c:tickLblPos val="nextTo"/>
        <c:crossAx val="201715072"/>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1"/>
            <c:invertIfNegative val="0"/>
            <c:bubble3D val="0"/>
            <c:spPr>
              <a:pattFill prst="wdDnDiag">
                <a:fgClr>
                  <a:schemeClr val="accent2"/>
                </a:fgClr>
                <a:bgClr>
                  <a:schemeClr val="bg1"/>
                </a:bgClr>
              </a:pattFill>
            </c:spPr>
          </c:dPt>
          <c:dPt>
            <c:idx val="2"/>
            <c:invertIfNegative val="0"/>
            <c:bubble3D val="0"/>
            <c:spPr>
              <a:solidFill>
                <a:schemeClr val="accent2">
                  <a:lumMod val="60000"/>
                  <a:lumOff val="40000"/>
                </a:schemeClr>
              </a:solidFill>
            </c:spPr>
          </c:dPt>
          <c:dPt>
            <c:idx val="3"/>
            <c:invertIfNegative val="0"/>
            <c:bubble3D val="0"/>
            <c:spPr>
              <a:solidFill>
                <a:schemeClr val="accent2">
                  <a:lumMod val="40000"/>
                  <a:lumOff val="60000"/>
                </a:schemeClr>
              </a:solidFill>
            </c:spPr>
          </c:dPt>
          <c:dPt>
            <c:idx val="4"/>
            <c:invertIfNegative val="0"/>
            <c:bubble3D val="0"/>
            <c:spPr>
              <a:solidFill>
                <a:schemeClr val="accent2">
                  <a:lumMod val="40000"/>
                  <a:lumOff val="60000"/>
                </a:schemeClr>
              </a:solidFill>
            </c:spPr>
          </c:dPt>
          <c:dPt>
            <c:idx val="5"/>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Hoja2!$B$40:$B$45</c:f>
              <c:strCache>
                <c:ptCount val="6"/>
                <c:pt idx="0">
                  <c:v>Sociedades Mercantiles</c:v>
                </c:pt>
                <c:pt idx="1">
                  <c:v>SPI Total</c:v>
                </c:pt>
                <c:pt idx="2">
                  <c:v> Agencias Estatales, OOAA, EPES</c:v>
                </c:pt>
                <c:pt idx="3">
                  <c:v>Fundaciones Públicas</c:v>
                </c:pt>
                <c:pt idx="4">
                  <c:v>Entidades de Derecho Público</c:v>
                </c:pt>
                <c:pt idx="5">
                  <c:v>Mutuas</c:v>
                </c:pt>
              </c:strCache>
            </c:strRef>
          </c:cat>
          <c:val>
            <c:numRef>
              <c:f>Hoja2!$C$40:$C$45</c:f>
              <c:numCache>
                <c:formatCode>0.0%</c:formatCode>
                <c:ptCount val="6"/>
                <c:pt idx="0">
                  <c:v>0.84299999999999997</c:v>
                </c:pt>
                <c:pt idx="1">
                  <c:v>0.71599999999999997</c:v>
                </c:pt>
                <c:pt idx="2">
                  <c:v>0.70899999999999996</c:v>
                </c:pt>
                <c:pt idx="3">
                  <c:v>0.65300000000000002</c:v>
                </c:pt>
                <c:pt idx="4">
                  <c:v>0.65100000000000002</c:v>
                </c:pt>
                <c:pt idx="5">
                  <c:v>0.59699999999999998</c:v>
                </c:pt>
              </c:numCache>
            </c:numRef>
          </c:val>
        </c:ser>
        <c:dLbls>
          <c:showLegendKey val="0"/>
          <c:showVal val="0"/>
          <c:showCatName val="0"/>
          <c:showSerName val="0"/>
          <c:showPercent val="0"/>
          <c:showBubbleSize val="0"/>
        </c:dLbls>
        <c:gapWidth val="150"/>
        <c:axId val="203524736"/>
        <c:axId val="203526528"/>
      </c:barChart>
      <c:catAx>
        <c:axId val="203524736"/>
        <c:scaling>
          <c:orientation val="minMax"/>
        </c:scaling>
        <c:delete val="0"/>
        <c:axPos val="b"/>
        <c:majorTickMark val="out"/>
        <c:minorTickMark val="none"/>
        <c:tickLblPos val="nextTo"/>
        <c:crossAx val="203526528"/>
        <c:crosses val="autoZero"/>
        <c:auto val="1"/>
        <c:lblAlgn val="ctr"/>
        <c:lblOffset val="100"/>
        <c:noMultiLvlLbl val="0"/>
      </c:catAx>
      <c:valAx>
        <c:axId val="203526528"/>
        <c:scaling>
          <c:orientation val="minMax"/>
          <c:max val="1"/>
        </c:scaling>
        <c:delete val="0"/>
        <c:axPos val="l"/>
        <c:numFmt formatCode="0%" sourceLinked="0"/>
        <c:majorTickMark val="out"/>
        <c:minorTickMark val="none"/>
        <c:tickLblPos val="nextTo"/>
        <c:crossAx val="203524736"/>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SPI'!$L$39:$S$39</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SPI'!$L$40:$S$40</c:f>
              <c:numCache>
                <c:formatCode>0.0%</c:formatCode>
                <c:ptCount val="8"/>
                <c:pt idx="0">
                  <c:v>0.59615384615384615</c:v>
                </c:pt>
                <c:pt idx="1">
                  <c:v>0.61538461538461542</c:v>
                </c:pt>
                <c:pt idx="2">
                  <c:v>0.59615384615384615</c:v>
                </c:pt>
                <c:pt idx="3">
                  <c:v>0.57692307692307687</c:v>
                </c:pt>
                <c:pt idx="4">
                  <c:v>0.61538461538461542</c:v>
                </c:pt>
                <c:pt idx="5">
                  <c:v>0.61538461538461542</c:v>
                </c:pt>
                <c:pt idx="6">
                  <c:v>0.38461538461538464</c:v>
                </c:pt>
                <c:pt idx="7">
                  <c:v>0.5714285714285714</c:v>
                </c:pt>
              </c:numCache>
            </c:numRef>
          </c:val>
        </c:ser>
        <c:dLbls>
          <c:showLegendKey val="0"/>
          <c:showVal val="0"/>
          <c:showCatName val="0"/>
          <c:showSerName val="0"/>
          <c:showPercent val="0"/>
          <c:showBubbleSize val="0"/>
        </c:dLbls>
        <c:gapWidth val="150"/>
        <c:axId val="201699712"/>
        <c:axId val="201701248"/>
      </c:barChart>
      <c:catAx>
        <c:axId val="201699712"/>
        <c:scaling>
          <c:orientation val="minMax"/>
        </c:scaling>
        <c:delete val="0"/>
        <c:axPos val="b"/>
        <c:majorTickMark val="out"/>
        <c:minorTickMark val="none"/>
        <c:tickLblPos val="nextTo"/>
        <c:crossAx val="201701248"/>
        <c:crosses val="autoZero"/>
        <c:auto val="1"/>
        <c:lblAlgn val="ctr"/>
        <c:lblOffset val="100"/>
        <c:noMultiLvlLbl val="0"/>
      </c:catAx>
      <c:valAx>
        <c:axId val="201701248"/>
        <c:scaling>
          <c:orientation val="minMax"/>
          <c:max val="1"/>
        </c:scaling>
        <c:delete val="0"/>
        <c:axPos val="l"/>
        <c:numFmt formatCode="0%" sourceLinked="0"/>
        <c:majorTickMark val="out"/>
        <c:minorTickMark val="none"/>
        <c:tickLblPos val="nextTo"/>
        <c:crossAx val="201699712"/>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2"/>
            <c:invertIfNegative val="0"/>
            <c:bubble3D val="0"/>
            <c:spPr>
              <a:pattFill prst="wdDnDiag">
                <a:fgClr>
                  <a:schemeClr val="accent2"/>
                </a:fgClr>
                <a:bgClr>
                  <a:schemeClr val="bg1"/>
                </a:bgClr>
              </a:pattFill>
            </c:spPr>
          </c:dPt>
          <c:dPt>
            <c:idx val="3"/>
            <c:invertIfNegative val="0"/>
            <c:bubble3D val="0"/>
            <c:spPr>
              <a:solidFill>
                <a:schemeClr val="accent2">
                  <a:lumMod val="60000"/>
                  <a:lumOff val="40000"/>
                </a:schemeClr>
              </a:solidFill>
            </c:spPr>
          </c:dPt>
          <c:dPt>
            <c:idx val="4"/>
            <c:invertIfNegative val="0"/>
            <c:bubble3D val="0"/>
            <c:spPr>
              <a:solidFill>
                <a:schemeClr val="accent2">
                  <a:lumMod val="60000"/>
                  <a:lumOff val="40000"/>
                </a:schemeClr>
              </a:solidFill>
            </c:spPr>
          </c:dPt>
          <c:dPt>
            <c:idx val="5"/>
            <c:invertIfNegative val="0"/>
            <c:bubble3D val="0"/>
            <c:spPr>
              <a:solidFill>
                <a:schemeClr val="accent2">
                  <a:lumMod val="20000"/>
                  <a:lumOff val="80000"/>
                </a:schemeClr>
              </a:solidFill>
            </c:spPr>
          </c:dPt>
          <c:dLbls>
            <c:numFmt formatCode="0.0%" sourceLinked="0"/>
            <c:showLegendKey val="0"/>
            <c:showVal val="1"/>
            <c:showCatName val="0"/>
            <c:showSerName val="0"/>
            <c:showPercent val="0"/>
            <c:showBubbleSize val="0"/>
            <c:showLeaderLines val="0"/>
          </c:dLbls>
          <c:cat>
            <c:strRef>
              <c:f>Hoja1!$B$15:$B$20</c:f>
              <c:strCache>
                <c:ptCount val="6"/>
                <c:pt idx="0">
                  <c:v>Sociedades Mercantiles Estatales</c:v>
                </c:pt>
                <c:pt idx="1">
                  <c:v>Mutuas</c:v>
                </c:pt>
                <c:pt idx="2">
                  <c:v>Total SPI</c:v>
                </c:pt>
                <c:pt idx="3">
                  <c:v>Entidades de Derecho Público</c:v>
                </c:pt>
                <c:pt idx="4">
                  <c:v> Agencias Estatales, OOAA, EPES</c:v>
                </c:pt>
                <c:pt idx="5">
                  <c:v>Fundaciones Públicas</c:v>
                </c:pt>
              </c:strCache>
            </c:strRef>
          </c:cat>
          <c:val>
            <c:numRef>
              <c:f>Hoja1!$C$15:$C$20</c:f>
              <c:numCache>
                <c:formatCode>0.0%</c:formatCode>
                <c:ptCount val="6"/>
                <c:pt idx="0">
                  <c:v>0.51700000000000002</c:v>
                </c:pt>
                <c:pt idx="1">
                  <c:v>0.48799999999999999</c:v>
                </c:pt>
                <c:pt idx="2">
                  <c:v>0.46100000000000002</c:v>
                </c:pt>
                <c:pt idx="3">
                  <c:v>0.39299999999999996</c:v>
                </c:pt>
                <c:pt idx="4">
                  <c:v>0.35600000000000004</c:v>
                </c:pt>
                <c:pt idx="5">
                  <c:v>0.28499999999999998</c:v>
                </c:pt>
              </c:numCache>
            </c:numRef>
          </c:val>
        </c:ser>
        <c:dLbls>
          <c:showLegendKey val="0"/>
          <c:showVal val="0"/>
          <c:showCatName val="0"/>
          <c:showSerName val="0"/>
          <c:showPercent val="0"/>
          <c:showBubbleSize val="0"/>
        </c:dLbls>
        <c:gapWidth val="150"/>
        <c:axId val="204225536"/>
        <c:axId val="204227328"/>
      </c:barChart>
      <c:catAx>
        <c:axId val="204225536"/>
        <c:scaling>
          <c:orientation val="minMax"/>
        </c:scaling>
        <c:delete val="0"/>
        <c:axPos val="b"/>
        <c:majorTickMark val="out"/>
        <c:minorTickMark val="none"/>
        <c:tickLblPos val="nextTo"/>
        <c:crossAx val="204227328"/>
        <c:crosses val="autoZero"/>
        <c:auto val="1"/>
        <c:lblAlgn val="ctr"/>
        <c:lblOffset val="100"/>
        <c:noMultiLvlLbl val="0"/>
      </c:catAx>
      <c:valAx>
        <c:axId val="204227328"/>
        <c:scaling>
          <c:orientation val="minMax"/>
          <c:max val="1"/>
        </c:scaling>
        <c:delete val="0"/>
        <c:axPos val="l"/>
        <c:numFmt formatCode="0%" sourceLinked="0"/>
        <c:majorTickMark val="out"/>
        <c:minorTickMark val="none"/>
        <c:tickLblPos val="nextTo"/>
        <c:crossAx val="204225536"/>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SPI'!$L$61:$S$61</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SPI'!$L$62:$S$62</c:f>
              <c:numCache>
                <c:formatCode>0.0%</c:formatCode>
                <c:ptCount val="8"/>
                <c:pt idx="0">
                  <c:v>0.41252453987730064</c:v>
                </c:pt>
                <c:pt idx="1">
                  <c:v>0.34738955823293172</c:v>
                </c:pt>
                <c:pt idx="2">
                  <c:v>0.43222891566265059</c:v>
                </c:pt>
                <c:pt idx="3">
                  <c:v>0.34708835341365463</c:v>
                </c:pt>
                <c:pt idx="4">
                  <c:v>0.43273092369477911</c:v>
                </c:pt>
                <c:pt idx="5">
                  <c:v>0.40512048192771083</c:v>
                </c:pt>
                <c:pt idx="6">
                  <c:v>0.40110441767068272</c:v>
                </c:pt>
                <c:pt idx="7">
                  <c:v>0.39684339948231229</c:v>
                </c:pt>
              </c:numCache>
            </c:numRef>
          </c:val>
        </c:ser>
        <c:dLbls>
          <c:showLegendKey val="0"/>
          <c:showVal val="0"/>
          <c:showCatName val="0"/>
          <c:showSerName val="0"/>
          <c:showPercent val="0"/>
          <c:showBubbleSize val="0"/>
        </c:dLbls>
        <c:gapWidth val="150"/>
        <c:axId val="203756288"/>
        <c:axId val="203757824"/>
      </c:barChart>
      <c:catAx>
        <c:axId val="203756288"/>
        <c:scaling>
          <c:orientation val="minMax"/>
        </c:scaling>
        <c:delete val="0"/>
        <c:axPos val="b"/>
        <c:majorTickMark val="out"/>
        <c:minorTickMark val="none"/>
        <c:tickLblPos val="nextTo"/>
        <c:crossAx val="203757824"/>
        <c:crosses val="autoZero"/>
        <c:auto val="1"/>
        <c:lblAlgn val="ctr"/>
        <c:lblOffset val="100"/>
        <c:noMultiLvlLbl val="0"/>
      </c:catAx>
      <c:valAx>
        <c:axId val="203757824"/>
        <c:scaling>
          <c:orientation val="minMax"/>
          <c:max val="1"/>
        </c:scaling>
        <c:delete val="0"/>
        <c:axPos val="l"/>
        <c:numFmt formatCode="0%" sourceLinked="0"/>
        <c:majorTickMark val="out"/>
        <c:minorTickMark val="none"/>
        <c:tickLblPos val="nextTo"/>
        <c:crossAx val="203756288"/>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2"/>
            <c:invertIfNegative val="0"/>
            <c:bubble3D val="0"/>
            <c:spPr>
              <a:pattFill prst="wdDnDiag">
                <a:fgClr>
                  <a:schemeClr val="accent2"/>
                </a:fgClr>
                <a:bgClr>
                  <a:schemeClr val="bg1"/>
                </a:bgClr>
              </a:pattFill>
            </c:spPr>
          </c:dPt>
          <c:dPt>
            <c:idx val="3"/>
            <c:invertIfNegative val="0"/>
            <c:bubble3D val="0"/>
            <c:spPr>
              <a:solidFill>
                <a:schemeClr val="accent2">
                  <a:lumMod val="60000"/>
                  <a:lumOff val="40000"/>
                </a:schemeClr>
              </a:solidFill>
            </c:spPr>
          </c:dPt>
          <c:dPt>
            <c:idx val="4"/>
            <c:invertIfNegative val="0"/>
            <c:bubble3D val="0"/>
            <c:spPr>
              <a:solidFill>
                <a:schemeClr val="accent2">
                  <a:lumMod val="60000"/>
                  <a:lumOff val="40000"/>
                </a:schemeClr>
              </a:solidFill>
            </c:spPr>
          </c:dPt>
          <c:dPt>
            <c:idx val="5"/>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Hoja1!$B$30:$B$35</c:f>
              <c:strCache>
                <c:ptCount val="6"/>
                <c:pt idx="0">
                  <c:v>Sociedades Mercantiles Estatales</c:v>
                </c:pt>
                <c:pt idx="1">
                  <c:v>Mutuas</c:v>
                </c:pt>
                <c:pt idx="2">
                  <c:v>SPI Total</c:v>
                </c:pt>
                <c:pt idx="3">
                  <c:v>Entidades de Derecho Público</c:v>
                </c:pt>
                <c:pt idx="4">
                  <c:v>Agencias Estatales, OOAA, EPES</c:v>
                </c:pt>
                <c:pt idx="5">
                  <c:v>Fundaciones Públicas</c:v>
                </c:pt>
              </c:strCache>
            </c:strRef>
          </c:cat>
          <c:val>
            <c:numRef>
              <c:f>Hoja1!$C$30:$C$35</c:f>
              <c:numCache>
                <c:formatCode>0.0%</c:formatCode>
                <c:ptCount val="6"/>
                <c:pt idx="0">
                  <c:v>0.52200000000000002</c:v>
                </c:pt>
                <c:pt idx="1">
                  <c:v>0.46300000000000002</c:v>
                </c:pt>
                <c:pt idx="2">
                  <c:v>0.39700000000000002</c:v>
                </c:pt>
                <c:pt idx="3">
                  <c:v>0.34899999999999998</c:v>
                </c:pt>
                <c:pt idx="4">
                  <c:v>0.33700000000000002</c:v>
                </c:pt>
                <c:pt idx="5">
                  <c:v>0.29899999999999999</c:v>
                </c:pt>
              </c:numCache>
            </c:numRef>
          </c:val>
        </c:ser>
        <c:dLbls>
          <c:showLegendKey val="0"/>
          <c:showVal val="0"/>
          <c:showCatName val="0"/>
          <c:showSerName val="0"/>
          <c:showPercent val="0"/>
          <c:showBubbleSize val="0"/>
        </c:dLbls>
        <c:gapWidth val="150"/>
        <c:axId val="204303744"/>
        <c:axId val="204321920"/>
      </c:barChart>
      <c:catAx>
        <c:axId val="204303744"/>
        <c:scaling>
          <c:orientation val="minMax"/>
        </c:scaling>
        <c:delete val="0"/>
        <c:axPos val="b"/>
        <c:majorTickMark val="out"/>
        <c:minorTickMark val="none"/>
        <c:tickLblPos val="nextTo"/>
        <c:crossAx val="204321920"/>
        <c:crosses val="autoZero"/>
        <c:auto val="1"/>
        <c:lblAlgn val="ctr"/>
        <c:lblOffset val="100"/>
        <c:noMultiLvlLbl val="0"/>
      </c:catAx>
      <c:valAx>
        <c:axId val="204321920"/>
        <c:scaling>
          <c:orientation val="minMax"/>
          <c:max val="1"/>
        </c:scaling>
        <c:delete val="0"/>
        <c:axPos val="l"/>
        <c:numFmt formatCode="0%" sourceLinked="0"/>
        <c:majorTickMark val="out"/>
        <c:minorTickMark val="none"/>
        <c:tickLblPos val="nextTo"/>
        <c:crossAx val="204303744"/>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SPI'!$L$82:$S$82</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SPI'!$L$83:$S$83</c:f>
              <c:numCache>
                <c:formatCode>0.0%</c:formatCode>
                <c:ptCount val="8"/>
                <c:pt idx="0">
                  <c:v>0.46052631578947367</c:v>
                </c:pt>
                <c:pt idx="1">
                  <c:v>0.47368421052631576</c:v>
                </c:pt>
                <c:pt idx="2">
                  <c:v>0.47368421052631576</c:v>
                </c:pt>
                <c:pt idx="3">
                  <c:v>0.47368421052631576</c:v>
                </c:pt>
                <c:pt idx="4">
                  <c:v>0.47368421052631576</c:v>
                </c:pt>
                <c:pt idx="5">
                  <c:v>0.47368421052631576</c:v>
                </c:pt>
                <c:pt idx="6">
                  <c:v>0.28947368421052633</c:v>
                </c:pt>
                <c:pt idx="7">
                  <c:v>0.44548872180451127</c:v>
                </c:pt>
              </c:numCache>
            </c:numRef>
          </c:val>
        </c:ser>
        <c:dLbls>
          <c:showLegendKey val="0"/>
          <c:showVal val="0"/>
          <c:showCatName val="0"/>
          <c:showSerName val="0"/>
          <c:showPercent val="0"/>
          <c:showBubbleSize val="0"/>
        </c:dLbls>
        <c:gapWidth val="150"/>
        <c:axId val="204108160"/>
        <c:axId val="204109696"/>
      </c:barChart>
      <c:catAx>
        <c:axId val="204108160"/>
        <c:scaling>
          <c:orientation val="minMax"/>
        </c:scaling>
        <c:delete val="0"/>
        <c:axPos val="b"/>
        <c:majorTickMark val="out"/>
        <c:minorTickMark val="none"/>
        <c:tickLblPos val="nextTo"/>
        <c:crossAx val="204109696"/>
        <c:crosses val="autoZero"/>
        <c:auto val="1"/>
        <c:lblAlgn val="ctr"/>
        <c:lblOffset val="100"/>
        <c:noMultiLvlLbl val="0"/>
      </c:catAx>
      <c:valAx>
        <c:axId val="204109696"/>
        <c:scaling>
          <c:orientation val="minMax"/>
          <c:max val="1"/>
        </c:scaling>
        <c:delete val="0"/>
        <c:axPos val="l"/>
        <c:numFmt formatCode="0%" sourceLinked="0"/>
        <c:majorTickMark val="out"/>
        <c:minorTickMark val="none"/>
        <c:tickLblPos val="nextTo"/>
        <c:crossAx val="204108160"/>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2.xml><?xml version="1.0" encoding="utf-8"?>
<ds:datastoreItem xmlns:ds="http://schemas.openxmlformats.org/officeDocument/2006/customXml" ds:itemID="{9CC7A615-CB6E-4AEB-A69D-52C1FBCA7A33}">
  <ds:schemaRefs>
    <ds:schemaRef ds:uri="http://schemas.microsoft.com/sharepoint/v3/contenttype/forms"/>
  </ds:schemaRefs>
</ds:datastoreItem>
</file>

<file path=customXml/itemProps3.xml><?xml version="1.0" encoding="utf-8"?>
<ds:datastoreItem xmlns:ds="http://schemas.openxmlformats.org/officeDocument/2006/customXml" ds:itemID="{DD7407D8-F1F2-42FC-9177-4B286B82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9748</TotalTime>
  <Pages>43</Pages>
  <Words>11729</Words>
  <Characters>64512</Characters>
  <Application>Microsoft Office Word</Application>
  <DocSecurity>0</DocSecurity>
  <Lines>537</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evaluación sobre el cumplimiento de la LTAIBG por parte de las entidades integrantes del Sector Público Institucional.</vt:lpstr>
      <vt:lpstr/>
    </vt:vector>
  </TitlesOfParts>
  <Company>SGAD</Company>
  <LinksUpToDate>false</LinksUpToDate>
  <CharactersWithSpaces>76089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sobre el cumplimiento de la LTAIBG por parte de las entidades integrantes del Sector Público Institucional.</dc:title>
  <dc:subject>Evaluaciones 2022.CTBG</dc:subject>
  <dc:creator>CTBG. Subdirección General de Transparencia y Buen Gobierno.</dc:creator>
  <cp:lastModifiedBy>anam.ruiz</cp:lastModifiedBy>
  <cp:revision>73</cp:revision>
  <dcterms:created xsi:type="dcterms:W3CDTF">2021-10-20T12:21:00Z</dcterms:created>
  <dcterms:modified xsi:type="dcterms:W3CDTF">2022-09-08T08:04:00Z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TC017730899991</vt:lpwstr>
  </property>
</Properties>
</file>