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44D" w:rsidRDefault="00710031">
      <w:r>
        <w:rPr>
          <w:noProof/>
        </w:rPr>
        <mc:AlternateContent>
          <mc:Choice Requires="wps">
            <w:drawing>
              <wp:anchor distT="0" distB="0" distL="114300" distR="114300" simplePos="0" relativeHeight="251661312" behindDoc="0" locked="0" layoutInCell="1" allowOverlap="1" wp14:anchorId="493A5244" wp14:editId="5D72E014">
                <wp:simplePos x="0" y="0"/>
                <wp:positionH relativeFrom="column">
                  <wp:posOffset>352425</wp:posOffset>
                </wp:positionH>
                <wp:positionV relativeFrom="paragraph">
                  <wp:posOffset>100330</wp:posOffset>
                </wp:positionV>
                <wp:extent cx="6464300" cy="1714500"/>
                <wp:effectExtent l="0" t="0" r="0" b="0"/>
                <wp:wrapNone/>
                <wp:docPr id="3"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hAnsi="Century Gothic"/>
                                <w:sz w:val="50"/>
                                <w:szCs w:val="50"/>
                              </w:rPr>
                              <w:id w:val="228783080"/>
                            </w:sdtPr>
                            <w:sdtEndPr/>
                            <w:sdtContent>
                              <w:p w:rsidR="008D3F6B" w:rsidRPr="00006957" w:rsidRDefault="008D3F6B" w:rsidP="00B40246">
                                <w:pPr>
                                  <w:pStyle w:val="Ttulodelboletn"/>
                                  <w:jc w:val="center"/>
                                  <w:rPr>
                                    <w:rFonts w:ascii="Century Gothic" w:hAnsi="Century Gothic"/>
                                    <w:sz w:val="50"/>
                                    <w:szCs w:val="50"/>
                                  </w:rPr>
                                </w:pPr>
                                <w:r w:rsidRPr="00006957">
                                  <w:rPr>
                                    <w:rFonts w:ascii="Century Gothic" w:hAnsi="Century Gothic"/>
                                    <w:sz w:val="50"/>
                                    <w:szCs w:val="50"/>
                                    <w:lang w:bidi="es-ES"/>
                                  </w:rPr>
                                  <w:t xml:space="preserve">Informe de evaluación sobre </w:t>
                                </w:r>
                                <w:r>
                                  <w:rPr>
                                    <w:rFonts w:ascii="Century Gothic" w:hAnsi="Century Gothic"/>
                                    <w:sz w:val="50"/>
                                    <w:szCs w:val="50"/>
                                    <w:lang w:bidi="es-ES"/>
                                  </w:rPr>
                                  <w:t>la gestión de las solicitudes de acceso a la información pública</w:t>
                                </w:r>
                              </w:p>
                            </w:sdtContent>
                          </w:sdt>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4" o:spid="_x0000_s1026" type="#_x0000_t202" style="position:absolute;margin-left:27.75pt;margin-top:7.9pt;width:509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" filled="f" stroked="f">
                <v:textbox inset=",7.2pt,,7.2pt">
                  <w:txbxContent>
                    <w:sdt>
                      <w:sdtPr>
                        <w:rPr>
                          <w:rFonts w:ascii="Century Gothic" w:hAnsi="Century Gothic"/>
                          <w:sz w:val="50"/>
                          <w:szCs w:val="50"/>
                        </w:rPr>
                        <w:id w:val="228783080"/>
                      </w:sdtPr>
                      <w:sdtEndPr/>
                      <w:sdtContent>
                        <w:p w:rsidR="008D3F6B" w:rsidRPr="00006957" w:rsidRDefault="008D3F6B" w:rsidP="00B40246">
                          <w:pPr>
                            <w:pStyle w:val="Ttulodelboletn"/>
                            <w:jc w:val="center"/>
                            <w:rPr>
                              <w:rFonts w:ascii="Century Gothic" w:hAnsi="Century Gothic"/>
                              <w:sz w:val="50"/>
                              <w:szCs w:val="50"/>
                            </w:rPr>
                          </w:pPr>
                          <w:r w:rsidRPr="00006957">
                            <w:rPr>
                              <w:rFonts w:ascii="Century Gothic" w:hAnsi="Century Gothic"/>
                              <w:sz w:val="50"/>
                              <w:szCs w:val="50"/>
                              <w:lang w:bidi="es-ES"/>
                            </w:rPr>
                            <w:t xml:space="preserve">Informe de evaluación sobre </w:t>
                          </w:r>
                          <w:r>
                            <w:rPr>
                              <w:rFonts w:ascii="Century Gothic" w:hAnsi="Century Gothic"/>
                              <w:sz w:val="50"/>
                              <w:szCs w:val="50"/>
                              <w:lang w:bidi="es-ES"/>
                            </w:rPr>
                            <w:t>la gestión de las solicitudes de acceso a la información pública</w:t>
                          </w:r>
                        </w:p>
                      </w:sdtContent>
                    </w:sdt>
                  </w:txbxContent>
                </v:textbox>
              </v:shape>
            </w:pict>
          </mc:Fallback>
        </mc:AlternateContent>
      </w:r>
    </w:p>
    <w:p w:rsidR="00B40246" w:rsidRPr="00B1184C" w:rsidRDefault="00D96F84" w:rsidP="00B40246">
      <w:pPr>
        <w:spacing w:before="120" w:after="120" w:line="312" w:lineRule="auto"/>
      </w:pPr>
      <w:r>
        <w:rPr>
          <w:noProof/>
        </w:rPr>
        <mc:AlternateContent>
          <mc:Choice Requires="wps">
            <w:drawing>
              <wp:anchor distT="0" distB="0" distL="114300" distR="114300" simplePos="0" relativeHeight="251659264" behindDoc="0" locked="0" layoutInCell="1" allowOverlap="1">
                <wp:simplePos x="0" y="0"/>
                <wp:positionH relativeFrom="page">
                  <wp:posOffset>-180340</wp:posOffset>
                </wp:positionH>
                <wp:positionV relativeFrom="page">
                  <wp:posOffset>-116840</wp:posOffset>
                </wp:positionV>
                <wp:extent cx="8001000" cy="2997835"/>
                <wp:effectExtent l="0" t="0" r="0" b="0"/>
                <wp:wrapNone/>
                <wp:docPr id="2"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2997835"/>
                        </a:xfrm>
                        <a:prstGeom prst="rect">
                          <a:avLst/>
                        </a:prstGeom>
                        <a:solidFill>
                          <a:srgbClr val="50866C"/>
                        </a:solidFill>
                        <a:ln>
                          <a:noFill/>
                        </a:ln>
                        <a:effectLst/>
                      </wps:spPr>
                      <wps:txbx>
                        <w:txbxContent>
                          <w:p w:rsidR="008D3F6B" w:rsidRDefault="008D3F6B" w:rsidP="00B40246">
                            <w:pPr>
                              <w:pStyle w:val="Ttulo2"/>
                              <w:tabs>
                                <w:tab w:val="left" w:pos="142"/>
                              </w:tabs>
                              <w:ind w:left="567"/>
                            </w:pPr>
                            <w:r>
                              <w:rPr>
                                <w:noProof/>
                              </w:rPr>
                              <w:drawing>
                                <wp:inline distT="0" distB="0" distL="0" distR="0" wp14:anchorId="2CCDA7C6" wp14:editId="68AA1D83">
                                  <wp:extent cx="1148316" cy="658342"/>
                                  <wp:effectExtent l="0" t="0" r="0" b="8890"/>
                                  <wp:docPr id="39" name="Imagen 39" descr="C:\Users\anam.ruiz\Pictures\PEQUEÑO CTBG 1 B texto A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am.ruiz\Pictures\PEQUEÑO CTBG 1 B texto AA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8716" cy="658571"/>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7" style="position:absolute;margin-left:-14.2pt;margin-top:-9.2pt;width:630pt;height:236.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" fillcolor="#50866c" stroked="f">
                <v:textbox inset=",7.2pt,,7.2pt">
                  <w:txbxContent>
                    <w:p w:rsidR="008D3F6B" w:rsidRDefault="008D3F6B" w:rsidP="00B40246">
                      <w:pPr>
                        <w:pStyle w:val="Ttulo2"/>
                        <w:tabs>
                          <w:tab w:val="left" w:pos="142"/>
                        </w:tabs>
                        <w:ind w:left="567"/>
                      </w:pPr>
                      <w:r>
                        <w:rPr>
                          <w:noProof/>
                        </w:rPr>
                        <w:drawing>
                          <wp:inline distT="0" distB="0" distL="0" distR="0" wp14:anchorId="2CCDA7C6" wp14:editId="68AA1D83">
                            <wp:extent cx="1148316" cy="658342"/>
                            <wp:effectExtent l="0" t="0" r="0" b="8890"/>
                            <wp:docPr id="39" name="Imagen 39" descr="C:\Users\anam.ruiz\Pictures\PEQUEÑO CTBG 1 B texto A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am.ruiz\Pictures\PEQUEÑO CTBG 1 B texto AA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8716" cy="658571"/>
                                    </a:xfrm>
                                    <a:prstGeom prst="rect">
                                      <a:avLst/>
                                    </a:prstGeom>
                                    <a:noFill/>
                                    <a:ln>
                                      <a:noFill/>
                                    </a:ln>
                                  </pic:spPr>
                                </pic:pic>
                              </a:graphicData>
                            </a:graphic>
                          </wp:inline>
                        </w:drawing>
                      </w:r>
                    </w:p>
                  </w:txbxContent>
                </v:textbox>
                <w10:wrap anchorx="page" anchory="page"/>
              </v:rect>
            </w:pict>
          </mc:Fallback>
        </mc:AlternateContent>
      </w:r>
    </w:p>
    <w:p w:rsidR="00B40246" w:rsidRPr="00B1184C" w:rsidRDefault="00B40246" w:rsidP="00B40246">
      <w:pPr>
        <w:spacing w:before="120" w:after="120" w:line="312" w:lineRule="auto"/>
      </w:pPr>
    </w:p>
    <w:p w:rsidR="00B40246" w:rsidRPr="00B1184C" w:rsidRDefault="00B40246" w:rsidP="00B40246">
      <w:pPr>
        <w:spacing w:before="120" w:after="120" w:line="312" w:lineRule="auto"/>
      </w:pPr>
    </w:p>
    <w:p w:rsidR="00B40246" w:rsidRPr="00B1184C" w:rsidRDefault="00B40246" w:rsidP="00B40246">
      <w:pPr>
        <w:spacing w:before="120" w:after="120" w:line="312" w:lineRule="auto"/>
        <w:rPr>
          <w:rFonts w:ascii="Arial" w:hAnsi="Arial"/>
          <w:b/>
          <w:sz w:val="36"/>
        </w:rPr>
      </w:pPr>
    </w:p>
    <w:p w:rsidR="00B40246" w:rsidRPr="0063780B" w:rsidRDefault="00D96F84" w:rsidP="00B40246">
      <w:pPr>
        <w:spacing w:before="120" w:after="120" w:line="312" w:lineRule="auto"/>
        <w:rPr>
          <w:rFonts w:ascii="Arial" w:hAnsi="Arial"/>
          <w:b/>
          <w:sz w:val="24"/>
        </w:rPr>
      </w:pPr>
      <w:r>
        <w:rPr>
          <w:noProof/>
        </w:rPr>
        <mc:AlternateContent>
          <mc:Choice Requires="wps">
            <w:drawing>
              <wp:anchor distT="0" distB="0" distL="114300" distR="114300" simplePos="0" relativeHeight="251660288" behindDoc="0" locked="0" layoutInCell="1" allowOverlap="1">
                <wp:simplePos x="0" y="0"/>
                <wp:positionH relativeFrom="page">
                  <wp:posOffset>-180975</wp:posOffset>
                </wp:positionH>
                <wp:positionV relativeFrom="page">
                  <wp:posOffset>2638425</wp:posOffset>
                </wp:positionV>
                <wp:extent cx="8001000" cy="245110"/>
                <wp:effectExtent l="0" t="0" r="0" b="2540"/>
                <wp:wrapTight wrapText="bothSides">
                  <wp:wrapPolygon edited="0">
                    <wp:start x="0" y="0"/>
                    <wp:lineTo x="0" y="20145"/>
                    <wp:lineTo x="21549" y="20145"/>
                    <wp:lineTo x="21549" y="0"/>
                    <wp:lineTo x="0" y="0"/>
                  </wp:wrapPolygon>
                </wp:wrapTight>
                <wp:docPr id="1"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245110"/>
                        </a:xfrm>
                        <a:prstGeom prst="rect">
                          <a:avLst/>
                        </a:prstGeom>
                        <a:solidFill>
                          <a:srgbClr val="C5DDD2"/>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14.25pt;margin-top:207.75pt;width:630pt;height:19.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" fillcolor="#c5ddd2" stroked="f">
                <v:textbox inset=",7.2pt,,7.2pt"/>
                <w10:wrap type="tight" anchorx="page" anchory="page"/>
              </v:rect>
            </w:pict>
          </mc:Fallback>
        </mc:AlternateContent>
      </w:r>
    </w:p>
    <w:p w:rsidR="000C6CFF" w:rsidRDefault="000C6CFF"/>
    <w:p w:rsidR="000C6CFF" w:rsidRDefault="000C6CFF"/>
    <w:tbl>
      <w:tblPr>
        <w:tblStyle w:val="Tablaconcuadrcula"/>
        <w:tblW w:w="0" w:type="auto"/>
        <w:tblLook w:val="04A0" w:firstRow="1" w:lastRow="0" w:firstColumn="1" w:lastColumn="0" w:noHBand="0" w:noVBand="1"/>
      </w:tblPr>
      <w:tblGrid>
        <w:gridCol w:w="3652"/>
        <w:gridCol w:w="6954"/>
      </w:tblGrid>
      <w:tr w:rsidR="00531D64" w:rsidRPr="00CB5511" w:rsidTr="00AC715D">
        <w:tc>
          <w:tcPr>
            <w:tcW w:w="3652" w:type="dxa"/>
          </w:tcPr>
          <w:p w:rsidR="00531D64" w:rsidRPr="00E34195" w:rsidRDefault="00531D64" w:rsidP="00AC715D">
            <w:pPr>
              <w:rPr>
                <w:b/>
                <w:color w:val="00642D"/>
                <w:sz w:val="24"/>
                <w:szCs w:val="24"/>
              </w:rPr>
            </w:pPr>
            <w:r w:rsidRPr="00E34195">
              <w:rPr>
                <w:b/>
                <w:color w:val="00642D"/>
                <w:sz w:val="24"/>
                <w:szCs w:val="24"/>
              </w:rPr>
              <w:t>Entidad evaluada</w:t>
            </w:r>
          </w:p>
        </w:tc>
        <w:tc>
          <w:tcPr>
            <w:tcW w:w="6954" w:type="dxa"/>
          </w:tcPr>
          <w:p w:rsidR="00531D64" w:rsidRPr="00CB5511" w:rsidRDefault="00DB2C87" w:rsidP="00AC2468">
            <w:pPr>
              <w:rPr>
                <w:sz w:val="24"/>
                <w:szCs w:val="24"/>
              </w:rPr>
            </w:pPr>
            <w:bookmarkStart w:id="0" w:name="_GoBack"/>
            <w:bookmarkEnd w:id="0"/>
            <w:r>
              <w:rPr>
                <w:sz w:val="24"/>
                <w:szCs w:val="24"/>
              </w:rPr>
              <w:t>FREMAP</w:t>
            </w:r>
          </w:p>
        </w:tc>
      </w:tr>
      <w:tr w:rsidR="00531D64" w:rsidRPr="00CB5511" w:rsidTr="00AC715D">
        <w:tc>
          <w:tcPr>
            <w:tcW w:w="3652" w:type="dxa"/>
          </w:tcPr>
          <w:p w:rsidR="00531D64" w:rsidRPr="00E34195" w:rsidRDefault="00531D64" w:rsidP="00AC715D">
            <w:pPr>
              <w:rPr>
                <w:b/>
                <w:color w:val="00642D"/>
                <w:sz w:val="24"/>
                <w:szCs w:val="24"/>
              </w:rPr>
            </w:pPr>
            <w:r w:rsidRPr="00E34195">
              <w:rPr>
                <w:b/>
                <w:color w:val="00642D"/>
                <w:sz w:val="24"/>
                <w:szCs w:val="24"/>
              </w:rPr>
              <w:t>Fecha de la evaluación</w:t>
            </w:r>
          </w:p>
        </w:tc>
        <w:tc>
          <w:tcPr>
            <w:tcW w:w="6954" w:type="dxa"/>
          </w:tcPr>
          <w:p w:rsidR="00531D64" w:rsidRPr="00CB5511" w:rsidRDefault="00DB2C87" w:rsidP="00DB2C87">
            <w:pPr>
              <w:rPr>
                <w:sz w:val="24"/>
                <w:szCs w:val="24"/>
              </w:rPr>
            </w:pPr>
            <w:r>
              <w:rPr>
                <w:sz w:val="24"/>
                <w:szCs w:val="24"/>
              </w:rPr>
              <w:t>22</w:t>
            </w:r>
            <w:r w:rsidR="009B321F">
              <w:rPr>
                <w:sz w:val="24"/>
                <w:szCs w:val="24"/>
              </w:rPr>
              <w:t>/0</w:t>
            </w:r>
            <w:r>
              <w:rPr>
                <w:sz w:val="24"/>
                <w:szCs w:val="24"/>
              </w:rPr>
              <w:t>8</w:t>
            </w:r>
            <w:r w:rsidR="009B321F">
              <w:rPr>
                <w:sz w:val="24"/>
                <w:szCs w:val="24"/>
              </w:rPr>
              <w:t>/2022</w:t>
            </w:r>
          </w:p>
        </w:tc>
      </w:tr>
    </w:tbl>
    <w:p w:rsidR="00BA266E" w:rsidRDefault="00BA266E"/>
    <w:p w:rsidR="00561402" w:rsidRPr="0012783F" w:rsidRDefault="0078780C">
      <w:pPr>
        <w:rPr>
          <w:b/>
        </w:rPr>
      </w:pPr>
      <w:sdt>
        <w:sdtPr>
          <w:rPr>
            <w:b/>
            <w:color w:val="00642D"/>
            <w:sz w:val="30"/>
            <w:szCs w:val="30"/>
          </w:rPr>
          <w:id w:val="1794640301"/>
          <w:placeholder>
            <w:docPart w:val="8F4720550BB74C508F8088AA887A2061"/>
          </w:placeholder>
        </w:sdtPr>
        <w:sdtEndPr>
          <w:rPr>
            <w:sz w:val="22"/>
            <w:szCs w:val="22"/>
          </w:rPr>
        </w:sdtEndPr>
        <w:sdtContent>
          <w:r w:rsidR="0012783F" w:rsidRPr="0012783F">
            <w:rPr>
              <w:b/>
              <w:color w:val="00642D"/>
              <w:sz w:val="30"/>
              <w:szCs w:val="30"/>
            </w:rPr>
            <w:t xml:space="preserve">I. </w:t>
          </w:r>
          <w:r w:rsidR="0012783F">
            <w:rPr>
              <w:b/>
              <w:color w:val="00642D"/>
              <w:sz w:val="30"/>
              <w:szCs w:val="30"/>
            </w:rPr>
            <w:t xml:space="preserve">Recursos disponibles para la tramitación de las solicitudes de acceso a información pública </w:t>
          </w:r>
        </w:sdtContent>
      </w:sdt>
    </w:p>
    <w:p w:rsidR="00BA266E" w:rsidRDefault="00BA266E" w:rsidP="0012783F">
      <w:pPr>
        <w:pStyle w:val="Cuerpodelboletn"/>
        <w:spacing w:before="120" w:after="120" w:line="312" w:lineRule="auto"/>
        <w:ind w:left="360"/>
        <w:rPr>
          <w:bCs/>
          <w:color w:val="auto"/>
          <w:szCs w:val="22"/>
        </w:rPr>
      </w:pPr>
    </w:p>
    <w:p w:rsidR="00CF15A6" w:rsidRDefault="00CA2C29" w:rsidP="00CF15A6">
      <w:pPr>
        <w:pStyle w:val="Cuerpodelboletn"/>
        <w:spacing w:before="120" w:after="120" w:line="312" w:lineRule="auto"/>
        <w:ind w:left="360"/>
        <w:rPr>
          <w:bCs/>
          <w:color w:val="auto"/>
          <w:szCs w:val="22"/>
        </w:rPr>
      </w:pPr>
      <w:r>
        <w:rPr>
          <w:bCs/>
          <w:color w:val="auto"/>
          <w:szCs w:val="22"/>
        </w:rPr>
        <w:t>FREMAP</w:t>
      </w:r>
      <w:r w:rsidR="0064735D">
        <w:rPr>
          <w:bCs/>
          <w:color w:val="auto"/>
          <w:szCs w:val="22"/>
        </w:rPr>
        <w:t xml:space="preserve"> ha asignado la gestión de las solicitudes de acceso a información pública a </w:t>
      </w:r>
      <w:r>
        <w:rPr>
          <w:bCs/>
          <w:color w:val="auto"/>
          <w:szCs w:val="22"/>
        </w:rPr>
        <w:t>su Secretaría General</w:t>
      </w:r>
      <w:r w:rsidR="00CF15A6">
        <w:rPr>
          <w:bCs/>
          <w:color w:val="auto"/>
          <w:szCs w:val="22"/>
        </w:rPr>
        <w:t>.</w:t>
      </w:r>
      <w:r w:rsidR="0064735D">
        <w:rPr>
          <w:bCs/>
          <w:color w:val="auto"/>
          <w:szCs w:val="22"/>
        </w:rPr>
        <w:t xml:space="preserve"> </w:t>
      </w:r>
      <w:r>
        <w:rPr>
          <w:bCs/>
          <w:color w:val="auto"/>
          <w:szCs w:val="22"/>
        </w:rPr>
        <w:t>C</w:t>
      </w:r>
      <w:r w:rsidR="0064735D">
        <w:rPr>
          <w:bCs/>
          <w:color w:val="auto"/>
          <w:szCs w:val="22"/>
        </w:rPr>
        <w:t xml:space="preserve">uenta con </w:t>
      </w:r>
      <w:r>
        <w:rPr>
          <w:bCs/>
          <w:color w:val="auto"/>
          <w:szCs w:val="22"/>
        </w:rPr>
        <w:t>entredós y tres</w:t>
      </w:r>
      <w:r w:rsidR="0064735D">
        <w:rPr>
          <w:bCs/>
          <w:color w:val="auto"/>
          <w:szCs w:val="22"/>
        </w:rPr>
        <w:t xml:space="preserve"> persona</w:t>
      </w:r>
      <w:r>
        <w:rPr>
          <w:bCs/>
          <w:color w:val="auto"/>
          <w:szCs w:val="22"/>
        </w:rPr>
        <w:t>s</w:t>
      </w:r>
      <w:r w:rsidR="0064735D">
        <w:rPr>
          <w:bCs/>
          <w:color w:val="auto"/>
          <w:szCs w:val="22"/>
        </w:rPr>
        <w:t xml:space="preserve"> que se dedica a la gestión de estas solicitudes compatibilizando esta actividad con otras funciones y tareas. </w:t>
      </w:r>
    </w:p>
    <w:p w:rsidR="00BA266E" w:rsidRPr="00BA266E" w:rsidRDefault="00BA266E" w:rsidP="0012783F">
      <w:pPr>
        <w:pStyle w:val="Cuerpodelboletn"/>
        <w:spacing w:before="120" w:after="120" w:line="312" w:lineRule="auto"/>
        <w:ind w:left="360"/>
        <w:rPr>
          <w:bCs/>
          <w:color w:val="auto"/>
          <w:szCs w:val="22"/>
        </w:rPr>
      </w:pPr>
    </w:p>
    <w:p w:rsidR="00B812AB" w:rsidRPr="0012783F" w:rsidRDefault="0078780C" w:rsidP="001E1C29">
      <w:pPr>
        <w:jc w:val="both"/>
        <w:rPr>
          <w:b/>
        </w:rPr>
      </w:pPr>
      <w:sdt>
        <w:sdtPr>
          <w:rPr>
            <w:rFonts w:eastAsiaTheme="majorEastAsia" w:cstheme="majorBidi"/>
            <w:b/>
            <w:bCs/>
            <w:color w:val="00642D"/>
            <w:sz w:val="30"/>
            <w:szCs w:val="30"/>
          </w:rPr>
          <w:id w:val="1704284111"/>
          <w:placeholder>
            <w:docPart w:val="A62AE5DAEDBD4B3592F8881F087FFB16"/>
          </w:placeholder>
        </w:sdtPr>
        <w:sdtEndPr>
          <w:rPr>
            <w:sz w:val="22"/>
            <w:szCs w:val="22"/>
          </w:rPr>
        </w:sdtEndPr>
        <w:sdtContent>
          <w:r w:rsidR="00B812AB" w:rsidRPr="0012783F">
            <w:rPr>
              <w:b/>
              <w:color w:val="00642D"/>
              <w:sz w:val="30"/>
              <w:szCs w:val="30"/>
            </w:rPr>
            <w:t>I</w:t>
          </w:r>
          <w:r w:rsidR="00B812AB">
            <w:rPr>
              <w:b/>
              <w:color w:val="00642D"/>
              <w:sz w:val="30"/>
              <w:szCs w:val="30"/>
            </w:rPr>
            <w:t>I</w:t>
          </w:r>
          <w:r w:rsidR="00B812AB" w:rsidRPr="0012783F">
            <w:rPr>
              <w:b/>
              <w:color w:val="00642D"/>
              <w:sz w:val="30"/>
              <w:szCs w:val="30"/>
            </w:rPr>
            <w:t xml:space="preserve">. </w:t>
          </w:r>
          <w:r w:rsidR="00B812AB">
            <w:rPr>
              <w:b/>
              <w:color w:val="00642D"/>
              <w:sz w:val="30"/>
              <w:szCs w:val="30"/>
            </w:rPr>
            <w:t>Actividad generada en 202</w:t>
          </w:r>
          <w:r w:rsidR="00291AF7">
            <w:rPr>
              <w:b/>
              <w:color w:val="00642D"/>
              <w:sz w:val="30"/>
              <w:szCs w:val="30"/>
            </w:rPr>
            <w:t>1</w:t>
          </w:r>
          <w:r w:rsidR="00B812AB">
            <w:rPr>
              <w:b/>
              <w:color w:val="00642D"/>
              <w:sz w:val="30"/>
              <w:szCs w:val="30"/>
            </w:rPr>
            <w:t xml:space="preserve"> por las solicitudes de acceso a información pública</w:t>
          </w:r>
          <w:r w:rsidR="00531D64">
            <w:rPr>
              <w:b/>
              <w:color w:val="00642D"/>
              <w:sz w:val="30"/>
              <w:szCs w:val="30"/>
            </w:rPr>
            <w:t xml:space="preserve"> </w:t>
          </w:r>
        </w:sdtContent>
      </w:sdt>
    </w:p>
    <w:p w:rsidR="00CF15A6" w:rsidRDefault="0064735D" w:rsidP="00CF15A6">
      <w:pPr>
        <w:pStyle w:val="Cuerpodelboletn"/>
        <w:spacing w:before="120" w:after="120" w:line="312" w:lineRule="auto"/>
        <w:ind w:left="360"/>
        <w:rPr>
          <w:bCs/>
          <w:color w:val="auto"/>
          <w:szCs w:val="22"/>
        </w:rPr>
      </w:pPr>
      <w:r>
        <w:rPr>
          <w:bCs/>
          <w:color w:val="auto"/>
          <w:szCs w:val="22"/>
        </w:rPr>
        <w:t xml:space="preserve">Según informa </w:t>
      </w:r>
      <w:r w:rsidR="00CA2C29">
        <w:rPr>
          <w:bCs/>
          <w:color w:val="auto"/>
          <w:szCs w:val="22"/>
        </w:rPr>
        <w:t>FREMAP</w:t>
      </w:r>
      <w:r>
        <w:rPr>
          <w:bCs/>
          <w:color w:val="auto"/>
          <w:szCs w:val="22"/>
        </w:rPr>
        <w:t xml:space="preserve"> en 2021 se recibieron </w:t>
      </w:r>
      <w:r w:rsidR="00CA2C29">
        <w:rPr>
          <w:bCs/>
          <w:color w:val="auto"/>
          <w:szCs w:val="22"/>
        </w:rPr>
        <w:t xml:space="preserve">dos </w:t>
      </w:r>
      <w:r>
        <w:rPr>
          <w:bCs/>
          <w:color w:val="auto"/>
          <w:szCs w:val="22"/>
        </w:rPr>
        <w:t>solicitudes de acceso a información pública de la entidad</w:t>
      </w:r>
      <w:r w:rsidR="00CF15A6">
        <w:rPr>
          <w:bCs/>
          <w:color w:val="auto"/>
          <w:szCs w:val="22"/>
        </w:rPr>
        <w:t>.</w:t>
      </w:r>
      <w:r w:rsidR="00CA2C29">
        <w:rPr>
          <w:bCs/>
          <w:color w:val="auto"/>
          <w:szCs w:val="22"/>
        </w:rPr>
        <w:t xml:space="preserve"> Ambas solicitudes fueron admitidas y concedieron acceso total a la información solicitada.</w:t>
      </w:r>
    </w:p>
    <w:p w:rsidR="005A2A22" w:rsidRDefault="00BA49C1" w:rsidP="00CF15A6">
      <w:pPr>
        <w:pStyle w:val="Cuerpodelboletn"/>
        <w:spacing w:before="120" w:after="120" w:line="312" w:lineRule="auto"/>
        <w:ind w:left="360"/>
        <w:rPr>
          <w:bCs/>
          <w:color w:val="auto"/>
          <w:szCs w:val="22"/>
        </w:rPr>
      </w:pPr>
      <w:r w:rsidRPr="00BA49C1">
        <w:rPr>
          <w:bCs/>
          <w:color w:val="auto"/>
          <w:szCs w:val="22"/>
        </w:rPr>
        <w:t xml:space="preserve">No se ha localizado en la web de </w:t>
      </w:r>
      <w:r>
        <w:rPr>
          <w:bCs/>
          <w:color w:val="auto"/>
          <w:szCs w:val="22"/>
        </w:rPr>
        <w:t>FREMAP</w:t>
      </w:r>
      <w:r w:rsidRPr="00BA49C1">
        <w:rPr>
          <w:bCs/>
          <w:color w:val="auto"/>
          <w:szCs w:val="22"/>
        </w:rPr>
        <w:t>, información sobre las solicitudes denegadas por aplicación de los límites del artículo 14 de la LTAIBG, tal y como establece el artículo 14.3 de la norma, que obliga a la publicación de estas resoluciones previa disociación de los datos de carácter personal.</w:t>
      </w:r>
    </w:p>
    <w:p w:rsidR="00BA49C1" w:rsidRDefault="00BA49C1" w:rsidP="00CF15A6">
      <w:pPr>
        <w:pStyle w:val="Cuerpodelboletn"/>
        <w:spacing w:before="120" w:after="120" w:line="312" w:lineRule="auto"/>
        <w:ind w:left="360"/>
        <w:rPr>
          <w:bCs/>
          <w:color w:val="auto"/>
          <w:szCs w:val="22"/>
        </w:rPr>
      </w:pPr>
    </w:p>
    <w:p w:rsidR="00BA49C1" w:rsidRDefault="00BA49C1" w:rsidP="00CF15A6">
      <w:pPr>
        <w:pStyle w:val="Cuerpodelboletn"/>
        <w:spacing w:before="120" w:after="120" w:line="312" w:lineRule="auto"/>
        <w:ind w:left="360"/>
        <w:rPr>
          <w:bCs/>
          <w:color w:val="auto"/>
          <w:szCs w:val="22"/>
        </w:rPr>
      </w:pPr>
    </w:p>
    <w:p w:rsidR="00BA49C1" w:rsidRDefault="00BA49C1" w:rsidP="00CF15A6">
      <w:pPr>
        <w:pStyle w:val="Cuerpodelboletn"/>
        <w:spacing w:before="120" w:after="120" w:line="312" w:lineRule="auto"/>
        <w:ind w:left="360"/>
        <w:rPr>
          <w:bCs/>
          <w:color w:val="auto"/>
          <w:szCs w:val="22"/>
        </w:rPr>
      </w:pPr>
    </w:p>
    <w:p w:rsidR="00B812AB" w:rsidRPr="00E34195" w:rsidRDefault="0078780C" w:rsidP="00CF15A6">
      <w:pPr>
        <w:pStyle w:val="Titulardelboletn"/>
        <w:spacing w:before="120" w:after="120" w:line="312" w:lineRule="auto"/>
        <w:rPr>
          <w:rFonts w:ascii="Century Gothic" w:hAnsi="Century Gothic"/>
          <w:color w:val="00642D"/>
        </w:rPr>
      </w:pPr>
      <w:sdt>
        <w:sdtPr>
          <w:rPr>
            <w:rFonts w:ascii="Century Gothic" w:hAnsi="Century Gothic"/>
            <w:color w:val="00642D"/>
            <w:sz w:val="30"/>
            <w:szCs w:val="30"/>
          </w:rPr>
          <w:id w:val="207845719"/>
          <w:placeholder>
            <w:docPart w:val="D0093F7CCA03424CB7F48332D2DADFBC"/>
          </w:placeholder>
        </w:sdtPr>
        <w:sdtEndPr>
          <w:rPr>
            <w:sz w:val="32"/>
            <w:szCs w:val="24"/>
          </w:rPr>
        </w:sdtEndPr>
        <w:sdtContent>
          <w:r w:rsidR="00B812AB" w:rsidRPr="00E34195">
            <w:rPr>
              <w:rFonts w:ascii="Century Gothic" w:hAnsi="Century Gothic"/>
              <w:color w:val="00642D"/>
              <w:sz w:val="30"/>
              <w:szCs w:val="30"/>
            </w:rPr>
            <w:t>I</w:t>
          </w:r>
          <w:r w:rsidR="00B812AB">
            <w:rPr>
              <w:rFonts w:ascii="Century Gothic" w:hAnsi="Century Gothic"/>
              <w:color w:val="00642D"/>
              <w:sz w:val="30"/>
              <w:szCs w:val="30"/>
            </w:rPr>
            <w:t>I</w:t>
          </w:r>
          <w:r w:rsidR="00176A94">
            <w:rPr>
              <w:rFonts w:ascii="Century Gothic" w:hAnsi="Century Gothic"/>
              <w:color w:val="00642D"/>
              <w:sz w:val="30"/>
              <w:szCs w:val="30"/>
            </w:rPr>
            <w:t>I</w:t>
          </w:r>
          <w:r w:rsidR="00B812AB" w:rsidRPr="00E34195">
            <w:rPr>
              <w:rFonts w:ascii="Century Gothic" w:hAnsi="Century Gothic"/>
              <w:color w:val="00642D"/>
              <w:sz w:val="30"/>
              <w:szCs w:val="30"/>
            </w:rPr>
            <w:t xml:space="preserve">. Localización </w:t>
          </w:r>
          <w:r w:rsidR="00055B15">
            <w:rPr>
              <w:rFonts w:ascii="Century Gothic" w:hAnsi="Century Gothic"/>
              <w:color w:val="00642D"/>
              <w:sz w:val="30"/>
              <w:szCs w:val="30"/>
            </w:rPr>
            <w:t>de la información y facilidad de acceso al</w:t>
          </w:r>
          <w:r w:rsidR="00531D64">
            <w:rPr>
              <w:rFonts w:ascii="Century Gothic" w:hAnsi="Century Gothic"/>
              <w:color w:val="00642D"/>
              <w:sz w:val="30"/>
              <w:szCs w:val="30"/>
            </w:rPr>
            <w:t xml:space="preserve"> </w:t>
          </w:r>
          <w:r w:rsidR="00055B15">
            <w:rPr>
              <w:rFonts w:ascii="Century Gothic" w:hAnsi="Century Gothic"/>
              <w:color w:val="00642D"/>
              <w:sz w:val="30"/>
              <w:szCs w:val="30"/>
            </w:rPr>
            <w:t>ejercicio del derecho de acceso</w:t>
          </w:r>
        </w:sdtContent>
      </w:sdt>
    </w:p>
    <w:p w:rsidR="0064735D" w:rsidRDefault="00CA2C29" w:rsidP="00B378E2">
      <w:pPr>
        <w:ind w:left="426"/>
        <w:jc w:val="both"/>
        <w:rPr>
          <w:rStyle w:val="Ttulo2Car"/>
          <w:b w:val="0"/>
          <w:color w:val="auto"/>
          <w:sz w:val="22"/>
          <w:szCs w:val="22"/>
          <w:lang w:bidi="es-ES"/>
        </w:rPr>
      </w:pPr>
      <w:r>
        <w:rPr>
          <w:rStyle w:val="Ttulo2Car"/>
          <w:b w:val="0"/>
          <w:color w:val="auto"/>
          <w:sz w:val="22"/>
          <w:szCs w:val="22"/>
          <w:lang w:bidi="es-ES"/>
        </w:rPr>
        <w:t>FREMAP</w:t>
      </w:r>
      <w:r w:rsidR="00B378E2">
        <w:rPr>
          <w:rStyle w:val="Ttulo2Car"/>
          <w:b w:val="0"/>
          <w:color w:val="auto"/>
          <w:sz w:val="22"/>
          <w:szCs w:val="22"/>
          <w:lang w:bidi="es-ES"/>
        </w:rPr>
        <w:t xml:space="preserve"> </w:t>
      </w:r>
      <w:r w:rsidR="00F95C49">
        <w:rPr>
          <w:rStyle w:val="Ttulo2Car"/>
          <w:b w:val="0"/>
          <w:color w:val="auto"/>
          <w:sz w:val="22"/>
          <w:szCs w:val="22"/>
          <w:lang w:bidi="es-ES"/>
        </w:rPr>
        <w:t xml:space="preserve">dispone de un enlace específico </w:t>
      </w:r>
      <w:r w:rsidR="000B2A81">
        <w:rPr>
          <w:rStyle w:val="Ttulo2Car"/>
          <w:b w:val="0"/>
          <w:color w:val="auto"/>
          <w:sz w:val="22"/>
          <w:szCs w:val="22"/>
          <w:lang w:bidi="es-ES"/>
        </w:rPr>
        <w:t>en su Portal de Transparencia</w:t>
      </w:r>
      <w:r w:rsidR="00F95C49">
        <w:rPr>
          <w:rStyle w:val="Ttulo2Car"/>
          <w:b w:val="0"/>
          <w:color w:val="auto"/>
          <w:sz w:val="22"/>
          <w:szCs w:val="22"/>
          <w:lang w:bidi="es-ES"/>
        </w:rPr>
        <w:t xml:space="preserve"> para la</w:t>
      </w:r>
      <w:r w:rsidR="008D3F6B">
        <w:rPr>
          <w:rStyle w:val="Ttulo2Car"/>
          <w:b w:val="0"/>
          <w:color w:val="auto"/>
          <w:sz w:val="22"/>
          <w:szCs w:val="22"/>
          <w:lang w:bidi="es-ES"/>
        </w:rPr>
        <w:t xml:space="preserve"> presentación de</w:t>
      </w:r>
      <w:r w:rsidR="00F95C49">
        <w:rPr>
          <w:rStyle w:val="Ttulo2Car"/>
          <w:b w:val="0"/>
          <w:color w:val="auto"/>
          <w:sz w:val="22"/>
          <w:szCs w:val="22"/>
          <w:lang w:bidi="es-ES"/>
        </w:rPr>
        <w:t xml:space="preserve"> solicitudes de acceso a la información pública. </w:t>
      </w:r>
      <w:r w:rsidR="0064735D">
        <w:rPr>
          <w:rStyle w:val="Ttulo2Car"/>
          <w:b w:val="0"/>
          <w:color w:val="auto"/>
          <w:sz w:val="22"/>
          <w:szCs w:val="22"/>
          <w:lang w:bidi="es-ES"/>
        </w:rPr>
        <w:t>En dicho espacio</w:t>
      </w:r>
      <w:r>
        <w:rPr>
          <w:rStyle w:val="Ttulo2Car"/>
          <w:b w:val="0"/>
          <w:color w:val="auto"/>
          <w:sz w:val="22"/>
          <w:szCs w:val="22"/>
          <w:lang w:bidi="es-ES"/>
        </w:rPr>
        <w:t xml:space="preserve"> no</w:t>
      </w:r>
      <w:r w:rsidR="0064735D">
        <w:rPr>
          <w:rStyle w:val="Ttulo2Car"/>
          <w:b w:val="0"/>
          <w:color w:val="auto"/>
          <w:sz w:val="22"/>
          <w:szCs w:val="22"/>
          <w:lang w:bidi="es-ES"/>
        </w:rPr>
        <w:t xml:space="preserve"> informa sobre el derecho de los ciudadanos a solicitar información pública. </w:t>
      </w:r>
    </w:p>
    <w:p w:rsidR="00F95C49" w:rsidRDefault="00CA2C29" w:rsidP="00F34803">
      <w:pPr>
        <w:ind w:left="426"/>
        <w:jc w:val="both"/>
        <w:rPr>
          <w:rStyle w:val="Ttulo2Car"/>
          <w:b w:val="0"/>
          <w:color w:val="auto"/>
          <w:sz w:val="22"/>
          <w:szCs w:val="22"/>
          <w:lang w:bidi="es-ES"/>
        </w:rPr>
      </w:pPr>
      <w:r>
        <w:rPr>
          <w:rStyle w:val="Ttulo2Car"/>
          <w:b w:val="0"/>
          <w:color w:val="auto"/>
          <w:sz w:val="22"/>
          <w:szCs w:val="22"/>
          <w:lang w:bidi="es-ES"/>
        </w:rPr>
        <w:t>Para presentar las solicitudes de acceso se ha habilitado un buzón de correo electrónico</w:t>
      </w:r>
      <w:r w:rsidR="00F95C49">
        <w:rPr>
          <w:rStyle w:val="Ttulo2Car"/>
          <w:b w:val="0"/>
          <w:color w:val="auto"/>
          <w:sz w:val="22"/>
          <w:szCs w:val="22"/>
          <w:lang w:bidi="es-ES"/>
        </w:rPr>
        <w:t>.</w:t>
      </w:r>
      <w:r>
        <w:rPr>
          <w:rStyle w:val="Ttulo2Car"/>
          <w:b w:val="0"/>
          <w:color w:val="auto"/>
          <w:sz w:val="22"/>
          <w:szCs w:val="22"/>
          <w:lang w:bidi="es-ES"/>
        </w:rPr>
        <w:t xml:space="preserve"> No se informa sobre otros canales alternativos para la presentación de las solicitudes.</w:t>
      </w:r>
    </w:p>
    <w:p w:rsidR="00F95C49" w:rsidRDefault="00F95C49" w:rsidP="00F95C49">
      <w:pPr>
        <w:ind w:left="426"/>
        <w:jc w:val="both"/>
        <w:rPr>
          <w:rStyle w:val="Ttulo2Car"/>
          <w:b w:val="0"/>
          <w:color w:val="auto"/>
          <w:sz w:val="22"/>
          <w:szCs w:val="22"/>
          <w:lang w:bidi="es-ES"/>
        </w:rPr>
      </w:pPr>
      <w:r>
        <w:rPr>
          <w:rStyle w:val="Ttulo2Car"/>
          <w:b w:val="0"/>
          <w:color w:val="auto"/>
          <w:sz w:val="22"/>
          <w:szCs w:val="22"/>
          <w:lang w:bidi="es-ES"/>
        </w:rPr>
        <w:t>Para la presentación de las solicitudes se exigen como requisitos la</w:t>
      </w:r>
      <w:r w:rsidRPr="00F95C49">
        <w:rPr>
          <w:rStyle w:val="Ttulo2Car"/>
          <w:b w:val="0"/>
          <w:color w:val="auto"/>
          <w:sz w:val="22"/>
          <w:szCs w:val="22"/>
          <w:lang w:bidi="es-ES"/>
        </w:rPr>
        <w:t xml:space="preserve"> identificación</w:t>
      </w:r>
      <w:r>
        <w:rPr>
          <w:rStyle w:val="Ttulo2Car"/>
          <w:b w:val="0"/>
          <w:color w:val="auto"/>
          <w:sz w:val="22"/>
          <w:szCs w:val="22"/>
          <w:lang w:bidi="es-ES"/>
        </w:rPr>
        <w:t xml:space="preserve"> de la persona que efectúa la solicitud</w:t>
      </w:r>
      <w:r w:rsidR="0064735D">
        <w:rPr>
          <w:rStyle w:val="Ttulo2Car"/>
          <w:b w:val="0"/>
          <w:color w:val="auto"/>
          <w:sz w:val="22"/>
          <w:szCs w:val="22"/>
          <w:lang w:bidi="es-ES"/>
        </w:rPr>
        <w:t xml:space="preserve"> – no requiere la acreditación de la identidad -</w:t>
      </w:r>
      <w:r w:rsidR="0054642F">
        <w:rPr>
          <w:rStyle w:val="Ttulo2Car"/>
          <w:b w:val="0"/>
          <w:color w:val="auto"/>
          <w:sz w:val="22"/>
          <w:szCs w:val="22"/>
          <w:lang w:bidi="es-ES"/>
        </w:rPr>
        <w:t xml:space="preserve"> y un correo electrónico.</w:t>
      </w:r>
      <w:r>
        <w:rPr>
          <w:rStyle w:val="Ttulo2Car"/>
          <w:b w:val="0"/>
          <w:color w:val="auto"/>
          <w:sz w:val="22"/>
          <w:szCs w:val="22"/>
          <w:lang w:bidi="es-ES"/>
        </w:rPr>
        <w:t xml:space="preserve"> </w:t>
      </w:r>
      <w:r w:rsidR="000B2A81">
        <w:rPr>
          <w:rStyle w:val="Ttulo2Car"/>
          <w:b w:val="0"/>
          <w:color w:val="auto"/>
          <w:sz w:val="22"/>
          <w:szCs w:val="22"/>
          <w:lang w:bidi="es-ES"/>
        </w:rPr>
        <w:t xml:space="preserve"> </w:t>
      </w:r>
      <w:r>
        <w:rPr>
          <w:rStyle w:val="Ttulo2Car"/>
          <w:b w:val="0"/>
          <w:color w:val="auto"/>
          <w:sz w:val="22"/>
          <w:szCs w:val="22"/>
          <w:lang w:bidi="es-ES"/>
        </w:rPr>
        <w:t xml:space="preserve"> </w:t>
      </w:r>
    </w:p>
    <w:p w:rsidR="00B40246" w:rsidRPr="00E34195" w:rsidRDefault="0078780C" w:rsidP="000C6CFF">
      <w:pPr>
        <w:pStyle w:val="Titulardelboletn"/>
        <w:spacing w:before="120" w:after="120" w:line="312" w:lineRule="auto"/>
        <w:ind w:left="720" w:hanging="360"/>
        <w:rPr>
          <w:rFonts w:ascii="Century Gothic" w:hAnsi="Century Gothic"/>
          <w:color w:val="00642D"/>
        </w:rPr>
      </w:pPr>
      <w:sdt>
        <w:sdtPr>
          <w:rPr>
            <w:rFonts w:ascii="Century Gothic" w:hAnsi="Century Gothic"/>
            <w:color w:val="00642D"/>
            <w:sz w:val="30"/>
            <w:szCs w:val="30"/>
          </w:rPr>
          <w:id w:val="228783093"/>
          <w:placeholder>
            <w:docPart w:val="7380086C8FAE48A7BA69FB659C705034"/>
          </w:placeholder>
        </w:sdtPr>
        <w:sdtEndPr>
          <w:rPr>
            <w:sz w:val="32"/>
            <w:szCs w:val="24"/>
          </w:rPr>
        </w:sdtEndPr>
        <w:sdtContent>
          <w:r w:rsidR="000C6CFF" w:rsidRPr="00E34195">
            <w:rPr>
              <w:rFonts w:ascii="Century Gothic" w:hAnsi="Century Gothic"/>
              <w:color w:val="00642D"/>
              <w:sz w:val="30"/>
              <w:szCs w:val="30"/>
            </w:rPr>
            <w:t>I</w:t>
          </w:r>
          <w:r w:rsidR="00176A94">
            <w:rPr>
              <w:rFonts w:ascii="Century Gothic" w:hAnsi="Century Gothic"/>
              <w:color w:val="00642D"/>
              <w:sz w:val="30"/>
              <w:szCs w:val="30"/>
            </w:rPr>
            <w:t>V</w:t>
          </w:r>
          <w:r w:rsidR="000C6CFF" w:rsidRPr="00E34195">
            <w:rPr>
              <w:rFonts w:ascii="Century Gothic" w:hAnsi="Century Gothic"/>
              <w:color w:val="00642D"/>
              <w:sz w:val="30"/>
              <w:szCs w:val="30"/>
            </w:rPr>
            <w:t xml:space="preserve">. </w:t>
          </w:r>
          <w:r w:rsidR="00176A94">
            <w:rPr>
              <w:rFonts w:ascii="Century Gothic" w:hAnsi="Century Gothic"/>
              <w:color w:val="00642D"/>
              <w:sz w:val="30"/>
              <w:szCs w:val="30"/>
            </w:rPr>
            <w:t xml:space="preserve">Gestión de las solicitudes de acceso </w:t>
          </w:r>
        </w:sdtContent>
      </w:sdt>
    </w:p>
    <w:p w:rsidR="00046805" w:rsidRDefault="00E3088D" w:rsidP="00046805">
      <w:pPr>
        <w:pStyle w:val="Cuerpodelboletn"/>
        <w:spacing w:before="120" w:after="120" w:line="312" w:lineRule="auto"/>
        <w:ind w:left="360"/>
        <w:rPr>
          <w:color w:val="00642D"/>
          <w:lang w:bidi="es-ES"/>
        </w:rPr>
      </w:pPr>
      <w:r w:rsidRPr="00C33A23">
        <w:rPr>
          <w:color w:val="00642D"/>
          <w:lang w:bidi="es-ES"/>
        </w:rPr>
        <w:t xml:space="preserve"> </w:t>
      </w:r>
    </w:p>
    <w:p w:rsidR="00F34803" w:rsidRDefault="00F34803" w:rsidP="00046805">
      <w:pPr>
        <w:pStyle w:val="Cuerpodelboletn"/>
        <w:spacing w:before="120" w:after="120" w:line="312" w:lineRule="auto"/>
        <w:ind w:left="360"/>
        <w:rPr>
          <w:color w:val="auto"/>
          <w:lang w:bidi="es-ES"/>
        </w:rPr>
      </w:pPr>
      <w:r w:rsidRPr="001276B2">
        <w:rPr>
          <w:rStyle w:val="Ttulo2Car"/>
          <w:sz w:val="22"/>
          <w:szCs w:val="22"/>
        </w:rPr>
        <w:t>Inicio del procedimiento</w:t>
      </w:r>
      <w:r>
        <w:rPr>
          <w:color w:val="auto"/>
          <w:lang w:bidi="es-ES"/>
        </w:rPr>
        <w:t xml:space="preserve">. </w:t>
      </w:r>
    </w:p>
    <w:p w:rsidR="001E1C29" w:rsidRDefault="00F34803" w:rsidP="00A915A2">
      <w:pPr>
        <w:pStyle w:val="Cuerpodelboletn"/>
        <w:spacing w:before="120" w:after="120" w:line="276" w:lineRule="auto"/>
        <w:ind w:left="426"/>
        <w:rPr>
          <w:rStyle w:val="Ttulo2Car"/>
          <w:sz w:val="22"/>
          <w:szCs w:val="22"/>
        </w:rPr>
      </w:pPr>
      <w:r w:rsidRPr="005C4D89">
        <w:rPr>
          <w:color w:val="auto"/>
          <w:lang w:bidi="es-ES"/>
        </w:rPr>
        <w:t xml:space="preserve">Con fecha </w:t>
      </w:r>
      <w:r w:rsidR="0064735D">
        <w:rPr>
          <w:color w:val="auto"/>
          <w:lang w:bidi="es-ES"/>
        </w:rPr>
        <w:t>06</w:t>
      </w:r>
      <w:r w:rsidR="000B2A81">
        <w:rPr>
          <w:color w:val="auto"/>
          <w:lang w:bidi="es-ES"/>
        </w:rPr>
        <w:t>/0</w:t>
      </w:r>
      <w:r w:rsidR="0064735D">
        <w:rPr>
          <w:color w:val="auto"/>
          <w:lang w:bidi="es-ES"/>
        </w:rPr>
        <w:t>6</w:t>
      </w:r>
      <w:r w:rsidR="000B2A81">
        <w:rPr>
          <w:color w:val="auto"/>
          <w:lang w:bidi="es-ES"/>
        </w:rPr>
        <w:t>/</w:t>
      </w:r>
      <w:r>
        <w:rPr>
          <w:color w:val="auto"/>
          <w:lang w:bidi="es-ES"/>
        </w:rPr>
        <w:t>202</w:t>
      </w:r>
      <w:r w:rsidR="0064735D">
        <w:rPr>
          <w:color w:val="auto"/>
          <w:lang w:bidi="es-ES"/>
        </w:rPr>
        <w:t>2</w:t>
      </w:r>
      <w:r>
        <w:rPr>
          <w:color w:val="auto"/>
          <w:lang w:bidi="es-ES"/>
        </w:rPr>
        <w:t xml:space="preserve"> se presentó </w:t>
      </w:r>
      <w:r w:rsidR="00904E47">
        <w:rPr>
          <w:color w:val="auto"/>
          <w:lang w:bidi="es-ES"/>
        </w:rPr>
        <w:t xml:space="preserve">a través </w:t>
      </w:r>
      <w:r w:rsidR="00CA2C29">
        <w:rPr>
          <w:color w:val="auto"/>
          <w:lang w:bidi="es-ES"/>
        </w:rPr>
        <w:t>a través del buzón de correo electrónico</w:t>
      </w:r>
      <w:r w:rsidR="0064735D">
        <w:rPr>
          <w:color w:val="auto"/>
          <w:lang w:bidi="es-ES"/>
        </w:rPr>
        <w:t xml:space="preserve"> habilitado al efecto</w:t>
      </w:r>
      <w:r w:rsidR="008D3F6B">
        <w:rPr>
          <w:color w:val="auto"/>
          <w:lang w:bidi="es-ES"/>
        </w:rPr>
        <w:t>,</w:t>
      </w:r>
      <w:r w:rsidR="0064735D">
        <w:rPr>
          <w:color w:val="auto"/>
          <w:lang w:bidi="es-ES"/>
        </w:rPr>
        <w:t xml:space="preserve"> una solicitud de información pública</w:t>
      </w:r>
      <w:r>
        <w:rPr>
          <w:color w:val="auto"/>
          <w:lang w:bidi="es-ES"/>
        </w:rPr>
        <w:t xml:space="preserve">. </w:t>
      </w:r>
      <w:r w:rsidR="00CA2C29">
        <w:rPr>
          <w:color w:val="auto"/>
          <w:lang w:bidi="es-ES"/>
        </w:rPr>
        <w:t>Con fecha 20 de junio se remite un correo con el acuse de recibo de la solicitud y se informa de que dicha solicitud ha sido trasladada a la DG de Ordenación de la Seguridad</w:t>
      </w:r>
      <w:r w:rsidR="00C2458D">
        <w:rPr>
          <w:color w:val="auto"/>
          <w:lang w:bidi="es-ES"/>
        </w:rPr>
        <w:t xml:space="preserve"> Social, solicitándose</w:t>
      </w:r>
      <w:r w:rsidR="00671A99">
        <w:rPr>
          <w:color w:val="auto"/>
          <w:lang w:bidi="es-ES"/>
        </w:rPr>
        <w:t>,</w:t>
      </w:r>
      <w:r w:rsidR="00C2458D">
        <w:rPr>
          <w:color w:val="auto"/>
          <w:lang w:bidi="es-ES"/>
        </w:rPr>
        <w:t xml:space="preserve"> igualmente</w:t>
      </w:r>
      <w:r w:rsidR="00671A99">
        <w:rPr>
          <w:color w:val="auto"/>
          <w:lang w:bidi="es-ES"/>
        </w:rPr>
        <w:t>,</w:t>
      </w:r>
      <w:r w:rsidR="00C2458D">
        <w:rPr>
          <w:color w:val="auto"/>
          <w:lang w:bidi="es-ES"/>
        </w:rPr>
        <w:t xml:space="preserve"> el domicilio postal del solicitante a instancia</w:t>
      </w:r>
      <w:r w:rsidR="008D3F6B">
        <w:rPr>
          <w:color w:val="auto"/>
          <w:lang w:bidi="es-ES"/>
        </w:rPr>
        <w:t>s</w:t>
      </w:r>
      <w:r w:rsidR="00C2458D">
        <w:rPr>
          <w:color w:val="auto"/>
          <w:lang w:bidi="es-ES"/>
        </w:rPr>
        <w:t xml:space="preserve"> de la citada Dirección General</w:t>
      </w:r>
      <w:r w:rsidR="008D3F6B">
        <w:rPr>
          <w:color w:val="auto"/>
          <w:lang w:bidi="es-ES"/>
        </w:rPr>
        <w:t>, como requisito para la admisión a trámite de la solicitud</w:t>
      </w:r>
      <w:r w:rsidR="00C2458D">
        <w:rPr>
          <w:color w:val="auto"/>
          <w:lang w:bidi="es-ES"/>
        </w:rPr>
        <w:t xml:space="preserve">. </w:t>
      </w:r>
    </w:p>
    <w:p w:rsidR="00F34803" w:rsidRDefault="00F34803" w:rsidP="00A915A2">
      <w:pPr>
        <w:pStyle w:val="Cuerpodelboletn"/>
        <w:spacing w:before="120" w:after="120" w:line="276" w:lineRule="auto"/>
        <w:ind w:left="426"/>
        <w:rPr>
          <w:color w:val="auto"/>
          <w:lang w:bidi="es-ES"/>
        </w:rPr>
      </w:pPr>
      <w:r>
        <w:rPr>
          <w:rStyle w:val="Ttulo2Car"/>
          <w:sz w:val="22"/>
          <w:szCs w:val="22"/>
        </w:rPr>
        <w:t>Tramitación</w:t>
      </w:r>
    </w:p>
    <w:p w:rsidR="00AC2468" w:rsidRDefault="0064735D" w:rsidP="00A915A2">
      <w:pPr>
        <w:pStyle w:val="Cuerpodelboletn"/>
        <w:spacing w:before="120" w:after="120" w:line="276" w:lineRule="auto"/>
        <w:ind w:left="426"/>
        <w:rPr>
          <w:color w:val="auto"/>
          <w:lang w:bidi="es-ES"/>
        </w:rPr>
      </w:pPr>
      <w:r>
        <w:rPr>
          <w:color w:val="auto"/>
          <w:lang w:bidi="es-ES"/>
        </w:rPr>
        <w:t>No se comunica el inicio de la tramitación</w:t>
      </w:r>
      <w:r w:rsidR="00F34803">
        <w:rPr>
          <w:color w:val="auto"/>
          <w:lang w:bidi="es-ES"/>
        </w:rPr>
        <w:t>.</w:t>
      </w:r>
      <w:r w:rsidR="008D3F6B">
        <w:rPr>
          <w:color w:val="auto"/>
          <w:lang w:bidi="es-ES"/>
        </w:rPr>
        <w:t xml:space="preserve"> </w:t>
      </w:r>
    </w:p>
    <w:p w:rsidR="00F34803" w:rsidRDefault="00F34803" w:rsidP="00A915A2">
      <w:pPr>
        <w:pStyle w:val="Cuerpodelboletn"/>
        <w:spacing w:before="120" w:after="120" w:line="276" w:lineRule="auto"/>
        <w:ind w:left="426"/>
        <w:rPr>
          <w:color w:val="auto"/>
          <w:lang w:bidi="es-ES"/>
        </w:rPr>
      </w:pPr>
      <w:r>
        <w:rPr>
          <w:rStyle w:val="Ttulo2Car"/>
          <w:sz w:val="22"/>
          <w:szCs w:val="22"/>
        </w:rPr>
        <w:t>Resolución</w:t>
      </w:r>
    </w:p>
    <w:p w:rsidR="00904E47" w:rsidRDefault="0064735D" w:rsidP="00AC715D">
      <w:pPr>
        <w:pStyle w:val="Cuerpodelboletn"/>
        <w:numPr>
          <w:ilvl w:val="0"/>
          <w:numId w:val="6"/>
        </w:numPr>
        <w:spacing w:before="120" w:after="120" w:line="276" w:lineRule="auto"/>
        <w:rPr>
          <w:color w:val="auto"/>
          <w:lang w:bidi="es-ES"/>
        </w:rPr>
      </w:pPr>
      <w:r>
        <w:rPr>
          <w:color w:val="auto"/>
          <w:lang w:bidi="es-ES"/>
        </w:rPr>
        <w:t xml:space="preserve">Con fecha </w:t>
      </w:r>
      <w:r w:rsidR="00671A99">
        <w:rPr>
          <w:color w:val="auto"/>
          <w:lang w:bidi="es-ES"/>
        </w:rPr>
        <w:t>02</w:t>
      </w:r>
      <w:r>
        <w:rPr>
          <w:color w:val="auto"/>
          <w:lang w:bidi="es-ES"/>
        </w:rPr>
        <w:t>/0</w:t>
      </w:r>
      <w:r w:rsidR="00671A99">
        <w:rPr>
          <w:color w:val="auto"/>
          <w:lang w:bidi="es-ES"/>
        </w:rPr>
        <w:t>8</w:t>
      </w:r>
      <w:r>
        <w:rPr>
          <w:color w:val="auto"/>
          <w:lang w:bidi="es-ES"/>
        </w:rPr>
        <w:t xml:space="preserve">/2022 se remite un correo electrónico </w:t>
      </w:r>
      <w:r w:rsidR="00671A99">
        <w:rPr>
          <w:color w:val="auto"/>
          <w:lang w:bidi="es-ES"/>
        </w:rPr>
        <w:t>mediante</w:t>
      </w:r>
      <w:r>
        <w:rPr>
          <w:color w:val="auto"/>
          <w:lang w:bidi="es-ES"/>
        </w:rPr>
        <w:t xml:space="preserve"> el que </w:t>
      </w:r>
      <w:r w:rsidR="00671A99">
        <w:rPr>
          <w:color w:val="auto"/>
          <w:lang w:bidi="es-ES"/>
        </w:rPr>
        <w:t xml:space="preserve">se </w:t>
      </w:r>
      <w:r w:rsidR="00BA49C1">
        <w:rPr>
          <w:color w:val="auto"/>
          <w:lang w:bidi="es-ES"/>
        </w:rPr>
        <w:t>envía</w:t>
      </w:r>
      <w:r w:rsidR="00671A99">
        <w:rPr>
          <w:color w:val="auto"/>
          <w:lang w:bidi="es-ES"/>
        </w:rPr>
        <w:t xml:space="preserve"> la resolución dictada y se indica que dicha resolución fue </w:t>
      </w:r>
      <w:r w:rsidR="008D3F6B">
        <w:rPr>
          <w:color w:val="auto"/>
          <w:lang w:bidi="es-ES"/>
        </w:rPr>
        <w:t>notificada</w:t>
      </w:r>
      <w:r w:rsidR="00671A99">
        <w:rPr>
          <w:color w:val="auto"/>
          <w:lang w:bidi="es-ES"/>
        </w:rPr>
        <w:t xml:space="preserve"> por correo postal – en la solicitud se indicaba que las notificaciones se efectuasen por correo electrónico – el 27/06/2022 y que había sido devuelta, acompañando los documentos que acreditan la devolución</w:t>
      </w:r>
      <w:r w:rsidR="005A2A22">
        <w:rPr>
          <w:color w:val="auto"/>
          <w:lang w:bidi="es-ES"/>
        </w:rPr>
        <w:t>.</w:t>
      </w:r>
      <w:r w:rsidR="00531D64">
        <w:rPr>
          <w:color w:val="auto"/>
          <w:lang w:bidi="es-ES"/>
        </w:rPr>
        <w:t xml:space="preserve"> </w:t>
      </w:r>
    </w:p>
    <w:p w:rsidR="004A133A" w:rsidRDefault="00671A99" w:rsidP="0054642F">
      <w:pPr>
        <w:pStyle w:val="Cuerpodelboletn"/>
        <w:numPr>
          <w:ilvl w:val="0"/>
          <w:numId w:val="6"/>
        </w:numPr>
        <w:spacing w:before="120" w:after="120" w:line="276" w:lineRule="auto"/>
        <w:rPr>
          <w:color w:val="auto"/>
          <w:lang w:bidi="es-ES"/>
        </w:rPr>
      </w:pPr>
      <w:r>
        <w:rPr>
          <w:color w:val="auto"/>
          <w:lang w:bidi="es-ES"/>
        </w:rPr>
        <w:t xml:space="preserve">La resolución, fechada el </w:t>
      </w:r>
      <w:r w:rsidR="00BA49C1">
        <w:rPr>
          <w:color w:val="auto"/>
          <w:lang w:bidi="es-ES"/>
        </w:rPr>
        <w:t>2</w:t>
      </w:r>
      <w:r>
        <w:rPr>
          <w:color w:val="auto"/>
          <w:lang w:bidi="es-ES"/>
        </w:rPr>
        <w:t>3/06/2022</w:t>
      </w:r>
      <w:r w:rsidR="00666ED2">
        <w:rPr>
          <w:color w:val="auto"/>
          <w:lang w:bidi="es-ES"/>
        </w:rPr>
        <w:t>,</w:t>
      </w:r>
      <w:r>
        <w:rPr>
          <w:color w:val="auto"/>
          <w:lang w:bidi="es-ES"/>
        </w:rPr>
        <w:t xml:space="preserve"> está firmada por el Director Gerente de FREMAP</w:t>
      </w:r>
      <w:r w:rsidR="00666ED2">
        <w:rPr>
          <w:color w:val="auto"/>
          <w:lang w:bidi="es-ES"/>
        </w:rPr>
        <w:t>,</w:t>
      </w:r>
      <w:r>
        <w:rPr>
          <w:color w:val="auto"/>
          <w:lang w:bidi="es-ES"/>
        </w:rPr>
        <w:t xml:space="preserve"> </w:t>
      </w:r>
      <w:r w:rsidR="00666ED2" w:rsidRPr="00962BDE">
        <w:rPr>
          <w:lang w:bidi="es-ES"/>
        </w:rPr>
        <w:t>está completa, es clara y está estructurada. Se informa de los posibles recursos que el solicitante puede interponer en caso de disconformidad con la información recibida</w:t>
      </w:r>
    </w:p>
    <w:p w:rsidR="00A27A38" w:rsidRPr="00A27A38" w:rsidRDefault="00671A99" w:rsidP="00666ED2">
      <w:pPr>
        <w:pStyle w:val="Prrafodelista"/>
        <w:numPr>
          <w:ilvl w:val="0"/>
          <w:numId w:val="6"/>
        </w:numPr>
        <w:jc w:val="both"/>
        <w:rPr>
          <w:szCs w:val="24"/>
          <w:lang w:bidi="es-ES"/>
        </w:rPr>
      </w:pPr>
      <w:r>
        <w:rPr>
          <w:szCs w:val="24"/>
          <w:lang w:bidi="es-ES"/>
        </w:rPr>
        <w:t>En la resolución, que concede el acceso a la información, se indica que ésta se proporciona mediante un cuadro resumen</w:t>
      </w:r>
      <w:r w:rsidR="00666ED2">
        <w:rPr>
          <w:szCs w:val="24"/>
          <w:lang w:bidi="es-ES"/>
        </w:rPr>
        <w:t>,</w:t>
      </w:r>
      <w:r>
        <w:rPr>
          <w:szCs w:val="24"/>
          <w:lang w:bidi="es-ES"/>
        </w:rPr>
        <w:t xml:space="preserve"> que </w:t>
      </w:r>
      <w:r w:rsidR="00BA49C1">
        <w:rPr>
          <w:szCs w:val="24"/>
          <w:lang w:bidi="es-ES"/>
        </w:rPr>
        <w:t xml:space="preserve">no se incluye entre la documentación remitida en el </w:t>
      </w:r>
      <w:r>
        <w:rPr>
          <w:szCs w:val="24"/>
          <w:lang w:bidi="es-ES"/>
        </w:rPr>
        <w:t xml:space="preserve"> </w:t>
      </w:r>
      <w:r w:rsidR="00BA49C1">
        <w:rPr>
          <w:szCs w:val="24"/>
          <w:lang w:bidi="es-ES"/>
        </w:rPr>
        <w:t>citado correo electrónico</w:t>
      </w:r>
      <w:r w:rsidR="00A27A38" w:rsidRPr="00A27A38">
        <w:rPr>
          <w:szCs w:val="24"/>
          <w:lang w:bidi="es-ES"/>
        </w:rPr>
        <w:t>.</w:t>
      </w:r>
    </w:p>
    <w:p w:rsidR="001E1C29" w:rsidRDefault="001E1C29" w:rsidP="001E1C29">
      <w:pPr>
        <w:pStyle w:val="Cuerpodelboletn"/>
        <w:spacing w:before="120" w:after="120" w:line="312" w:lineRule="auto"/>
        <w:ind w:left="1146"/>
        <w:rPr>
          <w:color w:val="auto"/>
          <w:lang w:bidi="es-ES"/>
        </w:rPr>
      </w:pPr>
    </w:p>
    <w:p w:rsidR="00BA49C1" w:rsidRDefault="00BA49C1" w:rsidP="001E1C29">
      <w:pPr>
        <w:pStyle w:val="Cuerpodelboletn"/>
        <w:spacing w:before="120" w:after="120" w:line="312" w:lineRule="auto"/>
        <w:ind w:left="1146"/>
        <w:rPr>
          <w:color w:val="auto"/>
          <w:lang w:bidi="es-ES"/>
        </w:rPr>
      </w:pPr>
    </w:p>
    <w:p w:rsidR="00BA49C1" w:rsidRDefault="00BA49C1" w:rsidP="001E1C29">
      <w:pPr>
        <w:pStyle w:val="Cuerpodelboletn"/>
        <w:spacing w:before="120" w:after="120" w:line="312" w:lineRule="auto"/>
        <w:ind w:left="1146"/>
        <w:rPr>
          <w:color w:val="auto"/>
          <w:lang w:bidi="es-ES"/>
        </w:rPr>
      </w:pPr>
    </w:p>
    <w:sdt>
      <w:sdtPr>
        <w:rPr>
          <w:rFonts w:eastAsiaTheme="majorEastAsia" w:cstheme="majorBidi"/>
          <w:b/>
          <w:bCs/>
          <w:color w:val="00642D"/>
          <w:sz w:val="30"/>
          <w:szCs w:val="30"/>
        </w:rPr>
        <w:id w:val="219174856"/>
        <w:placeholder>
          <w:docPart w:val="0D1B12810E674B789E9273833A80B3B3"/>
        </w:placeholder>
      </w:sdtPr>
      <w:sdtEndPr>
        <w:rPr>
          <w:sz w:val="22"/>
          <w:szCs w:val="24"/>
        </w:rPr>
      </w:sdtEndPr>
      <w:sdtContent>
        <w:p w:rsidR="00256215" w:rsidRPr="00256215" w:rsidRDefault="00256215" w:rsidP="00CF15A6">
          <w:pPr>
            <w:pStyle w:val="Cuerpodelboletn"/>
            <w:spacing w:before="120" w:after="120" w:line="312" w:lineRule="auto"/>
            <w:rPr>
              <w:b/>
              <w:color w:val="00642D"/>
              <w:sz w:val="32"/>
            </w:rPr>
          </w:pPr>
          <w:r w:rsidRPr="00256215">
            <w:rPr>
              <w:b/>
              <w:color w:val="00642D"/>
              <w:sz w:val="30"/>
              <w:szCs w:val="30"/>
            </w:rPr>
            <w:t xml:space="preserve">V. </w:t>
          </w:r>
          <w:r>
            <w:rPr>
              <w:b/>
              <w:color w:val="00642D"/>
              <w:sz w:val="30"/>
              <w:szCs w:val="30"/>
            </w:rPr>
            <w:t>Reclamaciones ante el Consejo de Transparencia</w:t>
          </w:r>
          <w:r w:rsidR="00EE5BDF">
            <w:rPr>
              <w:b/>
              <w:color w:val="00642D"/>
              <w:sz w:val="30"/>
              <w:szCs w:val="30"/>
            </w:rPr>
            <w:t xml:space="preserve"> y Buen Gobierno</w:t>
          </w:r>
          <w:r w:rsidRPr="00256215">
            <w:rPr>
              <w:b/>
              <w:color w:val="00642D"/>
              <w:sz w:val="30"/>
              <w:szCs w:val="30"/>
            </w:rPr>
            <w:t xml:space="preserve"> </w:t>
          </w:r>
          <w:r w:rsidR="005A2A22">
            <w:rPr>
              <w:b/>
              <w:color w:val="00642D"/>
              <w:sz w:val="30"/>
              <w:szCs w:val="30"/>
            </w:rPr>
            <w:t>en el periodo 2015-2021</w:t>
          </w:r>
        </w:p>
      </w:sdtContent>
    </w:sdt>
    <w:p w:rsidR="00256215" w:rsidRDefault="00256215" w:rsidP="00256215">
      <w:pPr>
        <w:pStyle w:val="Cuerpodelboletn"/>
      </w:pPr>
    </w:p>
    <w:p w:rsidR="004A133A" w:rsidRDefault="00F34803" w:rsidP="008F5F99">
      <w:pPr>
        <w:pStyle w:val="Cuerpodelboletn"/>
        <w:spacing w:before="120" w:after="120" w:line="276" w:lineRule="auto"/>
        <w:ind w:left="425"/>
        <w:rPr>
          <w:color w:val="auto"/>
        </w:rPr>
      </w:pPr>
      <w:r>
        <w:rPr>
          <w:color w:val="auto"/>
        </w:rPr>
        <w:t>El CTBG</w:t>
      </w:r>
      <w:r w:rsidR="008F5F99">
        <w:rPr>
          <w:color w:val="auto"/>
        </w:rPr>
        <w:t xml:space="preserve"> </w:t>
      </w:r>
      <w:r>
        <w:rPr>
          <w:color w:val="auto"/>
        </w:rPr>
        <w:t>ha recibido</w:t>
      </w:r>
      <w:r w:rsidR="004A133A">
        <w:rPr>
          <w:color w:val="auto"/>
        </w:rPr>
        <w:t xml:space="preserve"> </w:t>
      </w:r>
      <w:r w:rsidR="00BA49C1">
        <w:rPr>
          <w:color w:val="auto"/>
        </w:rPr>
        <w:t>una reclamación</w:t>
      </w:r>
      <w:r w:rsidR="00AC715D">
        <w:rPr>
          <w:color w:val="auto"/>
        </w:rPr>
        <w:t xml:space="preserve"> contra</w:t>
      </w:r>
      <w:r>
        <w:rPr>
          <w:color w:val="auto"/>
        </w:rPr>
        <w:t xml:space="preserve"> resoluciones </w:t>
      </w:r>
      <w:r w:rsidR="0054642F">
        <w:rPr>
          <w:color w:val="auto"/>
        </w:rPr>
        <w:t xml:space="preserve">de </w:t>
      </w:r>
      <w:r w:rsidR="00BA49C1">
        <w:rPr>
          <w:color w:val="auto"/>
        </w:rPr>
        <w:t>FREMAP</w:t>
      </w:r>
      <w:r>
        <w:rPr>
          <w:color w:val="auto"/>
        </w:rPr>
        <w:t xml:space="preserve"> en materia de acceso a la información pública. </w:t>
      </w:r>
      <w:r w:rsidR="00BA49C1">
        <w:rPr>
          <w:color w:val="auto"/>
        </w:rPr>
        <w:t>Dicha reclamación fue estimada.</w:t>
      </w:r>
    </w:p>
    <w:p w:rsidR="00BA3664" w:rsidRPr="004A133A" w:rsidRDefault="00BA3664" w:rsidP="008F5F99">
      <w:pPr>
        <w:pStyle w:val="Cuerpodelboletn"/>
        <w:spacing w:before="120" w:after="120" w:line="276" w:lineRule="auto"/>
        <w:ind w:left="425"/>
      </w:pPr>
    </w:p>
    <w:p w:rsidR="001F251B" w:rsidRPr="00256215" w:rsidRDefault="0078780C" w:rsidP="00256215">
      <w:pPr>
        <w:pStyle w:val="Cuerpodelboletn"/>
      </w:pPr>
      <w:sdt>
        <w:sdtPr>
          <w:rPr>
            <w:b/>
            <w:color w:val="00642D"/>
            <w:sz w:val="30"/>
            <w:szCs w:val="30"/>
          </w:rPr>
          <w:id w:val="100155903"/>
          <w:placeholder>
            <w:docPart w:val="8B979E0795F94610A8B6D30CD9660B09"/>
          </w:placeholder>
        </w:sdtPr>
        <w:sdtEndPr>
          <w:rPr>
            <w:sz w:val="22"/>
            <w:szCs w:val="24"/>
          </w:rPr>
        </w:sdtEndPr>
        <w:sdtContent>
          <w:r w:rsidR="001F251B" w:rsidRPr="00256215">
            <w:rPr>
              <w:b/>
              <w:color w:val="00642D"/>
              <w:sz w:val="30"/>
              <w:szCs w:val="30"/>
            </w:rPr>
            <w:t>V</w:t>
          </w:r>
          <w:r w:rsidR="00CF15A6">
            <w:rPr>
              <w:b/>
              <w:color w:val="00642D"/>
              <w:sz w:val="30"/>
              <w:szCs w:val="30"/>
            </w:rPr>
            <w:t>I</w:t>
          </w:r>
          <w:r w:rsidR="001F251B" w:rsidRPr="00256215">
            <w:rPr>
              <w:b/>
              <w:color w:val="00642D"/>
              <w:sz w:val="30"/>
              <w:szCs w:val="30"/>
            </w:rPr>
            <w:t xml:space="preserve">. </w:t>
          </w:r>
          <w:r w:rsidR="001F251B">
            <w:rPr>
              <w:b/>
              <w:color w:val="00642D"/>
              <w:sz w:val="30"/>
              <w:szCs w:val="30"/>
            </w:rPr>
            <w:t>Buenas prácticas</w:t>
          </w:r>
          <w:r w:rsidR="001F251B" w:rsidRPr="00256215">
            <w:rPr>
              <w:b/>
              <w:color w:val="00642D"/>
              <w:sz w:val="30"/>
              <w:szCs w:val="30"/>
            </w:rPr>
            <w:t xml:space="preserve"> </w:t>
          </w:r>
        </w:sdtContent>
      </w:sdt>
    </w:p>
    <w:p w:rsidR="005A2A22" w:rsidRDefault="00BA49C1" w:rsidP="00B06497">
      <w:pPr>
        <w:ind w:left="426"/>
      </w:pPr>
      <w:r>
        <w:t>FREMAP</w:t>
      </w:r>
      <w:r w:rsidR="005A2A22">
        <w:t xml:space="preserve"> presenta un conjunto de buenas prácticas en materia de derecho de acceso que podrían ser aplicadas por otras organizaciones públicas:</w:t>
      </w:r>
    </w:p>
    <w:p w:rsidR="007B1EF0" w:rsidRDefault="005A2A22" w:rsidP="005A2A22">
      <w:pPr>
        <w:pStyle w:val="Prrafodelista"/>
        <w:numPr>
          <w:ilvl w:val="0"/>
          <w:numId w:val="10"/>
        </w:numPr>
      </w:pPr>
      <w:r>
        <w:t>La habilitación de un espacio específico en su Portal de Transparencia para la presentación de solicitudes de acceso a información de la entidad</w:t>
      </w:r>
      <w:r w:rsidR="00B06497">
        <w:t>.</w:t>
      </w:r>
    </w:p>
    <w:p w:rsidR="000C2945" w:rsidRDefault="000C2945" w:rsidP="000C2945">
      <w:pPr>
        <w:pStyle w:val="Prrafodelista"/>
      </w:pPr>
    </w:p>
    <w:p w:rsidR="00256215" w:rsidRDefault="0078780C" w:rsidP="001F251B">
      <w:pPr>
        <w:pStyle w:val="Cuerpodelboletn"/>
        <w:spacing w:before="120" w:after="120" w:line="312" w:lineRule="auto"/>
        <w:ind w:left="142"/>
        <w:rPr>
          <w:b/>
          <w:color w:val="00642D"/>
          <w:sz w:val="32"/>
        </w:rPr>
      </w:pPr>
      <w:sdt>
        <w:sdtPr>
          <w:rPr>
            <w:b/>
            <w:color w:val="00642D"/>
            <w:sz w:val="30"/>
            <w:szCs w:val="30"/>
          </w:rPr>
          <w:id w:val="1967305046"/>
          <w:placeholder>
            <w:docPart w:val="98DB7F0835414356B53154A5A4F8C311"/>
          </w:placeholder>
        </w:sdtPr>
        <w:sdtEndPr>
          <w:rPr>
            <w:sz w:val="22"/>
            <w:szCs w:val="24"/>
          </w:rPr>
        </w:sdtEndPr>
        <w:sdtContent>
          <w:r w:rsidR="00256215" w:rsidRPr="00256215">
            <w:rPr>
              <w:b/>
              <w:color w:val="00642D"/>
              <w:sz w:val="30"/>
              <w:szCs w:val="30"/>
            </w:rPr>
            <w:t xml:space="preserve">V. </w:t>
          </w:r>
          <w:r w:rsidR="00256215">
            <w:rPr>
              <w:b/>
              <w:color w:val="00642D"/>
              <w:sz w:val="30"/>
              <w:szCs w:val="30"/>
            </w:rPr>
            <w:t>Conclusiones y recomendaciones</w:t>
          </w:r>
          <w:r w:rsidR="00256215" w:rsidRPr="00256215">
            <w:rPr>
              <w:b/>
              <w:color w:val="00642D"/>
              <w:sz w:val="30"/>
              <w:szCs w:val="30"/>
            </w:rPr>
            <w:t xml:space="preserve"> </w:t>
          </w:r>
        </w:sdtContent>
      </w:sdt>
    </w:p>
    <w:p w:rsidR="00B40246" w:rsidRDefault="00B40246"/>
    <w:p w:rsidR="00F34803" w:rsidRPr="00B70DBD" w:rsidRDefault="00F34803" w:rsidP="005A0354">
      <w:pPr>
        <w:pStyle w:val="Prrafodelista"/>
        <w:numPr>
          <w:ilvl w:val="0"/>
          <w:numId w:val="9"/>
        </w:numPr>
        <w:ind w:left="709"/>
        <w:rPr>
          <w:rStyle w:val="Ttulo2Car"/>
          <w:color w:val="00642D"/>
          <w:sz w:val="22"/>
          <w:szCs w:val="22"/>
          <w:lang w:bidi="es-ES"/>
        </w:rPr>
      </w:pPr>
      <w:r w:rsidRPr="00B70DBD">
        <w:rPr>
          <w:rStyle w:val="Ttulo2Car"/>
          <w:color w:val="00642D"/>
          <w:sz w:val="22"/>
          <w:szCs w:val="22"/>
          <w:lang w:bidi="es-ES"/>
        </w:rPr>
        <w:t>Respecto de la actividad generada por las solicitudes de acceso a información pública.</w:t>
      </w:r>
    </w:p>
    <w:p w:rsidR="00F34803" w:rsidRDefault="00F34803" w:rsidP="00F34803">
      <w:pPr>
        <w:pStyle w:val="Prrafodelista"/>
        <w:ind w:left="644"/>
        <w:rPr>
          <w:rStyle w:val="Ttulo2Car"/>
          <w:color w:val="00642D"/>
          <w:sz w:val="22"/>
          <w:szCs w:val="22"/>
          <w:lang w:bidi="es-ES"/>
        </w:rPr>
      </w:pPr>
    </w:p>
    <w:p w:rsidR="00CF15A6" w:rsidRDefault="005A2A22" w:rsidP="00CF15A6">
      <w:pPr>
        <w:pStyle w:val="Prrafodelista"/>
        <w:ind w:left="644"/>
        <w:jc w:val="both"/>
        <w:rPr>
          <w:bCs/>
        </w:rPr>
      </w:pPr>
      <w:r>
        <w:rPr>
          <w:bCs/>
        </w:rPr>
        <w:t xml:space="preserve">Según indica </w:t>
      </w:r>
      <w:r w:rsidR="00BA49C1">
        <w:rPr>
          <w:bCs/>
        </w:rPr>
        <w:t>FREMAP</w:t>
      </w:r>
      <w:r>
        <w:rPr>
          <w:bCs/>
        </w:rPr>
        <w:t xml:space="preserve"> se han recibido</w:t>
      </w:r>
      <w:r w:rsidR="00BA49C1">
        <w:rPr>
          <w:bCs/>
        </w:rPr>
        <w:t xml:space="preserve"> dos</w:t>
      </w:r>
      <w:r>
        <w:rPr>
          <w:bCs/>
        </w:rPr>
        <w:t xml:space="preserve"> solicitudes de acceso a información pública de la entidad en 2021.</w:t>
      </w:r>
      <w:r w:rsidR="00BA49C1">
        <w:rPr>
          <w:bCs/>
        </w:rPr>
        <w:t xml:space="preserve"> Ambas solicitudes fueron admitidas y estimadas, concediéndose acceso total a la información solicitada.</w:t>
      </w:r>
      <w:r>
        <w:rPr>
          <w:bCs/>
        </w:rPr>
        <w:t xml:space="preserve"> </w:t>
      </w:r>
      <w:r w:rsidR="00CF15A6">
        <w:rPr>
          <w:bCs/>
        </w:rPr>
        <w:t xml:space="preserve"> </w:t>
      </w:r>
    </w:p>
    <w:p w:rsidR="00D74E79" w:rsidRDefault="00D74E79" w:rsidP="00F34803">
      <w:pPr>
        <w:pStyle w:val="Prrafodelista"/>
        <w:ind w:left="644"/>
        <w:jc w:val="both"/>
        <w:rPr>
          <w:bCs/>
        </w:rPr>
      </w:pPr>
    </w:p>
    <w:p w:rsidR="00F34803" w:rsidRDefault="00D74E79" w:rsidP="00F34803">
      <w:pPr>
        <w:pStyle w:val="Prrafodelista"/>
        <w:ind w:left="644"/>
        <w:jc w:val="both"/>
        <w:rPr>
          <w:bCs/>
        </w:rPr>
      </w:pPr>
      <w:r w:rsidRPr="00D74E79">
        <w:rPr>
          <w:bCs/>
        </w:rPr>
        <w:t>Una cuestión adicional es que no se publican las resoluciones que deniegan el acceso a la información en aplicación de los límites del artículo 14.</w:t>
      </w:r>
    </w:p>
    <w:p w:rsidR="001E1C29" w:rsidRDefault="001E1C29" w:rsidP="00F34803">
      <w:pPr>
        <w:pStyle w:val="Prrafodelista"/>
        <w:ind w:left="644"/>
        <w:jc w:val="both"/>
        <w:rPr>
          <w:bCs/>
        </w:rPr>
      </w:pPr>
    </w:p>
    <w:p w:rsidR="00F34803" w:rsidRDefault="00BA49C1" w:rsidP="00F34803">
      <w:pPr>
        <w:pStyle w:val="Prrafodelista"/>
        <w:pBdr>
          <w:top w:val="single" w:sz="4" w:space="1" w:color="008000"/>
          <w:left w:val="single" w:sz="4" w:space="4" w:color="008000"/>
          <w:bottom w:val="single" w:sz="4" w:space="1" w:color="008000"/>
          <w:right w:val="single" w:sz="4" w:space="4" w:color="008000"/>
        </w:pBdr>
        <w:ind w:left="644"/>
        <w:jc w:val="both"/>
        <w:rPr>
          <w:bCs/>
        </w:rPr>
      </w:pPr>
      <w:r>
        <w:rPr>
          <w:bCs/>
        </w:rPr>
        <w:t>FREMAP</w:t>
      </w:r>
      <w:r w:rsidR="00D74E79">
        <w:rPr>
          <w:bCs/>
        </w:rPr>
        <w:t xml:space="preserve"> debería publicar en su Portal de Transparencia las resoluciones que deniegan el acceso a la información por aplicación de los límites del artículo 14, según lo dispuesto por el artículo 14.3 de la LTAIBG.</w:t>
      </w:r>
    </w:p>
    <w:p w:rsidR="00AC715D" w:rsidRDefault="00AC715D" w:rsidP="00F34803">
      <w:pPr>
        <w:pStyle w:val="Prrafodelista"/>
        <w:pBdr>
          <w:top w:val="single" w:sz="4" w:space="1" w:color="008000"/>
          <w:left w:val="single" w:sz="4" w:space="4" w:color="008000"/>
          <w:bottom w:val="single" w:sz="4" w:space="1" w:color="008000"/>
          <w:right w:val="single" w:sz="4" w:space="4" w:color="008000"/>
        </w:pBdr>
        <w:ind w:left="644"/>
        <w:jc w:val="both"/>
        <w:rPr>
          <w:bCs/>
        </w:rPr>
      </w:pPr>
    </w:p>
    <w:p w:rsidR="00AC715D" w:rsidRPr="008648E8" w:rsidRDefault="00AC715D" w:rsidP="00F34803">
      <w:pPr>
        <w:pStyle w:val="Prrafodelista"/>
        <w:pBdr>
          <w:top w:val="single" w:sz="4" w:space="1" w:color="008000"/>
          <w:left w:val="single" w:sz="4" w:space="4" w:color="008000"/>
          <w:bottom w:val="single" w:sz="4" w:space="1" w:color="008000"/>
          <w:right w:val="single" w:sz="4" w:space="4" w:color="008000"/>
        </w:pBdr>
        <w:ind w:left="644"/>
        <w:jc w:val="both"/>
        <w:rPr>
          <w:bCs/>
        </w:rPr>
      </w:pPr>
      <w:r>
        <w:rPr>
          <w:bCs/>
        </w:rPr>
        <w:t>En el caso de que no hubiese solicitudes denegadas por aplicación de estos Límites debería indicarse expresamente esta circunstancia.</w:t>
      </w:r>
    </w:p>
    <w:p w:rsidR="00F34803" w:rsidRDefault="00F34803" w:rsidP="00F34803">
      <w:pPr>
        <w:pStyle w:val="Prrafodelista"/>
        <w:ind w:left="644"/>
      </w:pPr>
    </w:p>
    <w:p w:rsidR="00F34803" w:rsidRPr="001018C9" w:rsidRDefault="00F34803" w:rsidP="005A0354">
      <w:pPr>
        <w:pStyle w:val="Prrafodelista"/>
        <w:numPr>
          <w:ilvl w:val="0"/>
          <w:numId w:val="9"/>
        </w:numPr>
        <w:ind w:left="709"/>
      </w:pPr>
      <w:r w:rsidRPr="00B70DBD">
        <w:rPr>
          <w:rStyle w:val="Ttulo2Car"/>
          <w:color w:val="00642D"/>
          <w:sz w:val="22"/>
          <w:szCs w:val="22"/>
          <w:lang w:bidi="es-ES"/>
        </w:rPr>
        <w:t>Respecto de la localización de la información y facilidad de acceso al ejercicio del derecho.</w:t>
      </w:r>
    </w:p>
    <w:p w:rsidR="00F34803" w:rsidRDefault="00F34803" w:rsidP="00F34803">
      <w:pPr>
        <w:pStyle w:val="Prrafodelista"/>
        <w:ind w:left="644"/>
      </w:pPr>
    </w:p>
    <w:p w:rsidR="007B1EF0" w:rsidRDefault="00F34803" w:rsidP="00F34803">
      <w:pPr>
        <w:pStyle w:val="Prrafodelista"/>
        <w:ind w:left="644"/>
        <w:jc w:val="both"/>
      </w:pPr>
      <w:r>
        <w:t xml:space="preserve">Como se ha indicado, </w:t>
      </w:r>
      <w:r w:rsidR="00BA49C1">
        <w:t>FREMAP</w:t>
      </w:r>
      <w:r w:rsidR="007B1EF0">
        <w:t xml:space="preserve"> </w:t>
      </w:r>
      <w:r w:rsidR="00D74E79">
        <w:t>dispone de un</w:t>
      </w:r>
      <w:r>
        <w:t xml:space="preserve"> espacio </w:t>
      </w:r>
      <w:r w:rsidR="00D74E79">
        <w:t xml:space="preserve">en su </w:t>
      </w:r>
      <w:r w:rsidR="006A2EEE">
        <w:t>web</w:t>
      </w:r>
      <w:r w:rsidR="00D74E79">
        <w:t xml:space="preserve"> que </w:t>
      </w:r>
      <w:r w:rsidR="007B1EF0">
        <w:t>facilit</w:t>
      </w:r>
      <w:r w:rsidR="005A2A22">
        <w:t>a</w:t>
      </w:r>
      <w:r w:rsidR="007B1EF0">
        <w:t xml:space="preserve"> el ejercicio del derecho de acceso a la inf</w:t>
      </w:r>
      <w:r w:rsidR="005A2A22">
        <w:t xml:space="preserve">ormación </w:t>
      </w:r>
      <w:r w:rsidR="00BA49C1">
        <w:t xml:space="preserve">de la entidad pero no </w:t>
      </w:r>
      <w:r w:rsidR="005A2A22">
        <w:t>informa</w:t>
      </w:r>
      <w:r w:rsidR="005A0354">
        <w:t xml:space="preserve"> </w:t>
      </w:r>
      <w:r>
        <w:t xml:space="preserve">sobre la posibilidad de que los ciudadanos efectúen solicitudes de </w:t>
      </w:r>
      <w:r w:rsidR="005A0354">
        <w:t xml:space="preserve">acceso a </w:t>
      </w:r>
      <w:r>
        <w:t xml:space="preserve">información pública dirigidas a la </w:t>
      </w:r>
      <w:r w:rsidR="005A0354">
        <w:t>entidad</w:t>
      </w:r>
      <w:r>
        <w:t xml:space="preserve">. </w:t>
      </w:r>
      <w:r w:rsidR="00BA49C1">
        <w:t>Tampoco se incluyen instrucciones o ayudas adicionales y no se informa sobre el procedimiento de tramitación de las solicitudes de acceso</w:t>
      </w:r>
      <w:r w:rsidR="00BA49C1" w:rsidRPr="00BA49C1">
        <w:t xml:space="preserve"> ni sobre los requisitos necesarios</w:t>
      </w:r>
      <w:r w:rsidR="00BA49C1">
        <w:t xml:space="preserve"> para presentarlas</w:t>
      </w:r>
      <w:r w:rsidR="00BA49C1" w:rsidRPr="00BA49C1">
        <w:t>.</w:t>
      </w:r>
    </w:p>
    <w:p w:rsidR="008C2A93" w:rsidRDefault="008C2A93" w:rsidP="008C2A93">
      <w:pPr>
        <w:pStyle w:val="Prrafodelista"/>
        <w:pBdr>
          <w:top w:val="single" w:sz="4" w:space="1" w:color="008000"/>
          <w:left w:val="single" w:sz="4" w:space="4" w:color="008000"/>
          <w:bottom w:val="single" w:sz="4" w:space="1" w:color="008000"/>
          <w:right w:val="single" w:sz="4" w:space="4" w:color="008000"/>
        </w:pBdr>
        <w:ind w:left="709"/>
        <w:jc w:val="both"/>
      </w:pPr>
      <w:r w:rsidRPr="00C627FB">
        <w:lastRenderedPageBreak/>
        <w:t xml:space="preserve">Este Consejo recomienda que, para facilitar el acceso de la ciudadanía al ejercicio del derecho de acceso a la información pública, que se proporcione información sobre el derecho que asiste a los ciudadanos a solicitar información pública y se informe sobre los requisitos necesarios para la presentación de una solicitud de acceso a la información pública </w:t>
      </w:r>
      <w:r>
        <w:t>de FREMAP</w:t>
      </w:r>
      <w:r w:rsidRPr="00C627FB">
        <w:t xml:space="preserve">. </w:t>
      </w:r>
    </w:p>
    <w:p w:rsidR="008C2A93" w:rsidRDefault="008C2A93" w:rsidP="00F34803">
      <w:pPr>
        <w:pStyle w:val="Prrafodelista"/>
        <w:ind w:left="644"/>
        <w:jc w:val="both"/>
      </w:pPr>
    </w:p>
    <w:p w:rsidR="00A915A2" w:rsidRDefault="008C2A93" w:rsidP="00F34803">
      <w:pPr>
        <w:pStyle w:val="Prrafodelista"/>
        <w:ind w:left="644"/>
        <w:jc w:val="both"/>
      </w:pPr>
      <w:r>
        <w:t>FREMAP</w:t>
      </w:r>
      <w:r w:rsidR="005A2A22">
        <w:t xml:space="preserve"> ha habilitado un único medio de presentación de las solicitudes de acceso a la información</w:t>
      </w:r>
      <w:r w:rsidR="007B1EF0">
        <w:t xml:space="preserve">. </w:t>
      </w:r>
    </w:p>
    <w:p w:rsidR="00C627FB" w:rsidRDefault="00C627FB" w:rsidP="00F34803">
      <w:pPr>
        <w:pStyle w:val="Prrafodelista"/>
        <w:ind w:left="644"/>
        <w:jc w:val="both"/>
      </w:pPr>
    </w:p>
    <w:p w:rsidR="00C627FB" w:rsidRDefault="008C2A93" w:rsidP="00C627FB">
      <w:pPr>
        <w:pStyle w:val="Prrafodelista"/>
        <w:pBdr>
          <w:top w:val="single" w:sz="4" w:space="1" w:color="00B050"/>
          <w:left w:val="single" w:sz="4" w:space="4" w:color="00B050"/>
          <w:bottom w:val="single" w:sz="4" w:space="1" w:color="00B050"/>
          <w:right w:val="single" w:sz="4" w:space="4" w:color="00B050"/>
        </w:pBdr>
        <w:ind w:left="644"/>
        <w:jc w:val="both"/>
      </w:pPr>
      <w:r>
        <w:t>Podría</w:t>
      </w:r>
      <w:r w:rsidR="00C627FB">
        <w:t xml:space="preserve"> </w:t>
      </w:r>
      <w:r>
        <w:t>valorarse</w:t>
      </w:r>
      <w:r w:rsidR="00C627FB">
        <w:t xml:space="preserve"> la posibilidad de </w:t>
      </w:r>
      <w:r>
        <w:t xml:space="preserve">ampliar los medios habilitados para la </w:t>
      </w:r>
      <w:r w:rsidR="00C627FB">
        <w:t>presentación de solicitudes de acceso a</w:t>
      </w:r>
      <w:r>
        <w:t xml:space="preserve"> la</w:t>
      </w:r>
      <w:r w:rsidR="00C627FB">
        <w:t xml:space="preserve"> información</w:t>
      </w:r>
      <w:r>
        <w:t>, sobre todo pensando en aquellos ciudadanos que pueden tener dificultades en el uso de medios electrónicos</w:t>
      </w:r>
      <w:r w:rsidR="00A27A38">
        <w:t>.</w:t>
      </w:r>
    </w:p>
    <w:p w:rsidR="007B1EF0" w:rsidRDefault="007B1EF0" w:rsidP="00F34803">
      <w:pPr>
        <w:pStyle w:val="Prrafodelista"/>
        <w:ind w:left="644"/>
        <w:jc w:val="both"/>
      </w:pPr>
    </w:p>
    <w:p w:rsidR="00F34803" w:rsidRPr="00B70DBD" w:rsidRDefault="00F34803" w:rsidP="005A0354">
      <w:pPr>
        <w:pStyle w:val="Prrafodelista"/>
        <w:numPr>
          <w:ilvl w:val="0"/>
          <w:numId w:val="8"/>
        </w:numPr>
        <w:ind w:left="709"/>
        <w:jc w:val="both"/>
        <w:rPr>
          <w:rStyle w:val="Ttulo2Car"/>
          <w:color w:val="00642D"/>
          <w:sz w:val="22"/>
          <w:szCs w:val="22"/>
          <w:lang w:bidi="es-ES"/>
        </w:rPr>
      </w:pPr>
      <w:r w:rsidRPr="00B70DBD">
        <w:rPr>
          <w:rStyle w:val="Ttulo2Car"/>
          <w:color w:val="00642D"/>
          <w:sz w:val="22"/>
          <w:szCs w:val="22"/>
          <w:lang w:bidi="es-ES"/>
        </w:rPr>
        <w:t>Respecto de la gestión de las solicitudes de acceso</w:t>
      </w:r>
    </w:p>
    <w:p w:rsidR="00F34803" w:rsidRDefault="00F34803" w:rsidP="00F34803">
      <w:pPr>
        <w:pStyle w:val="Prrafodelista"/>
        <w:ind w:left="644"/>
        <w:jc w:val="both"/>
      </w:pPr>
    </w:p>
    <w:p w:rsidR="008C2A93" w:rsidRDefault="00A27A38" w:rsidP="00197662">
      <w:pPr>
        <w:tabs>
          <w:tab w:val="left" w:pos="426"/>
        </w:tabs>
        <w:ind w:left="426"/>
        <w:contextualSpacing/>
        <w:jc w:val="both"/>
      </w:pPr>
      <w:r w:rsidRPr="00A27A38">
        <w:t xml:space="preserve">La gestión de la solicitud de acceso presentada se ha ajustado al procedimiento establecido por la LTAIBG. </w:t>
      </w:r>
      <w:r w:rsidR="008C2A93">
        <w:t xml:space="preserve">La resolución dictada está completa, incluye pie de recurso y se dicta en plazo. </w:t>
      </w:r>
    </w:p>
    <w:p w:rsidR="008C2A93" w:rsidRDefault="008C2A93" w:rsidP="00197662">
      <w:pPr>
        <w:tabs>
          <w:tab w:val="left" w:pos="426"/>
        </w:tabs>
        <w:ind w:left="426"/>
        <w:contextualSpacing/>
        <w:jc w:val="both"/>
      </w:pPr>
    </w:p>
    <w:p w:rsidR="00A27A38" w:rsidRDefault="008C2A93" w:rsidP="00197662">
      <w:pPr>
        <w:tabs>
          <w:tab w:val="left" w:pos="426"/>
        </w:tabs>
        <w:ind w:left="426"/>
        <w:contextualSpacing/>
        <w:jc w:val="both"/>
      </w:pPr>
      <w:r>
        <w:t xml:space="preserve">Una cuestión aparte es el diseño del procedimiento de gestión de las solicitudes. El buzón de correo habilitado – </w:t>
      </w:r>
      <w:hyperlink r:id="rId12" w:history="1">
        <w:r w:rsidRPr="00C5526B">
          <w:rPr>
            <w:rStyle w:val="Hipervnculo"/>
          </w:rPr>
          <w:t>transparencia@fremap.es</w:t>
        </w:r>
      </w:hyperlink>
      <w:r>
        <w:t xml:space="preserve"> – recibe las solicitudes de acceso, que posteriormente son reenviadas a la DG de Ordenación de la Seguridad Social </w:t>
      </w:r>
      <w:r w:rsidR="0078754D">
        <w:t xml:space="preserve">a través de la UIT de Seguridad Social </w:t>
      </w:r>
      <w:r>
        <w:t>– en el caso de la presentada por este Consejo, esto implica una demora de 14 días -, tomándose como fecha para el cómputo del plazo para la resolución el de la fecha de entrada en la DG de Ordenación de la Seguridad Social</w:t>
      </w:r>
      <w:r w:rsidR="00666ED2">
        <w:t xml:space="preserve">, lo que implica una ampliación </w:t>
      </w:r>
      <w:r w:rsidR="00666ED2" w:rsidRPr="008B0A0E">
        <w:rPr>
          <w:i/>
        </w:rPr>
        <w:t>de facto</w:t>
      </w:r>
      <w:r w:rsidR="00AA3245">
        <w:t xml:space="preserve"> del plazo para resolver.</w:t>
      </w:r>
      <w:r w:rsidR="00666ED2">
        <w:t xml:space="preserve"> </w:t>
      </w:r>
      <w:r w:rsidR="00AA3245">
        <w:t>F</w:t>
      </w:r>
      <w:r w:rsidR="00666ED2">
        <w:t>inalmente</w:t>
      </w:r>
      <w:r w:rsidR="00AA3245">
        <w:t>,</w:t>
      </w:r>
      <w:r w:rsidR="00666ED2">
        <w:t xml:space="preserve"> la resolución se dicta por la Dirección Gerencia de FREMAP, no por la DG de Ordenación de la Seguridad Social y se notifica a través de la UIT de Seguridad Social. </w:t>
      </w:r>
      <w:r>
        <w:t xml:space="preserve">   </w:t>
      </w:r>
      <w:r w:rsidR="00A27A38" w:rsidRPr="00A27A38">
        <w:t xml:space="preserve">      </w:t>
      </w:r>
    </w:p>
    <w:p w:rsidR="00902979" w:rsidRDefault="00902979" w:rsidP="00197662">
      <w:pPr>
        <w:tabs>
          <w:tab w:val="left" w:pos="426"/>
        </w:tabs>
        <w:ind w:left="426"/>
        <w:contextualSpacing/>
        <w:jc w:val="both"/>
      </w:pPr>
    </w:p>
    <w:p w:rsidR="00FE36D5" w:rsidRDefault="00FE36D5" w:rsidP="00FE36D5">
      <w:pPr>
        <w:pStyle w:val="Prrafodelista"/>
        <w:pBdr>
          <w:top w:val="single" w:sz="4" w:space="1" w:color="008000"/>
          <w:left w:val="single" w:sz="4" w:space="4" w:color="008000"/>
          <w:bottom w:val="single" w:sz="4" w:space="1" w:color="008000"/>
          <w:right w:val="single" w:sz="4" w:space="4" w:color="008000"/>
        </w:pBdr>
        <w:ind w:left="426"/>
        <w:jc w:val="both"/>
      </w:pPr>
      <w:r>
        <w:t xml:space="preserve">Este Consejo recuerda que el artículo 21.3 b) de la Ley 39/2015, de 1 de octubre, dispone expresamente que el plazo se </w:t>
      </w:r>
      <w:proofErr w:type="gramStart"/>
      <w:r>
        <w:t>contará</w:t>
      </w:r>
      <w:proofErr w:type="gramEnd"/>
      <w:r>
        <w:t xml:space="preserve"> en los procedimientos “iniciados a solicitud del interesado, desde la fecha en que la solicitud haya tenido entrada en el registro electrónico de la Administración u Organismo competente para su tramitación”. </w:t>
      </w:r>
    </w:p>
    <w:p w:rsidR="00FE36D5" w:rsidRDefault="00FE36D5" w:rsidP="00FE36D5">
      <w:pPr>
        <w:pStyle w:val="Prrafodelista"/>
        <w:pBdr>
          <w:top w:val="single" w:sz="4" w:space="1" w:color="008000"/>
          <w:left w:val="single" w:sz="4" w:space="4" w:color="008000"/>
          <w:bottom w:val="single" w:sz="4" w:space="1" w:color="008000"/>
          <w:right w:val="single" w:sz="4" w:space="4" w:color="008000"/>
        </w:pBdr>
        <w:ind w:left="426"/>
        <w:jc w:val="both"/>
      </w:pPr>
    </w:p>
    <w:p w:rsidR="008B0A0E" w:rsidRDefault="00FE36D5" w:rsidP="00FE36D5">
      <w:pPr>
        <w:pStyle w:val="Prrafodelista"/>
        <w:pBdr>
          <w:top w:val="single" w:sz="4" w:space="1" w:color="008000"/>
          <w:left w:val="single" w:sz="4" w:space="4" w:color="008000"/>
          <w:bottom w:val="single" w:sz="4" w:space="1" w:color="008000"/>
          <w:right w:val="single" w:sz="4" w:space="4" w:color="008000"/>
        </w:pBdr>
        <w:ind w:left="426"/>
        <w:jc w:val="both"/>
      </w:pPr>
      <w:r>
        <w:t xml:space="preserve">En este sentido es importante reseñar que la “Guía básica de tramitación de las solicitudes de derecho de acceso a la información pública” de la Dirección General de Gobernanza Pública en su página quince interpreta el  artículo 20.1 de la LTAIBG en el sentido de que el  cómputo de plazos para notificar la resolución se inicia una vez que la UIT haya realizado el correspondiente análisis formal de las solicitudes de acceso a la información pública y dado traslado del expediente al centro directivo u organismo dependiente que sea competente para resolver, lo que no resulta coherente con lo establecido en el artículo 21.3 b) de la Ley 39/2015. </w:t>
      </w:r>
    </w:p>
    <w:p w:rsidR="008B0A0E" w:rsidRDefault="008B0A0E" w:rsidP="00FE36D5">
      <w:pPr>
        <w:pStyle w:val="Prrafodelista"/>
        <w:pBdr>
          <w:top w:val="single" w:sz="4" w:space="1" w:color="008000"/>
          <w:left w:val="single" w:sz="4" w:space="4" w:color="008000"/>
          <w:bottom w:val="single" w:sz="4" w:space="1" w:color="008000"/>
          <w:right w:val="single" w:sz="4" w:space="4" w:color="008000"/>
        </w:pBdr>
        <w:ind w:left="426"/>
        <w:jc w:val="both"/>
      </w:pPr>
    </w:p>
    <w:p w:rsidR="00FE36D5" w:rsidRDefault="00FE36D5" w:rsidP="00FE36D5">
      <w:pPr>
        <w:pStyle w:val="Prrafodelista"/>
        <w:pBdr>
          <w:top w:val="single" w:sz="4" w:space="1" w:color="008000"/>
          <w:left w:val="single" w:sz="4" w:space="4" w:color="008000"/>
          <w:bottom w:val="single" w:sz="4" w:space="1" w:color="008000"/>
          <w:right w:val="single" w:sz="4" w:space="4" w:color="008000"/>
        </w:pBdr>
        <w:ind w:left="426"/>
        <w:jc w:val="both"/>
      </w:pPr>
      <w:r>
        <w:lastRenderedPageBreak/>
        <w:t>En el caso de FREMAP</w:t>
      </w:r>
      <w:r w:rsidR="008B0A0E">
        <w:t xml:space="preserve">, </w:t>
      </w:r>
      <w:r w:rsidR="0078754D">
        <w:t xml:space="preserve">y probablemente en el de las restantes MATEPSS, </w:t>
      </w:r>
      <w:r w:rsidR="008B0A0E">
        <w:t xml:space="preserve">el plazo de resolución se inicia cuando la solicitud tiene entrada en la DG de Ordenación de la Seguridad Social aunque finalmente quien resuelve es la Mutua. A la vista de esta circunstancia, </w:t>
      </w:r>
      <w:r w:rsidR="00AA3245">
        <w:t xml:space="preserve">y aun conociendo que el rediseño del procedimiento de gestión de las solicitudes excede las competencia de la Mutua, debería abordarse un rediseño del mismo por parte de la UIT de Seguridad Social, ya que a la vista del circuito establecido, parece más lógico que </w:t>
      </w:r>
      <w:r w:rsidR="008B0A0E">
        <w:t xml:space="preserve">las solicitudes se dirijan en primera instancia a la DG de Ordenación de la Seguridad Social </w:t>
      </w:r>
      <w:r w:rsidR="00AA3245">
        <w:t xml:space="preserve">a través de la UIT de Seguridad Social </w:t>
      </w:r>
      <w:r w:rsidR="008B0A0E">
        <w:t xml:space="preserve">y que ésta las redirija al órgano competente para resolver, que es la Mutua. </w:t>
      </w:r>
    </w:p>
    <w:p w:rsidR="00902979" w:rsidRDefault="00902979" w:rsidP="00902979">
      <w:pPr>
        <w:pStyle w:val="Prrafodelista"/>
        <w:tabs>
          <w:tab w:val="left" w:pos="426"/>
        </w:tabs>
        <w:ind w:left="426"/>
        <w:jc w:val="both"/>
      </w:pPr>
    </w:p>
    <w:p w:rsidR="008B0A0E" w:rsidRDefault="008B0A0E" w:rsidP="00197662">
      <w:pPr>
        <w:tabs>
          <w:tab w:val="left" w:pos="426"/>
        </w:tabs>
        <w:ind w:left="426"/>
        <w:contextualSpacing/>
        <w:jc w:val="both"/>
      </w:pPr>
      <w:r>
        <w:t>Por otra parte, la resolución se notifica mediante correo postal</w:t>
      </w:r>
      <w:r w:rsidR="00565A76">
        <w:t xml:space="preserve"> remitido por la UIT de Seguridad Social,</w:t>
      </w:r>
      <w:r>
        <w:t xml:space="preserve"> aunque en la solicitud se indicaba expresamente </w:t>
      </w:r>
      <w:r w:rsidR="00AA3245">
        <w:t>un correo electrónico a efectos de notificaciones.</w:t>
      </w:r>
    </w:p>
    <w:p w:rsidR="00AA3245" w:rsidRDefault="00AA3245" w:rsidP="00197662">
      <w:pPr>
        <w:tabs>
          <w:tab w:val="left" w:pos="426"/>
        </w:tabs>
        <w:ind w:left="426"/>
        <w:contextualSpacing/>
        <w:jc w:val="both"/>
      </w:pPr>
    </w:p>
    <w:p w:rsidR="00AA3245" w:rsidRDefault="00AA3245" w:rsidP="00AA3245">
      <w:pPr>
        <w:pBdr>
          <w:top w:val="single" w:sz="4" w:space="1" w:color="00B050"/>
          <w:left w:val="single" w:sz="4" w:space="4" w:color="00B050"/>
          <w:bottom w:val="single" w:sz="4" w:space="1" w:color="00B050"/>
          <w:right w:val="single" w:sz="4" w:space="4" w:color="00B050"/>
        </w:pBdr>
        <w:tabs>
          <w:tab w:val="left" w:pos="426"/>
        </w:tabs>
        <w:ind w:left="426"/>
        <w:contextualSpacing/>
        <w:jc w:val="both"/>
      </w:pPr>
      <w:r>
        <w:t xml:space="preserve">La Ley 39/2015, fija los medios a través de los cuales los ciudadanos pueden relacionarse con las administraciones y el derecho de éstos a relacionarse por el medio que consideren oportuno y a modificar en el transcurso del procedimiento el medio elegido. Por lo tanto, debería respetarse la opción manifestada por los ciudadanos a efectos de notificaciones. </w:t>
      </w:r>
    </w:p>
    <w:p w:rsidR="00AA3245" w:rsidRDefault="00AA3245" w:rsidP="00AA3245">
      <w:pPr>
        <w:tabs>
          <w:tab w:val="left" w:pos="426"/>
        </w:tabs>
        <w:ind w:left="426"/>
        <w:contextualSpacing/>
        <w:jc w:val="both"/>
      </w:pPr>
    </w:p>
    <w:p w:rsidR="008B0A0E" w:rsidRDefault="008B0A0E" w:rsidP="00197662">
      <w:pPr>
        <w:tabs>
          <w:tab w:val="left" w:pos="426"/>
        </w:tabs>
        <w:ind w:left="426"/>
        <w:contextualSpacing/>
        <w:jc w:val="both"/>
      </w:pPr>
    </w:p>
    <w:p w:rsidR="00197662" w:rsidRPr="00D84B7B" w:rsidRDefault="00771F7D" w:rsidP="00197662">
      <w:pPr>
        <w:tabs>
          <w:tab w:val="left" w:pos="426"/>
        </w:tabs>
        <w:ind w:left="426"/>
        <w:contextualSpacing/>
        <w:jc w:val="both"/>
      </w:pPr>
      <w:r>
        <w:t xml:space="preserve">Finalmente, como se ha indicado, aunque se concede acceso total </w:t>
      </w:r>
      <w:r w:rsidR="00197662" w:rsidRPr="00D84B7B">
        <w:t xml:space="preserve"> </w:t>
      </w:r>
      <w:r>
        <w:t xml:space="preserve">a la información, ésta no se aporta en el momento de la notificación de la resolución. </w:t>
      </w:r>
    </w:p>
    <w:p w:rsidR="00B40246" w:rsidRDefault="00B40246" w:rsidP="00902979">
      <w:pPr>
        <w:jc w:val="both"/>
      </w:pPr>
    </w:p>
    <w:p w:rsidR="00771F7D" w:rsidRDefault="00771F7D" w:rsidP="00902979">
      <w:pPr>
        <w:jc w:val="both"/>
      </w:pPr>
    </w:p>
    <w:p w:rsidR="00771F7D" w:rsidRDefault="00771F7D" w:rsidP="00902979">
      <w:pPr>
        <w:jc w:val="both"/>
      </w:pPr>
    </w:p>
    <w:p w:rsidR="00771F7D" w:rsidRDefault="00771F7D" w:rsidP="00902979">
      <w:pPr>
        <w:jc w:val="both"/>
      </w:pPr>
    </w:p>
    <w:sectPr w:rsidR="00771F7D" w:rsidSect="00DF63E7">
      <w:headerReference w:type="default" r:id="rId13"/>
      <w:footerReference w:type="default" r:id="rId14"/>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F6B" w:rsidRDefault="008D3F6B" w:rsidP="00932008">
      <w:pPr>
        <w:spacing w:after="0" w:line="240" w:lineRule="auto"/>
      </w:pPr>
      <w:r>
        <w:separator/>
      </w:r>
    </w:p>
  </w:endnote>
  <w:endnote w:type="continuationSeparator" w:id="0">
    <w:p w:rsidR="008D3F6B" w:rsidRDefault="008D3F6B"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5407109"/>
      <w:docPartObj>
        <w:docPartGallery w:val="Page Numbers (Bottom of Page)"/>
        <w:docPartUnique/>
      </w:docPartObj>
    </w:sdtPr>
    <w:sdtEndPr>
      <w:rPr>
        <w:sz w:val="18"/>
        <w:szCs w:val="18"/>
      </w:rPr>
    </w:sdtEndPr>
    <w:sdtContent>
      <w:p w:rsidR="008D3F6B" w:rsidRPr="00C533E7" w:rsidRDefault="008D3F6B">
        <w:pPr>
          <w:pStyle w:val="Piedepgina"/>
          <w:jc w:val="right"/>
          <w:rPr>
            <w:sz w:val="18"/>
            <w:szCs w:val="18"/>
          </w:rPr>
        </w:pPr>
        <w:r w:rsidRPr="00C533E7">
          <w:rPr>
            <w:sz w:val="18"/>
            <w:szCs w:val="18"/>
          </w:rPr>
          <w:fldChar w:fldCharType="begin"/>
        </w:r>
        <w:r w:rsidRPr="00C533E7">
          <w:rPr>
            <w:sz w:val="18"/>
            <w:szCs w:val="18"/>
          </w:rPr>
          <w:instrText>PAGE   \* MERGEFORMAT</w:instrText>
        </w:r>
        <w:r w:rsidRPr="00C533E7">
          <w:rPr>
            <w:sz w:val="18"/>
            <w:szCs w:val="18"/>
          </w:rPr>
          <w:fldChar w:fldCharType="separate"/>
        </w:r>
        <w:r w:rsidR="0078780C">
          <w:rPr>
            <w:noProof/>
            <w:sz w:val="18"/>
            <w:szCs w:val="18"/>
          </w:rPr>
          <w:t>2</w:t>
        </w:r>
        <w:r w:rsidRPr="00C533E7">
          <w:rPr>
            <w:sz w:val="18"/>
            <w:szCs w:val="18"/>
          </w:rPr>
          <w:fldChar w:fldCharType="end"/>
        </w:r>
      </w:p>
    </w:sdtContent>
  </w:sdt>
  <w:p w:rsidR="008D3F6B" w:rsidRDefault="008D3F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F6B" w:rsidRDefault="008D3F6B" w:rsidP="00932008">
      <w:pPr>
        <w:spacing w:after="0" w:line="240" w:lineRule="auto"/>
      </w:pPr>
      <w:r>
        <w:separator/>
      </w:r>
    </w:p>
  </w:footnote>
  <w:footnote w:type="continuationSeparator" w:id="0">
    <w:p w:rsidR="008D3F6B" w:rsidRDefault="008D3F6B" w:rsidP="009320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F6B" w:rsidRDefault="008D3F6B">
    <w:pPr>
      <w:pStyle w:val="Encabezado"/>
    </w:pPr>
  </w:p>
  <w:p w:rsidR="008D3F6B" w:rsidRDefault="008D3F6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9pt;height:9pt" o:bullet="t">
        <v:imagedata r:id="rId1" o:title="BD14533_"/>
      </v:shape>
    </w:pict>
  </w:numPicBullet>
  <w:numPicBullet w:numPicBulletId="1">
    <w:pict>
      <v:shape id="_x0000_i1041" type="#_x0000_t75" style="width:11.25pt;height:11.25pt" o:bullet="t">
        <v:imagedata r:id="rId2" o:title="BD14654_"/>
      </v:shape>
    </w:pict>
  </w:numPicBullet>
  <w:abstractNum w:abstractNumId="0">
    <w:nsid w:val="00212285"/>
    <w:multiLevelType w:val="hybridMultilevel"/>
    <w:tmpl w:val="0810C892"/>
    <w:lvl w:ilvl="0" w:tplc="B7C2270E">
      <w:start w:val="1"/>
      <w:numFmt w:val="bullet"/>
      <w:lvlText w:val=""/>
      <w:lvlPicBulletId w:val="0"/>
      <w:lvlJc w:val="left"/>
      <w:pPr>
        <w:ind w:left="1146" w:hanging="360"/>
      </w:pPr>
      <w:rPr>
        <w:rFonts w:ascii="Symbol" w:hAnsi="Symbol" w:hint="default"/>
        <w:color w:val="auto"/>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nsid w:val="194933A0"/>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04127FA"/>
    <w:multiLevelType w:val="hybridMultilevel"/>
    <w:tmpl w:val="07C0C4A0"/>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95D1437"/>
    <w:multiLevelType w:val="hybridMultilevel"/>
    <w:tmpl w:val="41C0F3B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3667C53"/>
    <w:multiLevelType w:val="hybridMultilevel"/>
    <w:tmpl w:val="DA1E6A24"/>
    <w:lvl w:ilvl="0" w:tplc="B7C2270E">
      <w:start w:val="1"/>
      <w:numFmt w:val="bullet"/>
      <w:lvlText w:val=""/>
      <w:lvlPicBulletId w:val="0"/>
      <w:lvlJc w:val="left"/>
      <w:pPr>
        <w:ind w:left="1146" w:hanging="360"/>
      </w:pPr>
      <w:rPr>
        <w:rFonts w:ascii="Symbol" w:hAnsi="Symbol" w:hint="default"/>
        <w:color w:val="auto"/>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nsid w:val="4AD35649"/>
    <w:multiLevelType w:val="hybridMultilevel"/>
    <w:tmpl w:val="04081C08"/>
    <w:lvl w:ilvl="0" w:tplc="FA7C346E">
      <w:start w:val="1"/>
      <w:numFmt w:val="bullet"/>
      <w:lvlText w:val=""/>
      <w:lvlPicBulletId w:val="1"/>
      <w:lvlJc w:val="left"/>
      <w:pPr>
        <w:ind w:left="1146" w:hanging="360"/>
      </w:pPr>
      <w:rPr>
        <w:rFonts w:ascii="Symbol" w:hAnsi="Symbol" w:hint="default"/>
        <w:color w:val="auto"/>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nsid w:val="52640E4D"/>
    <w:multiLevelType w:val="hybridMultilevel"/>
    <w:tmpl w:val="BD6EB5AA"/>
    <w:lvl w:ilvl="0" w:tplc="8E12CA6A">
      <w:start w:val="3"/>
      <w:numFmt w:val="decimal"/>
      <w:lvlText w:val="%1."/>
      <w:lvlJc w:val="left"/>
      <w:pPr>
        <w:ind w:left="1364" w:hanging="360"/>
      </w:pPr>
      <w:rPr>
        <w:rFonts w:hint="default"/>
      </w:rPr>
    </w:lvl>
    <w:lvl w:ilvl="1" w:tplc="0C0A0019" w:tentative="1">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7">
    <w:nsid w:val="53CC708F"/>
    <w:multiLevelType w:val="hybridMultilevel"/>
    <w:tmpl w:val="018EFDD2"/>
    <w:lvl w:ilvl="0" w:tplc="117C1058">
      <w:start w:val="1"/>
      <w:numFmt w:val="decimal"/>
      <w:lvlText w:val="%1."/>
      <w:lvlJc w:val="left"/>
      <w:pPr>
        <w:ind w:left="1495" w:hanging="360"/>
      </w:pPr>
      <w:rPr>
        <w:rFonts w:hint="default"/>
        <w:b/>
        <w:color w:val="008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E8F5ED8"/>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F557964"/>
    <w:multiLevelType w:val="hybridMultilevel"/>
    <w:tmpl w:val="46CA4154"/>
    <w:lvl w:ilvl="0" w:tplc="340E6440">
      <w:start w:val="5"/>
      <w:numFmt w:val="upperRoman"/>
      <w:lvlText w:val="%1."/>
      <w:lvlJc w:val="right"/>
      <w:pPr>
        <w:ind w:left="720" w:hanging="360"/>
      </w:pPr>
      <w:rPr>
        <w:rFonts w:ascii="Century Gothic" w:hAnsi="Century Gothic" w:hint="default"/>
        <w:b/>
        <w:i w:val="0"/>
        <w:color w:val="00642D"/>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8"/>
  </w:num>
  <w:num w:numId="3">
    <w:abstractNumId w:val="1"/>
  </w:num>
  <w:num w:numId="4">
    <w:abstractNumId w:val="3"/>
  </w:num>
  <w:num w:numId="5">
    <w:abstractNumId w:val="2"/>
  </w:num>
  <w:num w:numId="6">
    <w:abstractNumId w:val="4"/>
  </w:num>
  <w:num w:numId="7">
    <w:abstractNumId w:val="0"/>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246"/>
    <w:rsid w:val="00000A44"/>
    <w:rsid w:val="00000DF7"/>
    <w:rsid w:val="000262A3"/>
    <w:rsid w:val="00046805"/>
    <w:rsid w:val="00055B15"/>
    <w:rsid w:val="000965B3"/>
    <w:rsid w:val="000A1C07"/>
    <w:rsid w:val="000B0A0D"/>
    <w:rsid w:val="000B2A81"/>
    <w:rsid w:val="000C2945"/>
    <w:rsid w:val="000C6CFF"/>
    <w:rsid w:val="000D5405"/>
    <w:rsid w:val="00102733"/>
    <w:rsid w:val="001252EE"/>
    <w:rsid w:val="0012783F"/>
    <w:rsid w:val="001561A4"/>
    <w:rsid w:val="00176A94"/>
    <w:rsid w:val="00194000"/>
    <w:rsid w:val="00197662"/>
    <w:rsid w:val="001B3D6A"/>
    <w:rsid w:val="001C238B"/>
    <w:rsid w:val="001E1C29"/>
    <w:rsid w:val="001F251B"/>
    <w:rsid w:val="001F25E4"/>
    <w:rsid w:val="00241D7A"/>
    <w:rsid w:val="00256215"/>
    <w:rsid w:val="0026281C"/>
    <w:rsid w:val="00291AF7"/>
    <w:rsid w:val="002A154B"/>
    <w:rsid w:val="002E0A33"/>
    <w:rsid w:val="003145AD"/>
    <w:rsid w:val="00334115"/>
    <w:rsid w:val="00340559"/>
    <w:rsid w:val="003B5288"/>
    <w:rsid w:val="003F271E"/>
    <w:rsid w:val="003F572A"/>
    <w:rsid w:val="004A123A"/>
    <w:rsid w:val="004A133A"/>
    <w:rsid w:val="004A706B"/>
    <w:rsid w:val="004B4DC3"/>
    <w:rsid w:val="004D6E73"/>
    <w:rsid w:val="004F2655"/>
    <w:rsid w:val="00531D64"/>
    <w:rsid w:val="005446A8"/>
    <w:rsid w:val="0054642F"/>
    <w:rsid w:val="00561402"/>
    <w:rsid w:val="00565A76"/>
    <w:rsid w:val="0057532F"/>
    <w:rsid w:val="00595AAF"/>
    <w:rsid w:val="005A0354"/>
    <w:rsid w:val="005A2A22"/>
    <w:rsid w:val="005B1F0E"/>
    <w:rsid w:val="005B3C15"/>
    <w:rsid w:val="005E37C8"/>
    <w:rsid w:val="00626819"/>
    <w:rsid w:val="0064735D"/>
    <w:rsid w:val="00654162"/>
    <w:rsid w:val="00666ED2"/>
    <w:rsid w:val="00671A99"/>
    <w:rsid w:val="006A2766"/>
    <w:rsid w:val="006A2E9A"/>
    <w:rsid w:val="006A2EEE"/>
    <w:rsid w:val="00706E04"/>
    <w:rsid w:val="00707CFE"/>
    <w:rsid w:val="00710031"/>
    <w:rsid w:val="00727BA2"/>
    <w:rsid w:val="00743756"/>
    <w:rsid w:val="00756117"/>
    <w:rsid w:val="00771F7D"/>
    <w:rsid w:val="0078754D"/>
    <w:rsid w:val="0078780C"/>
    <w:rsid w:val="007B0F99"/>
    <w:rsid w:val="007B1EF0"/>
    <w:rsid w:val="007C57AB"/>
    <w:rsid w:val="007D6B40"/>
    <w:rsid w:val="00815659"/>
    <w:rsid w:val="008207D9"/>
    <w:rsid w:val="00833900"/>
    <w:rsid w:val="00844FA9"/>
    <w:rsid w:val="008911B1"/>
    <w:rsid w:val="008B0A0E"/>
    <w:rsid w:val="008C1E1E"/>
    <w:rsid w:val="008C2A93"/>
    <w:rsid w:val="008D3F6B"/>
    <w:rsid w:val="008F5F99"/>
    <w:rsid w:val="00902979"/>
    <w:rsid w:val="00904E47"/>
    <w:rsid w:val="0091341F"/>
    <w:rsid w:val="00923092"/>
    <w:rsid w:val="009239D9"/>
    <w:rsid w:val="00930638"/>
    <w:rsid w:val="00932008"/>
    <w:rsid w:val="009609E9"/>
    <w:rsid w:val="00983919"/>
    <w:rsid w:val="009B321F"/>
    <w:rsid w:val="009E7A2F"/>
    <w:rsid w:val="00A27A38"/>
    <w:rsid w:val="00A41DD5"/>
    <w:rsid w:val="00A544D3"/>
    <w:rsid w:val="00A8003E"/>
    <w:rsid w:val="00A915A2"/>
    <w:rsid w:val="00AA3245"/>
    <w:rsid w:val="00AC2468"/>
    <w:rsid w:val="00AC715D"/>
    <w:rsid w:val="00AD1DBF"/>
    <w:rsid w:val="00AE1CBE"/>
    <w:rsid w:val="00AE788F"/>
    <w:rsid w:val="00B06497"/>
    <w:rsid w:val="00B378E2"/>
    <w:rsid w:val="00B40246"/>
    <w:rsid w:val="00B5583D"/>
    <w:rsid w:val="00B812AB"/>
    <w:rsid w:val="00B841AE"/>
    <w:rsid w:val="00B84669"/>
    <w:rsid w:val="00BA266E"/>
    <w:rsid w:val="00BA3664"/>
    <w:rsid w:val="00BA49C1"/>
    <w:rsid w:val="00BB6799"/>
    <w:rsid w:val="00BD4582"/>
    <w:rsid w:val="00BE6A46"/>
    <w:rsid w:val="00BF5EDE"/>
    <w:rsid w:val="00C2458D"/>
    <w:rsid w:val="00C25AF5"/>
    <w:rsid w:val="00C33A23"/>
    <w:rsid w:val="00C34BB5"/>
    <w:rsid w:val="00C4479B"/>
    <w:rsid w:val="00C533E7"/>
    <w:rsid w:val="00C5744D"/>
    <w:rsid w:val="00C627FB"/>
    <w:rsid w:val="00CA2C29"/>
    <w:rsid w:val="00CB5511"/>
    <w:rsid w:val="00CB7518"/>
    <w:rsid w:val="00CC2049"/>
    <w:rsid w:val="00CC587B"/>
    <w:rsid w:val="00CC610D"/>
    <w:rsid w:val="00CD0605"/>
    <w:rsid w:val="00CF15A6"/>
    <w:rsid w:val="00D41FBA"/>
    <w:rsid w:val="00D445A7"/>
    <w:rsid w:val="00D447A6"/>
    <w:rsid w:val="00D52E43"/>
    <w:rsid w:val="00D74E79"/>
    <w:rsid w:val="00D84B7B"/>
    <w:rsid w:val="00D864B1"/>
    <w:rsid w:val="00D96F84"/>
    <w:rsid w:val="00DB2C87"/>
    <w:rsid w:val="00DC0848"/>
    <w:rsid w:val="00DD3E02"/>
    <w:rsid w:val="00DE0EA7"/>
    <w:rsid w:val="00DE4AA9"/>
    <w:rsid w:val="00DF2ACE"/>
    <w:rsid w:val="00DF4D57"/>
    <w:rsid w:val="00DF63E7"/>
    <w:rsid w:val="00E3088D"/>
    <w:rsid w:val="00E34195"/>
    <w:rsid w:val="00E4702F"/>
    <w:rsid w:val="00E47613"/>
    <w:rsid w:val="00E569FD"/>
    <w:rsid w:val="00EA202A"/>
    <w:rsid w:val="00EE5BDF"/>
    <w:rsid w:val="00F14DA4"/>
    <w:rsid w:val="00F34803"/>
    <w:rsid w:val="00F47C3B"/>
    <w:rsid w:val="00F50AE2"/>
    <w:rsid w:val="00F71D7D"/>
    <w:rsid w:val="00F7263F"/>
    <w:rsid w:val="00F95C49"/>
    <w:rsid w:val="00FD5B21"/>
    <w:rsid w:val="00FE0FC5"/>
    <w:rsid w:val="00FE36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031"/>
    <w:rPr>
      <w:rFonts w:ascii="Century Gothic" w:hAnsi="Century Gothic"/>
    </w:rPr>
  </w:style>
  <w:style w:type="paragraph" w:styleId="Ttulo2">
    <w:name w:val="heading 2"/>
    <w:basedOn w:val="Normal"/>
    <w:next w:val="Normal"/>
    <w:link w:val="Ttulo2Car"/>
    <w:uiPriority w:val="9"/>
    <w:unhideWhenUsed/>
    <w:qFormat/>
    <w:rsid w:val="00B40246"/>
    <w:pPr>
      <w:keepNext/>
      <w:keepLines/>
      <w:spacing w:before="200" w:after="0" w:line="240" w:lineRule="auto"/>
      <w:outlineLvl w:val="1"/>
    </w:pPr>
    <w:rPr>
      <w:rFonts w:eastAsiaTheme="majorEastAsia" w:cstheme="majorBidi"/>
      <w:b/>
      <w:bCs/>
      <w:color w:val="50866C"/>
      <w:sz w:val="26"/>
      <w:szCs w:val="26"/>
    </w:rPr>
  </w:style>
  <w:style w:type="paragraph" w:styleId="Ttulo4">
    <w:name w:val="heading 4"/>
    <w:basedOn w:val="Normal"/>
    <w:next w:val="Normal"/>
    <w:link w:val="Ttulo4Car"/>
    <w:uiPriority w:val="9"/>
    <w:semiHidden/>
    <w:unhideWhenUsed/>
    <w:qFormat/>
    <w:rsid w:val="00B812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B40246"/>
    <w:rPr>
      <w:rFonts w:ascii="Century Gothic" w:eastAsiaTheme="majorEastAsia" w:hAnsi="Century Gothic" w:cstheme="majorBidi"/>
      <w:b/>
      <w:bCs/>
      <w:color w:val="50866C"/>
      <w:sz w:val="26"/>
      <w:szCs w:val="26"/>
    </w:rPr>
  </w:style>
  <w:style w:type="paragraph" w:customStyle="1" w:styleId="Ttulodelboletn">
    <w:name w:val="Título del boletín"/>
    <w:basedOn w:val="Normal"/>
    <w:qFormat/>
    <w:rsid w:val="00B40246"/>
    <w:pPr>
      <w:spacing w:after="0" w:line="240" w:lineRule="auto"/>
    </w:pPr>
    <w:rPr>
      <w:rFonts w:asciiTheme="majorHAnsi" w:hAnsiTheme="majorHAnsi"/>
      <w:b/>
      <w:color w:val="FFFFFF" w:themeColor="background1"/>
      <w:sz w:val="62"/>
      <w:szCs w:val="24"/>
    </w:rPr>
  </w:style>
  <w:style w:type="paragraph" w:customStyle="1" w:styleId="Titulardelboletn">
    <w:name w:val="Titular del boletín"/>
    <w:basedOn w:val="Normal"/>
    <w:qFormat/>
    <w:rsid w:val="000C6CFF"/>
    <w:pPr>
      <w:spacing w:after="0" w:line="240" w:lineRule="auto"/>
    </w:pPr>
    <w:rPr>
      <w:rFonts w:asciiTheme="majorHAnsi" w:hAnsiTheme="majorHAnsi"/>
      <w:b/>
      <w:sz w:val="32"/>
      <w:szCs w:val="24"/>
    </w:rPr>
  </w:style>
  <w:style w:type="paragraph" w:customStyle="1" w:styleId="Cuerpodelboletn">
    <w:name w:val="Cuerpo del boletín"/>
    <w:basedOn w:val="Normal"/>
    <w:qFormat/>
    <w:rsid w:val="00D96F84"/>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Ttulo4Car">
    <w:name w:val="Título 4 Car"/>
    <w:basedOn w:val="Fuentedeprrafopredeter"/>
    <w:link w:val="Ttulo4"/>
    <w:uiPriority w:val="9"/>
    <w:semiHidden/>
    <w:rsid w:val="00B812AB"/>
    <w:rPr>
      <w:rFonts w:asciiTheme="majorHAnsi" w:eastAsiaTheme="majorEastAsia" w:hAnsiTheme="majorHAnsi" w:cstheme="majorBidi"/>
      <w:b/>
      <w:bCs/>
      <w:i/>
      <w:iCs/>
      <w:color w:val="4F81BD" w:themeColor="accent1"/>
    </w:rPr>
  </w:style>
  <w:style w:type="table" w:customStyle="1" w:styleId="Tablaconcuadrcula1">
    <w:name w:val="Tabla con cuadrícula1"/>
    <w:basedOn w:val="Tablanormal"/>
    <w:next w:val="Tablaconcuadrcula"/>
    <w:uiPriority w:val="59"/>
    <w:rsid w:val="00B812AB"/>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34115"/>
    <w:pPr>
      <w:ind w:left="720"/>
      <w:contextualSpacing/>
    </w:pPr>
  </w:style>
  <w:style w:type="paragraph" w:styleId="Textonotapie">
    <w:name w:val="footnote text"/>
    <w:basedOn w:val="Normal"/>
    <w:link w:val="TextonotapieCar"/>
    <w:uiPriority w:val="99"/>
    <w:semiHidden/>
    <w:unhideWhenUsed/>
    <w:rsid w:val="00727BA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27BA2"/>
    <w:rPr>
      <w:rFonts w:ascii="Century Gothic" w:hAnsi="Century Gothic"/>
      <w:sz w:val="20"/>
      <w:szCs w:val="20"/>
    </w:rPr>
  </w:style>
  <w:style w:type="character" w:styleId="Refdenotaalpie">
    <w:name w:val="footnote reference"/>
    <w:basedOn w:val="Fuentedeprrafopredeter"/>
    <w:uiPriority w:val="99"/>
    <w:semiHidden/>
    <w:unhideWhenUsed/>
    <w:rsid w:val="00727BA2"/>
    <w:rPr>
      <w:vertAlign w:val="superscript"/>
    </w:rPr>
  </w:style>
  <w:style w:type="character" w:styleId="Refdecomentario">
    <w:name w:val="annotation reference"/>
    <w:basedOn w:val="Fuentedeprrafopredeter"/>
    <w:uiPriority w:val="99"/>
    <w:semiHidden/>
    <w:unhideWhenUsed/>
    <w:rsid w:val="00626819"/>
    <w:rPr>
      <w:sz w:val="16"/>
      <w:szCs w:val="16"/>
    </w:rPr>
  </w:style>
  <w:style w:type="paragraph" w:styleId="Textocomentario">
    <w:name w:val="annotation text"/>
    <w:basedOn w:val="Normal"/>
    <w:link w:val="TextocomentarioCar"/>
    <w:uiPriority w:val="99"/>
    <w:semiHidden/>
    <w:unhideWhenUsed/>
    <w:rsid w:val="0062681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26819"/>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626819"/>
    <w:rPr>
      <w:b/>
      <w:bCs/>
    </w:rPr>
  </w:style>
  <w:style w:type="character" w:customStyle="1" w:styleId="AsuntodelcomentarioCar">
    <w:name w:val="Asunto del comentario Car"/>
    <w:basedOn w:val="TextocomentarioCar"/>
    <w:link w:val="Asuntodelcomentario"/>
    <w:uiPriority w:val="99"/>
    <w:semiHidden/>
    <w:rsid w:val="00626819"/>
    <w:rPr>
      <w:rFonts w:ascii="Century Gothic" w:hAnsi="Century Gothic"/>
      <w:b/>
      <w:bCs/>
      <w:sz w:val="20"/>
      <w:szCs w:val="20"/>
    </w:rPr>
  </w:style>
  <w:style w:type="paragraph" w:styleId="Epgrafe">
    <w:name w:val="caption"/>
    <w:basedOn w:val="Normal"/>
    <w:next w:val="Normal"/>
    <w:uiPriority w:val="35"/>
    <w:unhideWhenUsed/>
    <w:qFormat/>
    <w:rsid w:val="001E1C29"/>
    <w:pPr>
      <w:spacing w:line="240" w:lineRule="auto"/>
    </w:pPr>
    <w:rPr>
      <w:b/>
      <w:bCs/>
      <w:color w:val="4F81BD" w:themeColor="accent1"/>
      <w:sz w:val="18"/>
      <w:szCs w:val="18"/>
    </w:rPr>
  </w:style>
  <w:style w:type="table" w:customStyle="1" w:styleId="Tablaconcuadrcula2">
    <w:name w:val="Tabla con cuadrícula2"/>
    <w:basedOn w:val="Tablanormal"/>
    <w:next w:val="Tablaconcuadrcula"/>
    <w:uiPriority w:val="59"/>
    <w:rsid w:val="004A13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8C2A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031"/>
    <w:rPr>
      <w:rFonts w:ascii="Century Gothic" w:hAnsi="Century Gothic"/>
    </w:rPr>
  </w:style>
  <w:style w:type="paragraph" w:styleId="Ttulo2">
    <w:name w:val="heading 2"/>
    <w:basedOn w:val="Normal"/>
    <w:next w:val="Normal"/>
    <w:link w:val="Ttulo2Car"/>
    <w:uiPriority w:val="9"/>
    <w:unhideWhenUsed/>
    <w:qFormat/>
    <w:rsid w:val="00B40246"/>
    <w:pPr>
      <w:keepNext/>
      <w:keepLines/>
      <w:spacing w:before="200" w:after="0" w:line="240" w:lineRule="auto"/>
      <w:outlineLvl w:val="1"/>
    </w:pPr>
    <w:rPr>
      <w:rFonts w:eastAsiaTheme="majorEastAsia" w:cstheme="majorBidi"/>
      <w:b/>
      <w:bCs/>
      <w:color w:val="50866C"/>
      <w:sz w:val="26"/>
      <w:szCs w:val="26"/>
    </w:rPr>
  </w:style>
  <w:style w:type="paragraph" w:styleId="Ttulo4">
    <w:name w:val="heading 4"/>
    <w:basedOn w:val="Normal"/>
    <w:next w:val="Normal"/>
    <w:link w:val="Ttulo4Car"/>
    <w:uiPriority w:val="9"/>
    <w:semiHidden/>
    <w:unhideWhenUsed/>
    <w:qFormat/>
    <w:rsid w:val="00B812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B40246"/>
    <w:rPr>
      <w:rFonts w:ascii="Century Gothic" w:eastAsiaTheme="majorEastAsia" w:hAnsi="Century Gothic" w:cstheme="majorBidi"/>
      <w:b/>
      <w:bCs/>
      <w:color w:val="50866C"/>
      <w:sz w:val="26"/>
      <w:szCs w:val="26"/>
    </w:rPr>
  </w:style>
  <w:style w:type="paragraph" w:customStyle="1" w:styleId="Ttulodelboletn">
    <w:name w:val="Título del boletín"/>
    <w:basedOn w:val="Normal"/>
    <w:qFormat/>
    <w:rsid w:val="00B40246"/>
    <w:pPr>
      <w:spacing w:after="0" w:line="240" w:lineRule="auto"/>
    </w:pPr>
    <w:rPr>
      <w:rFonts w:asciiTheme="majorHAnsi" w:hAnsiTheme="majorHAnsi"/>
      <w:b/>
      <w:color w:val="FFFFFF" w:themeColor="background1"/>
      <w:sz w:val="62"/>
      <w:szCs w:val="24"/>
    </w:rPr>
  </w:style>
  <w:style w:type="paragraph" w:customStyle="1" w:styleId="Titulardelboletn">
    <w:name w:val="Titular del boletín"/>
    <w:basedOn w:val="Normal"/>
    <w:qFormat/>
    <w:rsid w:val="000C6CFF"/>
    <w:pPr>
      <w:spacing w:after="0" w:line="240" w:lineRule="auto"/>
    </w:pPr>
    <w:rPr>
      <w:rFonts w:asciiTheme="majorHAnsi" w:hAnsiTheme="majorHAnsi"/>
      <w:b/>
      <w:sz w:val="32"/>
      <w:szCs w:val="24"/>
    </w:rPr>
  </w:style>
  <w:style w:type="paragraph" w:customStyle="1" w:styleId="Cuerpodelboletn">
    <w:name w:val="Cuerpo del boletín"/>
    <w:basedOn w:val="Normal"/>
    <w:qFormat/>
    <w:rsid w:val="00D96F84"/>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Ttulo4Car">
    <w:name w:val="Título 4 Car"/>
    <w:basedOn w:val="Fuentedeprrafopredeter"/>
    <w:link w:val="Ttulo4"/>
    <w:uiPriority w:val="9"/>
    <w:semiHidden/>
    <w:rsid w:val="00B812AB"/>
    <w:rPr>
      <w:rFonts w:asciiTheme="majorHAnsi" w:eastAsiaTheme="majorEastAsia" w:hAnsiTheme="majorHAnsi" w:cstheme="majorBidi"/>
      <w:b/>
      <w:bCs/>
      <w:i/>
      <w:iCs/>
      <w:color w:val="4F81BD" w:themeColor="accent1"/>
    </w:rPr>
  </w:style>
  <w:style w:type="table" w:customStyle="1" w:styleId="Tablaconcuadrcula1">
    <w:name w:val="Tabla con cuadrícula1"/>
    <w:basedOn w:val="Tablanormal"/>
    <w:next w:val="Tablaconcuadrcula"/>
    <w:uiPriority w:val="59"/>
    <w:rsid w:val="00B812AB"/>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34115"/>
    <w:pPr>
      <w:ind w:left="720"/>
      <w:contextualSpacing/>
    </w:pPr>
  </w:style>
  <w:style w:type="paragraph" w:styleId="Textonotapie">
    <w:name w:val="footnote text"/>
    <w:basedOn w:val="Normal"/>
    <w:link w:val="TextonotapieCar"/>
    <w:uiPriority w:val="99"/>
    <w:semiHidden/>
    <w:unhideWhenUsed/>
    <w:rsid w:val="00727BA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27BA2"/>
    <w:rPr>
      <w:rFonts w:ascii="Century Gothic" w:hAnsi="Century Gothic"/>
      <w:sz w:val="20"/>
      <w:szCs w:val="20"/>
    </w:rPr>
  </w:style>
  <w:style w:type="character" w:styleId="Refdenotaalpie">
    <w:name w:val="footnote reference"/>
    <w:basedOn w:val="Fuentedeprrafopredeter"/>
    <w:uiPriority w:val="99"/>
    <w:semiHidden/>
    <w:unhideWhenUsed/>
    <w:rsid w:val="00727BA2"/>
    <w:rPr>
      <w:vertAlign w:val="superscript"/>
    </w:rPr>
  </w:style>
  <w:style w:type="character" w:styleId="Refdecomentario">
    <w:name w:val="annotation reference"/>
    <w:basedOn w:val="Fuentedeprrafopredeter"/>
    <w:uiPriority w:val="99"/>
    <w:semiHidden/>
    <w:unhideWhenUsed/>
    <w:rsid w:val="00626819"/>
    <w:rPr>
      <w:sz w:val="16"/>
      <w:szCs w:val="16"/>
    </w:rPr>
  </w:style>
  <w:style w:type="paragraph" w:styleId="Textocomentario">
    <w:name w:val="annotation text"/>
    <w:basedOn w:val="Normal"/>
    <w:link w:val="TextocomentarioCar"/>
    <w:uiPriority w:val="99"/>
    <w:semiHidden/>
    <w:unhideWhenUsed/>
    <w:rsid w:val="0062681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26819"/>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626819"/>
    <w:rPr>
      <w:b/>
      <w:bCs/>
    </w:rPr>
  </w:style>
  <w:style w:type="character" w:customStyle="1" w:styleId="AsuntodelcomentarioCar">
    <w:name w:val="Asunto del comentario Car"/>
    <w:basedOn w:val="TextocomentarioCar"/>
    <w:link w:val="Asuntodelcomentario"/>
    <w:uiPriority w:val="99"/>
    <w:semiHidden/>
    <w:rsid w:val="00626819"/>
    <w:rPr>
      <w:rFonts w:ascii="Century Gothic" w:hAnsi="Century Gothic"/>
      <w:b/>
      <w:bCs/>
      <w:sz w:val="20"/>
      <w:szCs w:val="20"/>
    </w:rPr>
  </w:style>
  <w:style w:type="paragraph" w:styleId="Epgrafe">
    <w:name w:val="caption"/>
    <w:basedOn w:val="Normal"/>
    <w:next w:val="Normal"/>
    <w:uiPriority w:val="35"/>
    <w:unhideWhenUsed/>
    <w:qFormat/>
    <w:rsid w:val="001E1C29"/>
    <w:pPr>
      <w:spacing w:line="240" w:lineRule="auto"/>
    </w:pPr>
    <w:rPr>
      <w:b/>
      <w:bCs/>
      <w:color w:val="4F81BD" w:themeColor="accent1"/>
      <w:sz w:val="18"/>
      <w:szCs w:val="18"/>
    </w:rPr>
  </w:style>
  <w:style w:type="table" w:customStyle="1" w:styleId="Tablaconcuadrcula2">
    <w:name w:val="Tabla con cuadrícula2"/>
    <w:basedOn w:val="Tablanormal"/>
    <w:next w:val="Tablaconcuadrcula"/>
    <w:uiPriority w:val="59"/>
    <w:rsid w:val="004A13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8C2A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06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transparencia@fremap.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0.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8F4720550BB74C508F8088AA887A2061"/>
        <w:category>
          <w:name w:val="General"/>
          <w:gallery w:val="placeholder"/>
        </w:category>
        <w:types>
          <w:type w:val="bbPlcHdr"/>
        </w:types>
        <w:behaviors>
          <w:behavior w:val="content"/>
        </w:behaviors>
        <w:guid w:val="{D2231A9C-11C2-4FB9-9770-97F98D530D5F}"/>
      </w:docPartPr>
      <w:docPartBody>
        <w:p w:rsidR="00E147F2" w:rsidRDefault="00E147F2" w:rsidP="00E147F2">
          <w:pPr>
            <w:pStyle w:val="8F4720550BB74C508F8088AA887A2061"/>
          </w:pPr>
          <w:r w:rsidRPr="00C12127">
            <w:rPr>
              <w:rStyle w:val="Textodelmarcadordeposicin"/>
              <w:lang w:bidi="es-ES"/>
            </w:rPr>
            <w:t>Haz clic aquí para escribir texto.</w:t>
          </w:r>
        </w:p>
      </w:docPartBody>
    </w:docPart>
    <w:docPart>
      <w:docPartPr>
        <w:name w:val="A62AE5DAEDBD4B3592F8881F087FFB16"/>
        <w:category>
          <w:name w:val="General"/>
          <w:gallery w:val="placeholder"/>
        </w:category>
        <w:types>
          <w:type w:val="bbPlcHdr"/>
        </w:types>
        <w:behaviors>
          <w:behavior w:val="content"/>
        </w:behaviors>
        <w:guid w:val="{6BC7972A-BBEC-48C6-9FF2-DF5329547F5C}"/>
      </w:docPartPr>
      <w:docPartBody>
        <w:p w:rsidR="00E147F2" w:rsidRDefault="00E147F2" w:rsidP="00E147F2">
          <w:pPr>
            <w:pStyle w:val="A62AE5DAEDBD4B3592F8881F087FFB16"/>
          </w:pPr>
          <w:r w:rsidRPr="00C12127">
            <w:rPr>
              <w:rStyle w:val="Textodelmarcadordeposicin"/>
              <w:lang w:bidi="es-ES"/>
            </w:rPr>
            <w:t>Haz clic aquí para escribir texto.</w:t>
          </w:r>
        </w:p>
      </w:docPartBody>
    </w:docPart>
    <w:docPart>
      <w:docPartPr>
        <w:name w:val="D0093F7CCA03424CB7F48332D2DADFBC"/>
        <w:category>
          <w:name w:val="General"/>
          <w:gallery w:val="placeholder"/>
        </w:category>
        <w:types>
          <w:type w:val="bbPlcHdr"/>
        </w:types>
        <w:behaviors>
          <w:behavior w:val="content"/>
        </w:behaviors>
        <w:guid w:val="{B1D3440B-7C4D-48E4-A504-746333F1AA86}"/>
      </w:docPartPr>
      <w:docPartBody>
        <w:p w:rsidR="00E147F2" w:rsidRDefault="00E147F2" w:rsidP="00E147F2">
          <w:pPr>
            <w:pStyle w:val="D0093F7CCA03424CB7F48332D2DADFBC"/>
          </w:pPr>
          <w:r w:rsidRPr="00C12127">
            <w:rPr>
              <w:rStyle w:val="Textodelmarcadordeposicin"/>
              <w:lang w:bidi="es-ES"/>
            </w:rPr>
            <w:t>Haz clic aquí para escribir texto.</w:t>
          </w:r>
        </w:p>
      </w:docPartBody>
    </w:docPart>
    <w:docPart>
      <w:docPartPr>
        <w:name w:val="0D1B12810E674B789E9273833A80B3B3"/>
        <w:category>
          <w:name w:val="General"/>
          <w:gallery w:val="placeholder"/>
        </w:category>
        <w:types>
          <w:type w:val="bbPlcHdr"/>
        </w:types>
        <w:behaviors>
          <w:behavior w:val="content"/>
        </w:behaviors>
        <w:guid w:val="{1A7847B3-43C0-463E-9818-9F75A372C2C5}"/>
      </w:docPartPr>
      <w:docPartBody>
        <w:p w:rsidR="002C7AFA" w:rsidRDefault="002C7AFA" w:rsidP="002C7AFA">
          <w:pPr>
            <w:pStyle w:val="0D1B12810E674B789E9273833A80B3B3"/>
          </w:pPr>
          <w:r w:rsidRPr="00C12127">
            <w:rPr>
              <w:rStyle w:val="Textodelmarcadordeposicin"/>
              <w:lang w:bidi="es-ES"/>
            </w:rPr>
            <w:t>Haz clic aquí para escribir texto.</w:t>
          </w:r>
        </w:p>
      </w:docPartBody>
    </w:docPart>
    <w:docPart>
      <w:docPartPr>
        <w:name w:val="98DB7F0835414356B53154A5A4F8C311"/>
        <w:category>
          <w:name w:val="General"/>
          <w:gallery w:val="placeholder"/>
        </w:category>
        <w:types>
          <w:type w:val="bbPlcHdr"/>
        </w:types>
        <w:behaviors>
          <w:behavior w:val="content"/>
        </w:behaviors>
        <w:guid w:val="{CC2FB1B4-A5DF-4D02-810D-AC979EAF5C47}"/>
      </w:docPartPr>
      <w:docPartBody>
        <w:p w:rsidR="002C7AFA" w:rsidRDefault="002C7AFA" w:rsidP="002C7AFA">
          <w:pPr>
            <w:pStyle w:val="98DB7F0835414356B53154A5A4F8C311"/>
          </w:pPr>
          <w:r w:rsidRPr="00C12127">
            <w:rPr>
              <w:rStyle w:val="Textodelmarcadordeposicin"/>
              <w:lang w:bidi="es-ES"/>
            </w:rPr>
            <w:t>Haz clic aquí para escribir texto.</w:t>
          </w:r>
        </w:p>
      </w:docPartBody>
    </w:docPart>
    <w:docPart>
      <w:docPartPr>
        <w:name w:val="8B979E0795F94610A8B6D30CD9660B09"/>
        <w:category>
          <w:name w:val="General"/>
          <w:gallery w:val="placeholder"/>
        </w:category>
        <w:types>
          <w:type w:val="bbPlcHdr"/>
        </w:types>
        <w:behaviors>
          <w:behavior w:val="content"/>
        </w:behaviors>
        <w:guid w:val="{E97A5854-DEE5-4E51-92B7-8221416CECCD}"/>
      </w:docPartPr>
      <w:docPartBody>
        <w:p w:rsidR="00E16D50" w:rsidRDefault="00E5085E" w:rsidP="00E5085E">
          <w:pPr>
            <w:pStyle w:val="8B979E0795F94610A8B6D30CD9660B09"/>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513"/>
    <w:rsid w:val="000C3FF0"/>
    <w:rsid w:val="0013771E"/>
    <w:rsid w:val="002A5B0E"/>
    <w:rsid w:val="002C1748"/>
    <w:rsid w:val="002C7AFA"/>
    <w:rsid w:val="00301B3E"/>
    <w:rsid w:val="003D088C"/>
    <w:rsid w:val="00543A52"/>
    <w:rsid w:val="00546DCA"/>
    <w:rsid w:val="007545E1"/>
    <w:rsid w:val="0087096B"/>
    <w:rsid w:val="00A80EAD"/>
    <w:rsid w:val="00AB1850"/>
    <w:rsid w:val="00C26568"/>
    <w:rsid w:val="00C60DC9"/>
    <w:rsid w:val="00D35513"/>
    <w:rsid w:val="00D52397"/>
    <w:rsid w:val="00E147F2"/>
    <w:rsid w:val="00E16D50"/>
    <w:rsid w:val="00E30568"/>
    <w:rsid w:val="00E5085E"/>
    <w:rsid w:val="00F61404"/>
    <w:rsid w:val="00FC0D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60DC9"/>
    <w:rPr>
      <w:color w:val="808080"/>
    </w:rPr>
  </w:style>
  <w:style w:type="paragraph" w:customStyle="1" w:styleId="31940EEAFD8F4058AD3AB0127031DCF8">
    <w:name w:val="31940EEAFD8F4058AD3AB0127031DCF8"/>
    <w:rsid w:val="00D35513"/>
  </w:style>
  <w:style w:type="paragraph" w:customStyle="1" w:styleId="7380086C8FAE48A7BA69FB659C705034">
    <w:name w:val="7380086C8FAE48A7BA69FB659C705034"/>
    <w:rsid w:val="00D35513"/>
  </w:style>
  <w:style w:type="paragraph" w:customStyle="1" w:styleId="F026FC877CF14351AC0835651C1D4AC7">
    <w:name w:val="F026FC877CF14351AC0835651C1D4AC7"/>
    <w:rsid w:val="00D35513"/>
  </w:style>
  <w:style w:type="paragraph" w:customStyle="1" w:styleId="8E6C8936081A430DACEDBF1221ADD5C7">
    <w:name w:val="8E6C8936081A430DACEDBF1221ADD5C7"/>
    <w:rsid w:val="00D35513"/>
  </w:style>
  <w:style w:type="paragraph" w:customStyle="1" w:styleId="FC268C603AE749B4AF05523503F1F3B7">
    <w:name w:val="FC268C603AE749B4AF05523503F1F3B7"/>
    <w:rsid w:val="00D35513"/>
  </w:style>
  <w:style w:type="paragraph" w:customStyle="1" w:styleId="179828007A88476795C96779273ADA47">
    <w:name w:val="179828007A88476795C96779273ADA47"/>
    <w:rsid w:val="003D088C"/>
  </w:style>
  <w:style w:type="paragraph" w:customStyle="1" w:styleId="BB90F30E9C6E4AB2881CC2C16C32DEEB">
    <w:name w:val="BB90F30E9C6E4AB2881CC2C16C32DEEB"/>
    <w:rsid w:val="00E147F2"/>
  </w:style>
  <w:style w:type="paragraph" w:customStyle="1" w:styleId="8F4720550BB74C508F8088AA887A2061">
    <w:name w:val="8F4720550BB74C508F8088AA887A2061"/>
    <w:rsid w:val="00E147F2"/>
  </w:style>
  <w:style w:type="paragraph" w:customStyle="1" w:styleId="A62AE5DAEDBD4B3592F8881F087FFB16">
    <w:name w:val="A62AE5DAEDBD4B3592F8881F087FFB16"/>
    <w:rsid w:val="00E147F2"/>
  </w:style>
  <w:style w:type="paragraph" w:customStyle="1" w:styleId="D0093F7CCA03424CB7F48332D2DADFBC">
    <w:name w:val="D0093F7CCA03424CB7F48332D2DADFBC"/>
    <w:rsid w:val="00E147F2"/>
  </w:style>
  <w:style w:type="paragraph" w:customStyle="1" w:styleId="E8D3F72821DE43D8A19B8EC903E6447F">
    <w:name w:val="E8D3F72821DE43D8A19B8EC903E6447F"/>
    <w:rsid w:val="002C7AFA"/>
  </w:style>
  <w:style w:type="paragraph" w:customStyle="1" w:styleId="22C904378EFB4DB2887BA99FB08175AC">
    <w:name w:val="22C904378EFB4DB2887BA99FB08175AC"/>
    <w:rsid w:val="002C7AFA"/>
  </w:style>
  <w:style w:type="paragraph" w:customStyle="1" w:styleId="C393F1DC6802496EBA8680C4DDC57750">
    <w:name w:val="C393F1DC6802496EBA8680C4DDC57750"/>
    <w:rsid w:val="002C7AFA"/>
  </w:style>
  <w:style w:type="paragraph" w:customStyle="1" w:styleId="9F87003F31EC47A8B7E4EC1AF5949FD0">
    <w:name w:val="9F87003F31EC47A8B7E4EC1AF5949FD0"/>
    <w:rsid w:val="002C7AFA"/>
  </w:style>
  <w:style w:type="paragraph" w:customStyle="1" w:styleId="0D1B12810E674B789E9273833A80B3B3">
    <w:name w:val="0D1B12810E674B789E9273833A80B3B3"/>
    <w:rsid w:val="002C7AFA"/>
  </w:style>
  <w:style w:type="paragraph" w:customStyle="1" w:styleId="98DB7F0835414356B53154A5A4F8C311">
    <w:name w:val="98DB7F0835414356B53154A5A4F8C311"/>
    <w:rsid w:val="002C7AFA"/>
  </w:style>
  <w:style w:type="paragraph" w:customStyle="1" w:styleId="8B979E0795F94610A8B6D30CD9660B09">
    <w:name w:val="8B979E0795F94610A8B6D30CD9660B09"/>
    <w:rsid w:val="00E5085E"/>
  </w:style>
  <w:style w:type="paragraph" w:customStyle="1" w:styleId="A696AEA18169457E89A8D4D8E1BBEE4F">
    <w:name w:val="A696AEA18169457E89A8D4D8E1BBEE4F"/>
    <w:rsid w:val="00C60DC9"/>
  </w:style>
  <w:style w:type="paragraph" w:customStyle="1" w:styleId="C433F9BF10DF4AF4A2E013BC86287DE0">
    <w:name w:val="C433F9BF10DF4AF4A2E013BC86287DE0"/>
    <w:rsid w:val="00301B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60DC9"/>
    <w:rPr>
      <w:color w:val="808080"/>
    </w:rPr>
  </w:style>
  <w:style w:type="paragraph" w:customStyle="1" w:styleId="31940EEAFD8F4058AD3AB0127031DCF8">
    <w:name w:val="31940EEAFD8F4058AD3AB0127031DCF8"/>
    <w:rsid w:val="00D35513"/>
  </w:style>
  <w:style w:type="paragraph" w:customStyle="1" w:styleId="7380086C8FAE48A7BA69FB659C705034">
    <w:name w:val="7380086C8FAE48A7BA69FB659C705034"/>
    <w:rsid w:val="00D35513"/>
  </w:style>
  <w:style w:type="paragraph" w:customStyle="1" w:styleId="F026FC877CF14351AC0835651C1D4AC7">
    <w:name w:val="F026FC877CF14351AC0835651C1D4AC7"/>
    <w:rsid w:val="00D35513"/>
  </w:style>
  <w:style w:type="paragraph" w:customStyle="1" w:styleId="8E6C8936081A430DACEDBF1221ADD5C7">
    <w:name w:val="8E6C8936081A430DACEDBF1221ADD5C7"/>
    <w:rsid w:val="00D35513"/>
  </w:style>
  <w:style w:type="paragraph" w:customStyle="1" w:styleId="FC268C603AE749B4AF05523503F1F3B7">
    <w:name w:val="FC268C603AE749B4AF05523503F1F3B7"/>
    <w:rsid w:val="00D35513"/>
  </w:style>
  <w:style w:type="paragraph" w:customStyle="1" w:styleId="179828007A88476795C96779273ADA47">
    <w:name w:val="179828007A88476795C96779273ADA47"/>
    <w:rsid w:val="003D088C"/>
  </w:style>
  <w:style w:type="paragraph" w:customStyle="1" w:styleId="BB90F30E9C6E4AB2881CC2C16C32DEEB">
    <w:name w:val="BB90F30E9C6E4AB2881CC2C16C32DEEB"/>
    <w:rsid w:val="00E147F2"/>
  </w:style>
  <w:style w:type="paragraph" w:customStyle="1" w:styleId="8F4720550BB74C508F8088AA887A2061">
    <w:name w:val="8F4720550BB74C508F8088AA887A2061"/>
    <w:rsid w:val="00E147F2"/>
  </w:style>
  <w:style w:type="paragraph" w:customStyle="1" w:styleId="A62AE5DAEDBD4B3592F8881F087FFB16">
    <w:name w:val="A62AE5DAEDBD4B3592F8881F087FFB16"/>
    <w:rsid w:val="00E147F2"/>
  </w:style>
  <w:style w:type="paragraph" w:customStyle="1" w:styleId="D0093F7CCA03424CB7F48332D2DADFBC">
    <w:name w:val="D0093F7CCA03424CB7F48332D2DADFBC"/>
    <w:rsid w:val="00E147F2"/>
  </w:style>
  <w:style w:type="paragraph" w:customStyle="1" w:styleId="E8D3F72821DE43D8A19B8EC903E6447F">
    <w:name w:val="E8D3F72821DE43D8A19B8EC903E6447F"/>
    <w:rsid w:val="002C7AFA"/>
  </w:style>
  <w:style w:type="paragraph" w:customStyle="1" w:styleId="22C904378EFB4DB2887BA99FB08175AC">
    <w:name w:val="22C904378EFB4DB2887BA99FB08175AC"/>
    <w:rsid w:val="002C7AFA"/>
  </w:style>
  <w:style w:type="paragraph" w:customStyle="1" w:styleId="C393F1DC6802496EBA8680C4DDC57750">
    <w:name w:val="C393F1DC6802496EBA8680C4DDC57750"/>
    <w:rsid w:val="002C7AFA"/>
  </w:style>
  <w:style w:type="paragraph" w:customStyle="1" w:styleId="9F87003F31EC47A8B7E4EC1AF5949FD0">
    <w:name w:val="9F87003F31EC47A8B7E4EC1AF5949FD0"/>
    <w:rsid w:val="002C7AFA"/>
  </w:style>
  <w:style w:type="paragraph" w:customStyle="1" w:styleId="0D1B12810E674B789E9273833A80B3B3">
    <w:name w:val="0D1B12810E674B789E9273833A80B3B3"/>
    <w:rsid w:val="002C7AFA"/>
  </w:style>
  <w:style w:type="paragraph" w:customStyle="1" w:styleId="98DB7F0835414356B53154A5A4F8C311">
    <w:name w:val="98DB7F0835414356B53154A5A4F8C311"/>
    <w:rsid w:val="002C7AFA"/>
  </w:style>
  <w:style w:type="paragraph" w:customStyle="1" w:styleId="8B979E0795F94610A8B6D30CD9660B09">
    <w:name w:val="8B979E0795F94610A8B6D30CD9660B09"/>
    <w:rsid w:val="00E5085E"/>
  </w:style>
  <w:style w:type="paragraph" w:customStyle="1" w:styleId="A696AEA18169457E89A8D4D8E1BBEE4F">
    <w:name w:val="A696AEA18169457E89A8D4D8E1BBEE4F"/>
    <w:rsid w:val="00C60DC9"/>
  </w:style>
  <w:style w:type="paragraph" w:customStyle="1" w:styleId="C433F9BF10DF4AF4A2E013BC86287DE0">
    <w:name w:val="C433F9BF10DF4AF4A2E013BC86287DE0"/>
    <w:rsid w:val="00301B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EF81-14DC-4409-B03B-C8740F3A628F}">
  <ds:schemaRefs>
    <ds:schemaRef ds:uri="http://schemas.microsoft.com/sharepoint/v3/contenttype/forms"/>
  </ds:schemaRefs>
</ds:datastoreItem>
</file>

<file path=customXml/itemProps2.xml><?xml version="1.0" encoding="utf-8"?>
<ds:datastoreItem xmlns:ds="http://schemas.openxmlformats.org/officeDocument/2006/customXml" ds:itemID="{E740F3E6-DE52-43EE-8E53-50D00898E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139</TotalTime>
  <Pages>5</Pages>
  <Words>1437</Words>
  <Characters>7909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9328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YOLANDA DIEZ DOMINGUEZ</cp:lastModifiedBy>
  <cp:revision>8</cp:revision>
  <cp:lastPrinted>2007-10-26T10:03:00Z</cp:lastPrinted>
  <dcterms:created xsi:type="dcterms:W3CDTF">2022-08-23T08:50:00Z</dcterms:created>
  <dcterms:modified xsi:type="dcterms:W3CDTF">2022-09-08T10:49:00Z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