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3E3E67" w:themeColor="accent1" w:themeShade="BF"/>
          <w:sz w:val="56"/>
          <w:szCs w:val="56"/>
        </w:rPr>
        <w:id w:val="1833336649"/>
        <w:docPartObj>
          <w:docPartGallery w:val="Cover Pages"/>
          <w:docPartUnique/>
        </w:docPartObj>
      </w:sdtPr>
      <w:sdtEndPr>
        <w:rPr>
          <w:szCs w:val="20"/>
        </w:rPr>
      </w:sdtEndPr>
      <w:sdtContent>
        <w:tbl>
          <w:tblPr>
            <w:tblpPr w:leftFromText="187" w:rightFromText="187" w:tblpYSpec="bottom"/>
            <w:tblOverlap w:val="never"/>
            <w:tblW w:w="5000" w:type="pct"/>
            <w:tblCellMar>
              <w:top w:w="115" w:type="dxa"/>
              <w:left w:w="115" w:type="dxa"/>
              <w:bottom w:w="72" w:type="dxa"/>
              <w:right w:w="115" w:type="dxa"/>
            </w:tblCellMar>
            <w:tblLook w:val="04A0" w:firstRow="1" w:lastRow="0" w:firstColumn="1" w:lastColumn="0" w:noHBand="0" w:noVBand="1"/>
          </w:tblPr>
          <w:tblGrid>
            <w:gridCol w:w="1050"/>
            <w:gridCol w:w="2778"/>
            <w:gridCol w:w="1561"/>
            <w:gridCol w:w="3912"/>
          </w:tblGrid>
          <w:tr w:rsidR="008876B2" w:rsidTr="008876B2">
            <w:tc>
              <w:tcPr>
                <w:tcW w:w="1050" w:type="dxa"/>
                <w:vAlign w:val="center"/>
              </w:tcPr>
              <w:p w:rsidR="00743995" w:rsidRDefault="00743995">
                <w:pPr>
                  <w:pStyle w:val="Sinespaciado"/>
                </w:pPr>
              </w:p>
            </w:tc>
            <w:tc>
              <w:tcPr>
                <w:tcW w:w="2778" w:type="dxa"/>
                <w:vAlign w:val="center"/>
              </w:tcPr>
              <w:p w:rsidR="00743995" w:rsidRDefault="00743995">
                <w:pPr>
                  <w:pStyle w:val="Sinespaciado"/>
                </w:pPr>
              </w:p>
            </w:tc>
            <w:tc>
              <w:tcPr>
                <w:tcW w:w="5473" w:type="dxa"/>
                <w:gridSpan w:val="2"/>
                <w:vAlign w:val="center"/>
              </w:tcPr>
              <w:p w:rsidR="00743995" w:rsidRDefault="00743995">
                <w:pPr>
                  <w:pStyle w:val="Sinespaciado"/>
                </w:pPr>
              </w:p>
            </w:tc>
          </w:tr>
          <w:tr w:rsidR="008876B2" w:rsidTr="008876B2">
            <w:tc>
              <w:tcPr>
                <w:tcW w:w="3828" w:type="dxa"/>
                <w:gridSpan w:val="2"/>
                <w:vAlign w:val="center"/>
              </w:tcPr>
              <w:tbl>
                <w:tblPr>
                  <w:tblW w:w="5000" w:type="pct"/>
                  <w:tblCellMar>
                    <w:left w:w="0" w:type="dxa"/>
                    <w:right w:w="0" w:type="dxa"/>
                  </w:tblCellMar>
                  <w:tblLook w:val="04A0" w:firstRow="1" w:lastRow="0" w:firstColumn="1" w:lastColumn="0" w:noHBand="0" w:noVBand="1"/>
                </w:tblPr>
                <w:tblGrid>
                  <w:gridCol w:w="952"/>
                  <w:gridCol w:w="2646"/>
                </w:tblGrid>
                <w:tr w:rsidR="00743995">
                  <w:trPr>
                    <w:trHeight w:hRule="exact" w:val="86"/>
                  </w:trPr>
                  <w:tc>
                    <w:tcPr>
                      <w:tcW w:w="990" w:type="dxa"/>
                    </w:tcPr>
                    <w:p w:rsidR="00743995" w:rsidRDefault="00743995">
                      <w:pPr>
                        <w:pStyle w:val="Sinespaciado"/>
                        <w:framePr w:hSpace="187" w:wrap="around" w:hAnchor="text" w:yAlign="bottom"/>
                        <w:suppressOverlap/>
                      </w:pPr>
                    </w:p>
                  </w:tc>
                  <w:tc>
                    <w:tcPr>
                      <w:tcW w:w="2754" w:type="dxa"/>
                      <w:tcBorders>
                        <w:top w:val="single" w:sz="6" w:space="0" w:color="438086" w:themeColor="accent2"/>
                        <w:bottom w:val="single" w:sz="24" w:space="0" w:color="438086" w:themeColor="accent2"/>
                      </w:tcBorders>
                    </w:tcPr>
                    <w:p w:rsidR="00743995" w:rsidRDefault="00743995">
                      <w:pPr>
                        <w:pStyle w:val="Sinespaciado"/>
                        <w:framePr w:hSpace="187" w:wrap="around" w:hAnchor="text" w:yAlign="bottom"/>
                        <w:suppressOverlap/>
                      </w:pPr>
                    </w:p>
                  </w:tc>
                </w:tr>
                <w:tr w:rsidR="00743995">
                  <w:trPr>
                    <w:trHeight w:hRule="exact" w:val="86"/>
                  </w:trPr>
                  <w:tc>
                    <w:tcPr>
                      <w:tcW w:w="990" w:type="dxa"/>
                      <w:tcBorders>
                        <w:bottom w:val="single" w:sz="2" w:space="0" w:color="438086" w:themeColor="accent2"/>
                      </w:tcBorders>
                    </w:tcPr>
                    <w:p w:rsidR="00743995" w:rsidRDefault="00743995">
                      <w:pPr>
                        <w:pStyle w:val="Sinespaciado"/>
                        <w:framePr w:hSpace="187" w:wrap="around" w:hAnchor="text" w:yAlign="bottom"/>
                        <w:suppressOverlap/>
                      </w:pPr>
                    </w:p>
                  </w:tc>
                  <w:tc>
                    <w:tcPr>
                      <w:tcW w:w="2754" w:type="dxa"/>
                      <w:tcBorders>
                        <w:top w:val="single" w:sz="24" w:space="0" w:color="438086" w:themeColor="accent2"/>
                        <w:bottom w:val="single" w:sz="2" w:space="0" w:color="438086" w:themeColor="accent2"/>
                      </w:tcBorders>
                    </w:tcPr>
                    <w:p w:rsidR="00743995" w:rsidRDefault="00743995">
                      <w:pPr>
                        <w:pStyle w:val="Sinespaciado"/>
                        <w:framePr w:hSpace="187" w:wrap="around" w:hAnchor="text" w:yAlign="bottom"/>
                        <w:suppressOverlap/>
                      </w:pPr>
                    </w:p>
                  </w:tc>
                </w:tr>
                <w:tr w:rsidR="00743995">
                  <w:trPr>
                    <w:trHeight w:hRule="exact" w:val="115"/>
                  </w:trPr>
                  <w:tc>
                    <w:tcPr>
                      <w:tcW w:w="990" w:type="dxa"/>
                      <w:tcBorders>
                        <w:top w:val="single" w:sz="2" w:space="0" w:color="438086" w:themeColor="accent2"/>
                        <w:bottom w:val="single" w:sz="8" w:space="0" w:color="438086" w:themeColor="accent2"/>
                      </w:tcBorders>
                    </w:tcPr>
                    <w:p w:rsidR="00743995" w:rsidRDefault="00743995">
                      <w:pPr>
                        <w:pStyle w:val="Sinespaciado"/>
                        <w:framePr w:hSpace="187" w:wrap="around" w:hAnchor="text" w:yAlign="bottom"/>
                        <w:suppressOverlap/>
                      </w:pPr>
                    </w:p>
                  </w:tc>
                  <w:tc>
                    <w:tcPr>
                      <w:tcW w:w="2754" w:type="dxa"/>
                      <w:tcBorders>
                        <w:top w:val="single" w:sz="2" w:space="0" w:color="438086" w:themeColor="accent2"/>
                        <w:bottom w:val="single" w:sz="8" w:space="0" w:color="438086" w:themeColor="accent2"/>
                      </w:tcBorders>
                    </w:tcPr>
                    <w:p w:rsidR="00743995" w:rsidRDefault="00743995">
                      <w:pPr>
                        <w:pStyle w:val="Sinespaciado"/>
                        <w:framePr w:hSpace="187" w:wrap="around" w:hAnchor="text" w:yAlign="bottom"/>
                        <w:suppressOverlap/>
                      </w:pPr>
                    </w:p>
                  </w:tc>
                </w:tr>
                <w:tr w:rsidR="00743995">
                  <w:trPr>
                    <w:trHeight w:hRule="exact" w:val="58"/>
                  </w:trPr>
                  <w:tc>
                    <w:tcPr>
                      <w:tcW w:w="990" w:type="dxa"/>
                      <w:tcBorders>
                        <w:top w:val="single" w:sz="8" w:space="0" w:color="438086" w:themeColor="accent2"/>
                      </w:tcBorders>
                    </w:tcPr>
                    <w:p w:rsidR="00743995" w:rsidRDefault="00743995">
                      <w:pPr>
                        <w:pStyle w:val="Sinespaciado"/>
                        <w:framePr w:hSpace="187" w:wrap="around" w:hAnchor="text" w:yAlign="bottom"/>
                        <w:suppressOverlap/>
                      </w:pPr>
                    </w:p>
                  </w:tc>
                  <w:tc>
                    <w:tcPr>
                      <w:tcW w:w="2754" w:type="dxa"/>
                      <w:tcBorders>
                        <w:top w:val="single" w:sz="8" w:space="0" w:color="438086" w:themeColor="accent2"/>
                        <w:bottom w:val="single" w:sz="12" w:space="0" w:color="438086" w:themeColor="accent2"/>
                      </w:tcBorders>
                    </w:tcPr>
                    <w:p w:rsidR="00743995" w:rsidRDefault="00743995">
                      <w:pPr>
                        <w:pStyle w:val="Sinespaciado"/>
                        <w:framePr w:hSpace="187" w:wrap="around" w:hAnchor="text" w:yAlign="bottom"/>
                        <w:suppressOverlap/>
                      </w:pPr>
                    </w:p>
                  </w:tc>
                </w:tr>
              </w:tbl>
              <w:p w:rsidR="00743995" w:rsidRDefault="00743995">
                <w:pPr>
                  <w:pStyle w:val="Sinespaciado"/>
                </w:pPr>
              </w:p>
            </w:tc>
            <w:tc>
              <w:tcPr>
                <w:tcW w:w="5473" w:type="dxa"/>
                <w:gridSpan w:val="2"/>
                <w:vAlign w:val="center"/>
              </w:tcPr>
              <w:p w:rsidR="00743995" w:rsidRDefault="00743995">
                <w:pPr>
                  <w:pStyle w:val="Sinespaciado"/>
                </w:pPr>
              </w:p>
            </w:tc>
          </w:tr>
          <w:tr w:rsidR="00743995" w:rsidTr="008876B2">
            <w:trPr>
              <w:trHeight w:val="1800"/>
            </w:trPr>
            <w:tc>
              <w:tcPr>
                <w:tcW w:w="9301" w:type="dxa"/>
                <w:gridSpan w:val="4"/>
                <w:tcMar>
                  <w:top w:w="115" w:type="dxa"/>
                  <w:left w:w="115" w:type="dxa"/>
                  <w:bottom w:w="72" w:type="dxa"/>
                  <w:right w:w="115" w:type="dxa"/>
                </w:tcMar>
                <w:vAlign w:val="center"/>
              </w:tcPr>
              <w:p w:rsidR="00743995" w:rsidRPr="008876B2" w:rsidRDefault="00D0408A">
                <w:pPr>
                  <w:pStyle w:val="Sinespaciado"/>
                  <w:rPr>
                    <w:rFonts w:eastAsiaTheme="majorEastAsia" w:cstheme="majorBidi"/>
                    <w:color w:val="53548A" w:themeColor="accent1"/>
                    <w:sz w:val="40"/>
                    <w:szCs w:val="40"/>
                  </w:rPr>
                </w:pPr>
                <w:sdt>
                  <w:sdtPr>
                    <w:rPr>
                      <w:rFonts w:eastAsiaTheme="majorEastAsia" w:cstheme="majorBidi"/>
                      <w:sz w:val="40"/>
                      <w:szCs w:val="40"/>
                    </w:rPr>
                    <w:alias w:val="Título"/>
                    <w:id w:val="220683848"/>
                    <w:dataBinding w:prefixMappings="xmlns:ns0='http://schemas.openxmlformats.org/package/2006/metadata/core-properties' xmlns:ns1='http://purl.org/dc/elements/1.1/'" w:xpath="/ns0:coreProperties[1]/ns1:title[1]" w:storeItemID="{6C3C8BC8-F283-45AE-878A-BAB7291924A1}"/>
                    <w:text/>
                  </w:sdtPr>
                  <w:sdtEndPr/>
                  <w:sdtContent>
                    <w:r w:rsidR="00C22A89">
                      <w:rPr>
                        <w:rFonts w:eastAsiaTheme="majorEastAsia" w:cstheme="majorBidi"/>
                        <w:sz w:val="40"/>
                        <w:szCs w:val="40"/>
                      </w:rPr>
                      <w:t>Informe de evaluación sobre el cumplimiento de la LTAIBG por parte de los Órganos Constitucionales y de relevancia constitucional</w:t>
                    </w:r>
                  </w:sdtContent>
                </w:sdt>
              </w:p>
              <w:p w:rsidR="00743995" w:rsidRPr="008876B2" w:rsidRDefault="00D0408A" w:rsidP="00BC4003">
                <w:pPr>
                  <w:pStyle w:val="Sinespaciado"/>
                </w:pPr>
                <w:sdt>
                  <w:sdtPr>
                    <w:rPr>
                      <w:i/>
                      <w:iCs/>
                      <w:color w:val="424456" w:themeColor="text2"/>
                      <w:sz w:val="28"/>
                      <w:szCs w:val="28"/>
                    </w:rPr>
                    <w:alias w:val="Subtítulo"/>
                    <w:id w:val="220683832"/>
                    <w:dataBinding w:prefixMappings="xmlns:ns0='http://schemas.openxmlformats.org/package/2006/metadata/core-properties' xmlns:ns1='http://purl.org/dc/elements/1.1/'" w:xpath="/ns0:coreProperties[1]/ns1:subject[1]" w:storeItemID="{6C3C8BC8-F283-45AE-878A-BAB7291924A1}"/>
                    <w:text/>
                  </w:sdtPr>
                  <w:sdtEndPr/>
                  <w:sdtContent>
                    <w:r w:rsidR="008876B2" w:rsidRPr="008876B2">
                      <w:rPr>
                        <w:i/>
                        <w:iCs/>
                        <w:color w:val="424456" w:themeColor="text2"/>
                        <w:sz w:val="28"/>
                        <w:szCs w:val="28"/>
                      </w:rPr>
                      <w:t>Evaluaci</w:t>
                    </w:r>
                    <w:r w:rsidR="00E924EF">
                      <w:rPr>
                        <w:i/>
                        <w:iCs/>
                        <w:color w:val="424456" w:themeColor="text2"/>
                        <w:sz w:val="28"/>
                        <w:szCs w:val="28"/>
                      </w:rPr>
                      <w:t>ones 20</w:t>
                    </w:r>
                    <w:r w:rsidR="00BC4003">
                      <w:rPr>
                        <w:i/>
                        <w:iCs/>
                        <w:color w:val="424456" w:themeColor="text2"/>
                        <w:sz w:val="28"/>
                        <w:szCs w:val="28"/>
                      </w:rPr>
                      <w:t>22</w:t>
                    </w:r>
                    <w:r w:rsidR="00E924EF">
                      <w:rPr>
                        <w:i/>
                        <w:iCs/>
                        <w:color w:val="424456" w:themeColor="text2"/>
                        <w:sz w:val="28"/>
                        <w:szCs w:val="28"/>
                      </w:rPr>
                      <w:t>.CTBG</w:t>
                    </w:r>
                  </w:sdtContent>
                </w:sdt>
              </w:p>
            </w:tc>
          </w:tr>
          <w:tr w:rsidR="008876B2" w:rsidTr="008876B2">
            <w:tc>
              <w:tcPr>
                <w:tcW w:w="1050" w:type="dxa"/>
                <w:vAlign w:val="center"/>
              </w:tcPr>
              <w:p w:rsidR="00743995" w:rsidRDefault="00743995">
                <w:pPr>
                  <w:pStyle w:val="Sinespaciado"/>
                </w:pPr>
              </w:p>
            </w:tc>
            <w:tc>
              <w:tcPr>
                <w:tcW w:w="4339" w:type="dxa"/>
                <w:gridSpan w:val="2"/>
                <w:vAlign w:val="center"/>
              </w:tcPr>
              <w:p w:rsidR="00743995" w:rsidRDefault="00743995">
                <w:pPr>
                  <w:pStyle w:val="Sinespaciado"/>
                </w:pPr>
              </w:p>
            </w:tc>
            <w:tc>
              <w:tcPr>
                <w:tcW w:w="3912" w:type="dxa"/>
                <w:vAlign w:val="center"/>
              </w:tcPr>
              <w:tbl>
                <w:tblPr>
                  <w:tblW w:w="5000" w:type="pct"/>
                  <w:tblLook w:val="04A0" w:firstRow="1" w:lastRow="0" w:firstColumn="1" w:lastColumn="0" w:noHBand="0" w:noVBand="1"/>
                </w:tblPr>
                <w:tblGrid>
                  <w:gridCol w:w="1057"/>
                  <w:gridCol w:w="697"/>
                  <w:gridCol w:w="1928"/>
                </w:tblGrid>
                <w:tr w:rsidR="008876B2">
                  <w:trPr>
                    <w:trHeight w:hRule="exact" w:val="72"/>
                  </w:trPr>
                  <w:tc>
                    <w:tcPr>
                      <w:tcW w:w="1098" w:type="dxa"/>
                      <w:tcBorders>
                        <w:top w:val="single" w:sz="24" w:space="0" w:color="438086" w:themeColor="accent2"/>
                      </w:tcBorders>
                    </w:tcPr>
                    <w:p w:rsidR="00743995" w:rsidRDefault="00743995" w:rsidP="00D0408A">
                      <w:pPr>
                        <w:pStyle w:val="Sinespaciado"/>
                        <w:framePr w:hSpace="187" w:wrap="around" w:hAnchor="text" w:yAlign="bottom"/>
                        <w:suppressOverlap/>
                        <w:rPr>
                          <w:sz w:val="12"/>
                        </w:rPr>
                      </w:pPr>
                    </w:p>
                  </w:tc>
                  <w:tc>
                    <w:tcPr>
                      <w:tcW w:w="720" w:type="dxa"/>
                      <w:tcBorders>
                        <w:top w:val="single" w:sz="24" w:space="0" w:color="438086" w:themeColor="accent2"/>
                        <w:bottom w:val="single" w:sz="6" w:space="0" w:color="438086" w:themeColor="accent2"/>
                      </w:tcBorders>
                    </w:tcPr>
                    <w:p w:rsidR="00743995" w:rsidRDefault="00743995" w:rsidP="00D0408A">
                      <w:pPr>
                        <w:pStyle w:val="Sinespaciado"/>
                        <w:framePr w:hSpace="187" w:wrap="around" w:hAnchor="text" w:yAlign="bottom"/>
                        <w:suppressOverlap/>
                        <w:rPr>
                          <w:sz w:val="12"/>
                        </w:rPr>
                      </w:pPr>
                    </w:p>
                  </w:tc>
                  <w:tc>
                    <w:tcPr>
                      <w:tcW w:w="2012" w:type="dxa"/>
                      <w:tcBorders>
                        <w:top w:val="single" w:sz="24" w:space="0" w:color="438086" w:themeColor="accent2"/>
                        <w:bottom w:val="single" w:sz="6" w:space="0" w:color="438086" w:themeColor="accent2"/>
                      </w:tcBorders>
                    </w:tcPr>
                    <w:p w:rsidR="00743995" w:rsidRDefault="00743995" w:rsidP="00D0408A">
                      <w:pPr>
                        <w:pStyle w:val="Sinespaciado"/>
                        <w:framePr w:hSpace="187" w:wrap="around" w:hAnchor="text" w:yAlign="bottom"/>
                        <w:suppressOverlap/>
                        <w:rPr>
                          <w:sz w:val="12"/>
                        </w:rPr>
                      </w:pPr>
                    </w:p>
                  </w:tc>
                </w:tr>
                <w:tr w:rsidR="008876B2">
                  <w:trPr>
                    <w:trHeight w:hRule="exact" w:val="86"/>
                  </w:trPr>
                  <w:tc>
                    <w:tcPr>
                      <w:tcW w:w="1098" w:type="dxa"/>
                    </w:tcPr>
                    <w:p w:rsidR="00743995" w:rsidRDefault="00743995" w:rsidP="00D0408A">
                      <w:pPr>
                        <w:pStyle w:val="Sinespaciado"/>
                        <w:framePr w:hSpace="187" w:wrap="around" w:hAnchor="text" w:yAlign="bottom"/>
                        <w:suppressOverlap/>
                        <w:rPr>
                          <w:sz w:val="12"/>
                        </w:rPr>
                      </w:pPr>
                    </w:p>
                  </w:tc>
                  <w:tc>
                    <w:tcPr>
                      <w:tcW w:w="720" w:type="dxa"/>
                      <w:tcBorders>
                        <w:top w:val="single" w:sz="6" w:space="0" w:color="438086" w:themeColor="accent2"/>
                        <w:bottom w:val="single" w:sz="24" w:space="0" w:color="438086" w:themeColor="accent2"/>
                      </w:tcBorders>
                    </w:tcPr>
                    <w:p w:rsidR="00743995" w:rsidRDefault="00743995" w:rsidP="00D0408A">
                      <w:pPr>
                        <w:pStyle w:val="Sinespaciado"/>
                        <w:framePr w:hSpace="187" w:wrap="around" w:hAnchor="text" w:yAlign="bottom"/>
                        <w:suppressOverlap/>
                        <w:rPr>
                          <w:sz w:val="12"/>
                        </w:rPr>
                      </w:pPr>
                    </w:p>
                  </w:tc>
                  <w:tc>
                    <w:tcPr>
                      <w:tcW w:w="2012" w:type="dxa"/>
                      <w:tcBorders>
                        <w:top w:val="single" w:sz="6" w:space="0" w:color="438086" w:themeColor="accent2"/>
                        <w:bottom w:val="single" w:sz="24" w:space="0" w:color="438086" w:themeColor="accent2"/>
                      </w:tcBorders>
                    </w:tcPr>
                    <w:p w:rsidR="00743995" w:rsidRDefault="00743995" w:rsidP="00D0408A">
                      <w:pPr>
                        <w:pStyle w:val="Sinespaciado"/>
                        <w:framePr w:hSpace="187" w:wrap="around" w:hAnchor="text" w:yAlign="bottom"/>
                        <w:suppressOverlap/>
                        <w:rPr>
                          <w:sz w:val="12"/>
                        </w:rPr>
                      </w:pPr>
                    </w:p>
                  </w:tc>
                </w:tr>
                <w:tr w:rsidR="008876B2">
                  <w:trPr>
                    <w:trHeight w:hRule="exact" w:val="101"/>
                  </w:trPr>
                  <w:tc>
                    <w:tcPr>
                      <w:tcW w:w="1098" w:type="dxa"/>
                      <w:tcBorders>
                        <w:bottom w:val="single" w:sz="2" w:space="0" w:color="438086" w:themeColor="accent2"/>
                      </w:tcBorders>
                    </w:tcPr>
                    <w:p w:rsidR="00743995" w:rsidRDefault="00743995" w:rsidP="00D0408A">
                      <w:pPr>
                        <w:pStyle w:val="Sinespaciado"/>
                        <w:framePr w:hSpace="187" w:wrap="around" w:hAnchor="text" w:yAlign="bottom"/>
                        <w:suppressOverlap/>
                        <w:rPr>
                          <w:sz w:val="12"/>
                        </w:rPr>
                      </w:pPr>
                    </w:p>
                  </w:tc>
                  <w:tc>
                    <w:tcPr>
                      <w:tcW w:w="720" w:type="dxa"/>
                      <w:tcBorders>
                        <w:top w:val="single" w:sz="24" w:space="0" w:color="438086" w:themeColor="accent2"/>
                        <w:bottom w:val="single" w:sz="2" w:space="0" w:color="438086" w:themeColor="accent2"/>
                      </w:tcBorders>
                    </w:tcPr>
                    <w:p w:rsidR="00743995" w:rsidRDefault="00743995" w:rsidP="00D0408A">
                      <w:pPr>
                        <w:pStyle w:val="Sinespaciado"/>
                        <w:framePr w:hSpace="187" w:wrap="around" w:hAnchor="text" w:yAlign="bottom"/>
                        <w:suppressOverlap/>
                        <w:rPr>
                          <w:sz w:val="12"/>
                        </w:rPr>
                      </w:pPr>
                    </w:p>
                  </w:tc>
                  <w:tc>
                    <w:tcPr>
                      <w:tcW w:w="2012" w:type="dxa"/>
                      <w:tcBorders>
                        <w:top w:val="single" w:sz="24" w:space="0" w:color="438086" w:themeColor="accent2"/>
                        <w:bottom w:val="single" w:sz="2" w:space="0" w:color="438086" w:themeColor="accent2"/>
                      </w:tcBorders>
                    </w:tcPr>
                    <w:p w:rsidR="00743995" w:rsidRDefault="00743995" w:rsidP="00D0408A">
                      <w:pPr>
                        <w:pStyle w:val="Sinespaciado"/>
                        <w:framePr w:hSpace="187" w:wrap="around" w:hAnchor="text" w:yAlign="bottom"/>
                        <w:suppressOverlap/>
                        <w:rPr>
                          <w:sz w:val="12"/>
                        </w:rPr>
                      </w:pPr>
                    </w:p>
                  </w:tc>
                </w:tr>
                <w:tr w:rsidR="008876B2">
                  <w:trPr>
                    <w:trHeight w:hRule="exact" w:val="43"/>
                  </w:trPr>
                  <w:tc>
                    <w:tcPr>
                      <w:tcW w:w="1098" w:type="dxa"/>
                      <w:tcBorders>
                        <w:top w:val="single" w:sz="2" w:space="0" w:color="438086" w:themeColor="accent2"/>
                        <w:bottom w:val="single" w:sz="24" w:space="0" w:color="438086" w:themeColor="accent2"/>
                      </w:tcBorders>
                    </w:tcPr>
                    <w:p w:rsidR="00743995" w:rsidRDefault="00743995" w:rsidP="00D0408A">
                      <w:pPr>
                        <w:pStyle w:val="Sinespaciado"/>
                        <w:framePr w:hSpace="187" w:wrap="around" w:hAnchor="text" w:yAlign="bottom"/>
                        <w:suppressOverlap/>
                        <w:rPr>
                          <w:sz w:val="12"/>
                        </w:rPr>
                      </w:pPr>
                    </w:p>
                  </w:tc>
                  <w:tc>
                    <w:tcPr>
                      <w:tcW w:w="720" w:type="dxa"/>
                      <w:tcBorders>
                        <w:top w:val="single" w:sz="2" w:space="0" w:color="438086" w:themeColor="accent2"/>
                        <w:bottom w:val="single" w:sz="24" w:space="0" w:color="438086" w:themeColor="accent2"/>
                      </w:tcBorders>
                    </w:tcPr>
                    <w:p w:rsidR="00743995" w:rsidRDefault="00743995" w:rsidP="00D0408A">
                      <w:pPr>
                        <w:pStyle w:val="Sinespaciado"/>
                        <w:framePr w:hSpace="187" w:wrap="around" w:hAnchor="text" w:yAlign="bottom"/>
                        <w:suppressOverlap/>
                        <w:rPr>
                          <w:sz w:val="12"/>
                        </w:rPr>
                      </w:pPr>
                    </w:p>
                  </w:tc>
                  <w:tc>
                    <w:tcPr>
                      <w:tcW w:w="2012" w:type="dxa"/>
                      <w:tcBorders>
                        <w:top w:val="single" w:sz="2" w:space="0" w:color="438086" w:themeColor="accent2"/>
                      </w:tcBorders>
                    </w:tcPr>
                    <w:p w:rsidR="00743995" w:rsidRDefault="00743995" w:rsidP="00D0408A">
                      <w:pPr>
                        <w:pStyle w:val="Sinespaciado"/>
                        <w:framePr w:hSpace="187" w:wrap="around" w:hAnchor="text" w:yAlign="bottom"/>
                        <w:suppressOverlap/>
                        <w:rPr>
                          <w:sz w:val="12"/>
                        </w:rPr>
                      </w:pPr>
                    </w:p>
                  </w:tc>
                </w:tr>
                <w:tr w:rsidR="008876B2">
                  <w:trPr>
                    <w:trHeight w:hRule="exact" w:val="86"/>
                  </w:trPr>
                  <w:tc>
                    <w:tcPr>
                      <w:tcW w:w="1098" w:type="dxa"/>
                      <w:tcBorders>
                        <w:top w:val="single" w:sz="24" w:space="0" w:color="438086" w:themeColor="accent2"/>
                        <w:bottom w:val="single" w:sz="8" w:space="0" w:color="438086" w:themeColor="accent2"/>
                      </w:tcBorders>
                    </w:tcPr>
                    <w:p w:rsidR="00743995" w:rsidRDefault="00743995" w:rsidP="00D0408A">
                      <w:pPr>
                        <w:pStyle w:val="Sinespaciado"/>
                        <w:framePr w:hSpace="187" w:wrap="around" w:hAnchor="text" w:yAlign="bottom"/>
                        <w:suppressOverlap/>
                        <w:rPr>
                          <w:sz w:val="12"/>
                        </w:rPr>
                      </w:pPr>
                    </w:p>
                  </w:tc>
                  <w:tc>
                    <w:tcPr>
                      <w:tcW w:w="720" w:type="dxa"/>
                      <w:tcBorders>
                        <w:top w:val="single" w:sz="24" w:space="0" w:color="438086" w:themeColor="accent2"/>
                        <w:bottom w:val="single" w:sz="8" w:space="0" w:color="438086" w:themeColor="accent2"/>
                      </w:tcBorders>
                    </w:tcPr>
                    <w:p w:rsidR="00743995" w:rsidRDefault="00743995" w:rsidP="00D0408A">
                      <w:pPr>
                        <w:pStyle w:val="Sinespaciado"/>
                        <w:framePr w:hSpace="187" w:wrap="around" w:hAnchor="text" w:yAlign="bottom"/>
                        <w:suppressOverlap/>
                        <w:rPr>
                          <w:sz w:val="12"/>
                        </w:rPr>
                      </w:pPr>
                    </w:p>
                  </w:tc>
                  <w:tc>
                    <w:tcPr>
                      <w:tcW w:w="2012" w:type="dxa"/>
                      <w:tcBorders>
                        <w:bottom w:val="single" w:sz="8" w:space="0" w:color="438086" w:themeColor="accent2"/>
                      </w:tcBorders>
                    </w:tcPr>
                    <w:p w:rsidR="00743995" w:rsidRDefault="00743995" w:rsidP="00D0408A">
                      <w:pPr>
                        <w:pStyle w:val="Sinespaciado"/>
                        <w:framePr w:hSpace="187" w:wrap="around" w:hAnchor="text" w:yAlign="bottom"/>
                        <w:suppressOverlap/>
                        <w:rPr>
                          <w:sz w:val="12"/>
                        </w:rPr>
                      </w:pPr>
                    </w:p>
                  </w:tc>
                </w:tr>
                <w:tr w:rsidR="008876B2">
                  <w:trPr>
                    <w:trHeight w:hRule="exact" w:val="58"/>
                  </w:trPr>
                  <w:tc>
                    <w:tcPr>
                      <w:tcW w:w="1098" w:type="dxa"/>
                      <w:tcBorders>
                        <w:top w:val="single" w:sz="8" w:space="0" w:color="438086" w:themeColor="accent2"/>
                      </w:tcBorders>
                    </w:tcPr>
                    <w:p w:rsidR="00743995" w:rsidRDefault="00743995" w:rsidP="00D0408A">
                      <w:pPr>
                        <w:pStyle w:val="Sinespaciado"/>
                        <w:framePr w:hSpace="187" w:wrap="around" w:hAnchor="text" w:yAlign="bottom"/>
                        <w:suppressOverlap/>
                        <w:rPr>
                          <w:sz w:val="12"/>
                        </w:rPr>
                      </w:pPr>
                    </w:p>
                  </w:tc>
                  <w:tc>
                    <w:tcPr>
                      <w:tcW w:w="720" w:type="dxa"/>
                      <w:tcBorders>
                        <w:top w:val="single" w:sz="8" w:space="0" w:color="438086" w:themeColor="accent2"/>
                        <w:bottom w:val="single" w:sz="12" w:space="0" w:color="438086" w:themeColor="accent2"/>
                      </w:tcBorders>
                    </w:tcPr>
                    <w:p w:rsidR="00743995" w:rsidRDefault="00743995" w:rsidP="00D0408A">
                      <w:pPr>
                        <w:pStyle w:val="Sinespaciado"/>
                        <w:framePr w:hSpace="187" w:wrap="around" w:hAnchor="text" w:yAlign="bottom"/>
                        <w:suppressOverlap/>
                        <w:rPr>
                          <w:sz w:val="12"/>
                        </w:rPr>
                      </w:pPr>
                    </w:p>
                  </w:tc>
                  <w:tc>
                    <w:tcPr>
                      <w:tcW w:w="2012" w:type="dxa"/>
                      <w:tcBorders>
                        <w:top w:val="single" w:sz="8" w:space="0" w:color="438086" w:themeColor="accent2"/>
                        <w:bottom w:val="single" w:sz="12" w:space="0" w:color="438086" w:themeColor="accent2"/>
                      </w:tcBorders>
                    </w:tcPr>
                    <w:p w:rsidR="00743995" w:rsidRDefault="00743995" w:rsidP="00D0408A">
                      <w:pPr>
                        <w:pStyle w:val="Sinespaciado"/>
                        <w:framePr w:hSpace="187" w:wrap="around" w:hAnchor="text" w:yAlign="bottom"/>
                        <w:suppressOverlap/>
                        <w:rPr>
                          <w:sz w:val="12"/>
                        </w:rPr>
                      </w:pPr>
                    </w:p>
                  </w:tc>
                </w:tr>
              </w:tbl>
              <w:p w:rsidR="00743995" w:rsidRDefault="00743995">
                <w:pPr>
                  <w:pStyle w:val="Sinespaciado"/>
                </w:pPr>
              </w:p>
            </w:tc>
          </w:tr>
          <w:tr w:rsidR="008876B2" w:rsidTr="008876B2">
            <w:tc>
              <w:tcPr>
                <w:tcW w:w="1050" w:type="dxa"/>
                <w:vAlign w:val="center"/>
              </w:tcPr>
              <w:p w:rsidR="00743995" w:rsidRDefault="00743995">
                <w:pPr>
                  <w:pStyle w:val="Sinespaciado"/>
                </w:pPr>
              </w:p>
            </w:tc>
            <w:tc>
              <w:tcPr>
                <w:tcW w:w="4339" w:type="dxa"/>
                <w:gridSpan w:val="2"/>
                <w:vAlign w:val="center"/>
              </w:tcPr>
              <w:p w:rsidR="00743995" w:rsidRDefault="00743995">
                <w:pPr>
                  <w:pStyle w:val="Sinespaciado"/>
                </w:pPr>
              </w:p>
            </w:tc>
            <w:tc>
              <w:tcPr>
                <w:tcW w:w="3912" w:type="dxa"/>
                <w:vAlign w:val="center"/>
              </w:tcPr>
              <w:p w:rsidR="00743995" w:rsidRPr="008876B2" w:rsidRDefault="00D0408A" w:rsidP="004E4E8E">
                <w:pPr>
                  <w:pStyle w:val="Sinespaciado"/>
                </w:pPr>
                <w:sdt>
                  <w:sdtPr>
                    <w:rPr>
                      <w:color w:val="424456" w:themeColor="text2"/>
                      <w:szCs w:val="22"/>
                    </w:rPr>
                    <w:alias w:val="Autor"/>
                    <w:id w:val="81130488"/>
                    <w:dataBinding w:prefixMappings="xmlns:ns0='http://schemas.openxmlformats.org/package/2006/metadata/core-properties' xmlns:ns1='http://purl.org/dc/elements/1.1/'" w:xpath="/ns0:coreProperties[1]/ns1:creator[1]" w:storeItemID="{6C3C8BC8-F283-45AE-878A-BAB7291924A1}"/>
                    <w:text/>
                  </w:sdtPr>
                  <w:sdtEndPr/>
                  <w:sdtContent>
                    <w:r w:rsidR="004E4E8E">
                      <w:rPr>
                        <w:color w:val="424456" w:themeColor="text2"/>
                        <w:szCs w:val="22"/>
                      </w:rPr>
                      <w:t xml:space="preserve">CTBG. </w:t>
                    </w:r>
                    <w:r w:rsidR="006D0307">
                      <w:rPr>
                        <w:color w:val="424456" w:themeColor="text2"/>
                        <w:szCs w:val="22"/>
                      </w:rPr>
                      <w:t xml:space="preserve">Subdirección General de Transparencia y Buen Gobierno. </w:t>
                    </w:r>
                  </w:sdtContent>
                </w:sdt>
              </w:p>
            </w:tc>
          </w:tr>
        </w:tbl>
        <w:p w:rsidR="00743995" w:rsidRDefault="008876B2">
          <w:pPr>
            <w:pStyle w:val="Ttulo"/>
            <w:rPr>
              <w:rFonts w:eastAsiaTheme="majorEastAsia" w:cstheme="majorBidi"/>
              <w:szCs w:val="20"/>
            </w:rPr>
          </w:pPr>
          <w:r>
            <w:rPr>
              <w:noProof/>
            </w:rPr>
            <w:drawing>
              <wp:inline distT="0" distB="0" distL="0" distR="0" wp14:anchorId="6377C7D2" wp14:editId="0539AB4B">
                <wp:extent cx="1611561" cy="923925"/>
                <wp:effectExtent l="0" t="0" r="8255" b="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4861" cy="925817"/>
                        </a:xfrm>
                        <a:prstGeom prst="rect">
                          <a:avLst/>
                        </a:prstGeom>
                        <a:noFill/>
                        <a:ln>
                          <a:noFill/>
                        </a:ln>
                      </pic:spPr>
                    </pic:pic>
                  </a:graphicData>
                </a:graphic>
              </wp:inline>
            </w:drawing>
          </w:r>
          <w:r w:rsidR="0065420F">
            <w:rPr>
              <w:rFonts w:asciiTheme="minorHAnsi" w:eastAsiaTheme="minorEastAsia" w:hAnsiTheme="minorHAnsi"/>
              <w:color w:val="000000"/>
              <w:sz w:val="20"/>
              <w:szCs w:val="20"/>
              <w14:textFill>
                <w14:solidFill>
                  <w14:srgbClr w14:val="000000">
                    <w14:lumMod w14:val="75000"/>
                  </w14:srgbClr>
                </w14:solidFill>
              </w14:textFill>
            </w:rPr>
            <w:br w:type="page"/>
          </w:r>
        </w:p>
      </w:sdtContent>
    </w:sdt>
    <w:sdt>
      <w:sdtPr>
        <w:rPr>
          <w:rFonts w:ascii="Century Gothic" w:eastAsiaTheme="minorHAnsi" w:hAnsi="Century Gothic" w:cstheme="minorBidi"/>
          <w:b w:val="0"/>
          <w:bCs w:val="0"/>
          <w:color w:val="auto"/>
          <w:sz w:val="20"/>
          <w:szCs w:val="20"/>
        </w:rPr>
        <w:id w:val="322091043"/>
        <w:docPartObj>
          <w:docPartGallery w:val="Table of Contents"/>
          <w:docPartUnique/>
        </w:docPartObj>
      </w:sdtPr>
      <w:sdtEndPr/>
      <w:sdtContent>
        <w:p w:rsidR="00E924EF" w:rsidRPr="00A41982" w:rsidRDefault="00E924EF">
          <w:pPr>
            <w:pStyle w:val="TtulodeTDC"/>
            <w:rPr>
              <w:sz w:val="20"/>
              <w:szCs w:val="20"/>
            </w:rPr>
          </w:pPr>
          <w:r w:rsidRPr="00A41982">
            <w:rPr>
              <w:sz w:val="20"/>
              <w:szCs w:val="20"/>
            </w:rPr>
            <w:t>Contenido</w:t>
          </w:r>
        </w:p>
        <w:p w:rsidR="00CE4A3B" w:rsidRDefault="00E924EF">
          <w:pPr>
            <w:pStyle w:val="TDC1"/>
            <w:tabs>
              <w:tab w:val="left" w:pos="400"/>
              <w:tab w:val="right" w:pos="9061"/>
            </w:tabs>
            <w:rPr>
              <w:rFonts w:asciiTheme="minorHAnsi" w:hAnsiTheme="minorHAnsi"/>
              <w:noProof/>
              <w:szCs w:val="22"/>
            </w:rPr>
          </w:pPr>
          <w:r w:rsidRPr="00A41982">
            <w:rPr>
              <w:sz w:val="20"/>
              <w:szCs w:val="20"/>
            </w:rPr>
            <w:fldChar w:fldCharType="begin"/>
          </w:r>
          <w:r w:rsidRPr="00A41982">
            <w:rPr>
              <w:sz w:val="20"/>
              <w:szCs w:val="20"/>
            </w:rPr>
            <w:instrText xml:space="preserve"> TOC \o "1-3" \h \z \u </w:instrText>
          </w:r>
          <w:r w:rsidRPr="00A41982">
            <w:rPr>
              <w:sz w:val="20"/>
              <w:szCs w:val="20"/>
            </w:rPr>
            <w:fldChar w:fldCharType="separate"/>
          </w:r>
          <w:hyperlink w:anchor="_Toc98321551" w:history="1">
            <w:r w:rsidR="00CE4A3B" w:rsidRPr="00AC5EBF">
              <w:rPr>
                <w:rStyle w:val="Hipervnculo"/>
                <w:noProof/>
              </w:rPr>
              <w:t>I.</w:t>
            </w:r>
            <w:r w:rsidR="00CE4A3B">
              <w:rPr>
                <w:rFonts w:asciiTheme="minorHAnsi" w:hAnsiTheme="minorHAnsi"/>
                <w:noProof/>
                <w:szCs w:val="22"/>
              </w:rPr>
              <w:tab/>
            </w:r>
            <w:r w:rsidR="00CE4A3B" w:rsidRPr="00AC5EBF">
              <w:rPr>
                <w:rStyle w:val="Hipervnculo"/>
                <w:noProof/>
              </w:rPr>
              <w:t>Introducción</w:t>
            </w:r>
            <w:r w:rsidR="00CE4A3B">
              <w:rPr>
                <w:noProof/>
                <w:webHidden/>
              </w:rPr>
              <w:tab/>
            </w:r>
            <w:r w:rsidR="00CE4A3B">
              <w:rPr>
                <w:noProof/>
                <w:webHidden/>
              </w:rPr>
              <w:fldChar w:fldCharType="begin"/>
            </w:r>
            <w:r w:rsidR="00CE4A3B">
              <w:rPr>
                <w:noProof/>
                <w:webHidden/>
              </w:rPr>
              <w:instrText xml:space="preserve"> PAGEREF _Toc98321551 \h </w:instrText>
            </w:r>
            <w:r w:rsidR="00CE4A3B">
              <w:rPr>
                <w:noProof/>
                <w:webHidden/>
              </w:rPr>
            </w:r>
            <w:r w:rsidR="00CE4A3B">
              <w:rPr>
                <w:noProof/>
                <w:webHidden/>
              </w:rPr>
              <w:fldChar w:fldCharType="separate"/>
            </w:r>
            <w:r w:rsidR="00F032C0">
              <w:rPr>
                <w:noProof/>
                <w:webHidden/>
              </w:rPr>
              <w:t>2</w:t>
            </w:r>
            <w:r w:rsidR="00CE4A3B">
              <w:rPr>
                <w:noProof/>
                <w:webHidden/>
              </w:rPr>
              <w:fldChar w:fldCharType="end"/>
            </w:r>
          </w:hyperlink>
        </w:p>
        <w:p w:rsidR="00CE4A3B" w:rsidRDefault="00D0408A">
          <w:pPr>
            <w:pStyle w:val="TDC1"/>
            <w:tabs>
              <w:tab w:val="left" w:pos="400"/>
              <w:tab w:val="right" w:pos="9061"/>
            </w:tabs>
            <w:rPr>
              <w:rFonts w:asciiTheme="minorHAnsi" w:hAnsiTheme="minorHAnsi"/>
              <w:noProof/>
              <w:szCs w:val="22"/>
            </w:rPr>
          </w:pPr>
          <w:hyperlink w:anchor="_Toc98321552" w:history="1">
            <w:r w:rsidR="00CE4A3B" w:rsidRPr="00AC5EBF">
              <w:rPr>
                <w:rStyle w:val="Hipervnculo"/>
                <w:noProof/>
              </w:rPr>
              <w:t>II.</w:t>
            </w:r>
            <w:r w:rsidR="00CE4A3B">
              <w:rPr>
                <w:rFonts w:asciiTheme="minorHAnsi" w:hAnsiTheme="minorHAnsi"/>
                <w:noProof/>
                <w:szCs w:val="22"/>
              </w:rPr>
              <w:tab/>
            </w:r>
            <w:r w:rsidR="00CE4A3B" w:rsidRPr="00AC5EBF">
              <w:rPr>
                <w:rStyle w:val="Hipervnculo"/>
                <w:noProof/>
              </w:rPr>
              <w:t>Alcance de la evaluación.</w:t>
            </w:r>
            <w:r w:rsidR="00CE4A3B">
              <w:rPr>
                <w:noProof/>
                <w:webHidden/>
              </w:rPr>
              <w:tab/>
            </w:r>
            <w:r w:rsidR="00CE4A3B">
              <w:rPr>
                <w:noProof/>
                <w:webHidden/>
              </w:rPr>
              <w:fldChar w:fldCharType="begin"/>
            </w:r>
            <w:r w:rsidR="00CE4A3B">
              <w:rPr>
                <w:noProof/>
                <w:webHidden/>
              </w:rPr>
              <w:instrText xml:space="preserve"> PAGEREF _Toc98321552 \h </w:instrText>
            </w:r>
            <w:r w:rsidR="00CE4A3B">
              <w:rPr>
                <w:noProof/>
                <w:webHidden/>
              </w:rPr>
            </w:r>
            <w:r w:rsidR="00CE4A3B">
              <w:rPr>
                <w:noProof/>
                <w:webHidden/>
              </w:rPr>
              <w:fldChar w:fldCharType="separate"/>
            </w:r>
            <w:r w:rsidR="00F032C0">
              <w:rPr>
                <w:noProof/>
                <w:webHidden/>
              </w:rPr>
              <w:t>2</w:t>
            </w:r>
            <w:r w:rsidR="00CE4A3B">
              <w:rPr>
                <w:noProof/>
                <w:webHidden/>
              </w:rPr>
              <w:fldChar w:fldCharType="end"/>
            </w:r>
          </w:hyperlink>
        </w:p>
        <w:p w:rsidR="00CE4A3B" w:rsidRDefault="00D0408A">
          <w:pPr>
            <w:pStyle w:val="TDC2"/>
            <w:tabs>
              <w:tab w:val="right" w:pos="9061"/>
            </w:tabs>
            <w:rPr>
              <w:rFonts w:asciiTheme="minorHAnsi" w:hAnsiTheme="minorHAnsi"/>
              <w:noProof/>
              <w:szCs w:val="22"/>
            </w:rPr>
          </w:pPr>
          <w:hyperlink w:anchor="_Toc98321553" w:history="1">
            <w:r w:rsidR="00CE4A3B" w:rsidRPr="00AC5EBF">
              <w:rPr>
                <w:rStyle w:val="Hipervnculo"/>
                <w:noProof/>
              </w:rPr>
              <w:t>II.1 Entidades incluidas en este grupo de sujetos obligados</w:t>
            </w:r>
            <w:r w:rsidR="00CE4A3B">
              <w:rPr>
                <w:noProof/>
                <w:webHidden/>
              </w:rPr>
              <w:tab/>
            </w:r>
            <w:r w:rsidR="00CE4A3B">
              <w:rPr>
                <w:noProof/>
                <w:webHidden/>
              </w:rPr>
              <w:fldChar w:fldCharType="begin"/>
            </w:r>
            <w:r w:rsidR="00CE4A3B">
              <w:rPr>
                <w:noProof/>
                <w:webHidden/>
              </w:rPr>
              <w:instrText xml:space="preserve"> PAGEREF _Toc98321553 \h </w:instrText>
            </w:r>
            <w:r w:rsidR="00CE4A3B">
              <w:rPr>
                <w:noProof/>
                <w:webHidden/>
              </w:rPr>
            </w:r>
            <w:r w:rsidR="00CE4A3B">
              <w:rPr>
                <w:noProof/>
                <w:webHidden/>
              </w:rPr>
              <w:fldChar w:fldCharType="separate"/>
            </w:r>
            <w:r w:rsidR="00F032C0">
              <w:rPr>
                <w:noProof/>
                <w:webHidden/>
              </w:rPr>
              <w:t>2</w:t>
            </w:r>
            <w:r w:rsidR="00CE4A3B">
              <w:rPr>
                <w:noProof/>
                <w:webHidden/>
              </w:rPr>
              <w:fldChar w:fldCharType="end"/>
            </w:r>
          </w:hyperlink>
        </w:p>
        <w:p w:rsidR="00CE4A3B" w:rsidRDefault="00D0408A">
          <w:pPr>
            <w:pStyle w:val="TDC2"/>
            <w:tabs>
              <w:tab w:val="right" w:pos="9061"/>
            </w:tabs>
            <w:rPr>
              <w:rFonts w:asciiTheme="minorHAnsi" w:hAnsiTheme="minorHAnsi"/>
              <w:noProof/>
              <w:szCs w:val="22"/>
            </w:rPr>
          </w:pPr>
          <w:hyperlink w:anchor="_Toc98321554" w:history="1">
            <w:r w:rsidR="00CE4A3B" w:rsidRPr="00AC5EBF">
              <w:rPr>
                <w:rStyle w:val="Hipervnculo"/>
                <w:noProof/>
              </w:rPr>
              <w:t>II.2 Delimitación de las obligaciones de publicidad activa aplicables.</w:t>
            </w:r>
            <w:r w:rsidR="00CE4A3B">
              <w:rPr>
                <w:noProof/>
                <w:webHidden/>
              </w:rPr>
              <w:tab/>
            </w:r>
            <w:r w:rsidR="00CE4A3B">
              <w:rPr>
                <w:noProof/>
                <w:webHidden/>
              </w:rPr>
              <w:fldChar w:fldCharType="begin"/>
            </w:r>
            <w:r w:rsidR="00CE4A3B">
              <w:rPr>
                <w:noProof/>
                <w:webHidden/>
              </w:rPr>
              <w:instrText xml:space="preserve"> PAGEREF _Toc98321554 \h </w:instrText>
            </w:r>
            <w:r w:rsidR="00CE4A3B">
              <w:rPr>
                <w:noProof/>
                <w:webHidden/>
              </w:rPr>
            </w:r>
            <w:r w:rsidR="00CE4A3B">
              <w:rPr>
                <w:noProof/>
                <w:webHidden/>
              </w:rPr>
              <w:fldChar w:fldCharType="separate"/>
            </w:r>
            <w:r w:rsidR="00F032C0">
              <w:rPr>
                <w:noProof/>
                <w:webHidden/>
              </w:rPr>
              <w:t>3</w:t>
            </w:r>
            <w:r w:rsidR="00CE4A3B">
              <w:rPr>
                <w:noProof/>
                <w:webHidden/>
              </w:rPr>
              <w:fldChar w:fldCharType="end"/>
            </w:r>
          </w:hyperlink>
        </w:p>
        <w:p w:rsidR="00CE4A3B" w:rsidRDefault="00D0408A">
          <w:pPr>
            <w:pStyle w:val="TDC1"/>
            <w:tabs>
              <w:tab w:val="right" w:pos="9061"/>
            </w:tabs>
            <w:rPr>
              <w:rFonts w:asciiTheme="minorHAnsi" w:hAnsiTheme="minorHAnsi"/>
              <w:noProof/>
              <w:szCs w:val="22"/>
            </w:rPr>
          </w:pPr>
          <w:hyperlink w:anchor="_Toc98321555" w:history="1">
            <w:r w:rsidR="00CE4A3B" w:rsidRPr="00AC5EBF">
              <w:rPr>
                <w:rStyle w:val="Hipervnculo"/>
                <w:noProof/>
              </w:rPr>
              <w:t>III. Evaluación del cumplimiento de las obligaciones de publicidad activa por parte de los Órganos Constitucionales y de relevancia constitucional.</w:t>
            </w:r>
            <w:r w:rsidR="00CE4A3B">
              <w:rPr>
                <w:noProof/>
                <w:webHidden/>
              </w:rPr>
              <w:tab/>
            </w:r>
            <w:r w:rsidR="00CE4A3B">
              <w:rPr>
                <w:noProof/>
                <w:webHidden/>
              </w:rPr>
              <w:fldChar w:fldCharType="begin"/>
            </w:r>
            <w:r w:rsidR="00CE4A3B">
              <w:rPr>
                <w:noProof/>
                <w:webHidden/>
              </w:rPr>
              <w:instrText xml:space="preserve"> PAGEREF _Toc98321555 \h </w:instrText>
            </w:r>
            <w:r w:rsidR="00CE4A3B">
              <w:rPr>
                <w:noProof/>
                <w:webHidden/>
              </w:rPr>
            </w:r>
            <w:r w:rsidR="00CE4A3B">
              <w:rPr>
                <w:noProof/>
                <w:webHidden/>
              </w:rPr>
              <w:fldChar w:fldCharType="separate"/>
            </w:r>
            <w:r w:rsidR="00F032C0">
              <w:rPr>
                <w:noProof/>
                <w:webHidden/>
              </w:rPr>
              <w:t>4</w:t>
            </w:r>
            <w:r w:rsidR="00CE4A3B">
              <w:rPr>
                <w:noProof/>
                <w:webHidden/>
              </w:rPr>
              <w:fldChar w:fldCharType="end"/>
            </w:r>
          </w:hyperlink>
        </w:p>
        <w:p w:rsidR="00CE4A3B" w:rsidRDefault="00D0408A">
          <w:pPr>
            <w:pStyle w:val="TDC2"/>
            <w:tabs>
              <w:tab w:val="right" w:pos="9061"/>
            </w:tabs>
            <w:rPr>
              <w:rFonts w:asciiTheme="minorHAnsi" w:hAnsiTheme="minorHAnsi"/>
              <w:noProof/>
              <w:szCs w:val="22"/>
            </w:rPr>
          </w:pPr>
          <w:hyperlink w:anchor="_Toc98321556" w:history="1">
            <w:r w:rsidR="00CE4A3B" w:rsidRPr="00AC5EBF">
              <w:rPr>
                <w:rStyle w:val="Hipervnculo"/>
                <w:noProof/>
              </w:rPr>
              <w:t>III.1. Grado de aplicación de las recomendaciones derivadas de la evaluación 2021.</w:t>
            </w:r>
            <w:r w:rsidR="00CE4A3B">
              <w:rPr>
                <w:noProof/>
                <w:webHidden/>
              </w:rPr>
              <w:tab/>
            </w:r>
            <w:r w:rsidR="00CE4A3B">
              <w:rPr>
                <w:noProof/>
                <w:webHidden/>
              </w:rPr>
              <w:fldChar w:fldCharType="begin"/>
            </w:r>
            <w:r w:rsidR="00CE4A3B">
              <w:rPr>
                <w:noProof/>
                <w:webHidden/>
              </w:rPr>
              <w:instrText xml:space="preserve"> PAGEREF _Toc98321556 \h </w:instrText>
            </w:r>
            <w:r w:rsidR="00CE4A3B">
              <w:rPr>
                <w:noProof/>
                <w:webHidden/>
              </w:rPr>
            </w:r>
            <w:r w:rsidR="00CE4A3B">
              <w:rPr>
                <w:noProof/>
                <w:webHidden/>
              </w:rPr>
              <w:fldChar w:fldCharType="separate"/>
            </w:r>
            <w:r w:rsidR="00F032C0">
              <w:rPr>
                <w:noProof/>
                <w:webHidden/>
              </w:rPr>
              <w:t>4</w:t>
            </w:r>
            <w:r w:rsidR="00CE4A3B">
              <w:rPr>
                <w:noProof/>
                <w:webHidden/>
              </w:rPr>
              <w:fldChar w:fldCharType="end"/>
            </w:r>
          </w:hyperlink>
        </w:p>
        <w:p w:rsidR="00CE4A3B" w:rsidRDefault="00D0408A">
          <w:pPr>
            <w:pStyle w:val="TDC2"/>
            <w:tabs>
              <w:tab w:val="right" w:pos="9061"/>
            </w:tabs>
            <w:rPr>
              <w:rFonts w:asciiTheme="minorHAnsi" w:hAnsiTheme="minorHAnsi"/>
              <w:noProof/>
              <w:szCs w:val="22"/>
            </w:rPr>
          </w:pPr>
          <w:hyperlink w:anchor="_Toc98321557" w:history="1">
            <w:r w:rsidR="00CE4A3B" w:rsidRPr="00AC5EBF">
              <w:rPr>
                <w:rStyle w:val="Hipervnculo"/>
                <w:noProof/>
              </w:rPr>
              <w:t>III.2. Revisión del cumplimiento de las obligaciones de publicidad activa</w:t>
            </w:r>
            <w:r w:rsidR="00CE4A3B">
              <w:rPr>
                <w:noProof/>
                <w:webHidden/>
              </w:rPr>
              <w:tab/>
            </w:r>
            <w:r w:rsidR="00CE4A3B">
              <w:rPr>
                <w:noProof/>
                <w:webHidden/>
              </w:rPr>
              <w:fldChar w:fldCharType="begin"/>
            </w:r>
            <w:r w:rsidR="00CE4A3B">
              <w:rPr>
                <w:noProof/>
                <w:webHidden/>
              </w:rPr>
              <w:instrText xml:space="preserve"> PAGEREF _Toc98321557 \h </w:instrText>
            </w:r>
            <w:r w:rsidR="00CE4A3B">
              <w:rPr>
                <w:noProof/>
                <w:webHidden/>
              </w:rPr>
            </w:r>
            <w:r w:rsidR="00CE4A3B">
              <w:rPr>
                <w:noProof/>
                <w:webHidden/>
              </w:rPr>
              <w:fldChar w:fldCharType="separate"/>
            </w:r>
            <w:r w:rsidR="00F032C0">
              <w:rPr>
                <w:noProof/>
                <w:webHidden/>
              </w:rPr>
              <w:t>6</w:t>
            </w:r>
            <w:r w:rsidR="00CE4A3B">
              <w:rPr>
                <w:noProof/>
                <w:webHidden/>
              </w:rPr>
              <w:fldChar w:fldCharType="end"/>
            </w:r>
          </w:hyperlink>
        </w:p>
        <w:p w:rsidR="00CE4A3B" w:rsidRDefault="00D0408A">
          <w:pPr>
            <w:pStyle w:val="TDC3"/>
            <w:tabs>
              <w:tab w:val="right" w:pos="9061"/>
            </w:tabs>
            <w:rPr>
              <w:rFonts w:asciiTheme="minorHAnsi" w:eastAsiaTheme="minorEastAsia" w:hAnsiTheme="minorHAnsi"/>
              <w:noProof/>
              <w:szCs w:val="22"/>
            </w:rPr>
          </w:pPr>
          <w:hyperlink w:anchor="_Toc98321558" w:history="1">
            <w:r w:rsidR="00CE4A3B" w:rsidRPr="00AC5EBF">
              <w:rPr>
                <w:rStyle w:val="Hipervnculo"/>
                <w:noProof/>
              </w:rPr>
              <w:t>III.2.1.  Información Institucional y Organizativa.</w:t>
            </w:r>
            <w:r w:rsidR="00CE4A3B">
              <w:rPr>
                <w:noProof/>
                <w:webHidden/>
              </w:rPr>
              <w:tab/>
            </w:r>
            <w:r w:rsidR="00CE4A3B">
              <w:rPr>
                <w:noProof/>
                <w:webHidden/>
              </w:rPr>
              <w:fldChar w:fldCharType="begin"/>
            </w:r>
            <w:r w:rsidR="00CE4A3B">
              <w:rPr>
                <w:noProof/>
                <w:webHidden/>
              </w:rPr>
              <w:instrText xml:space="preserve"> PAGEREF _Toc98321558 \h </w:instrText>
            </w:r>
            <w:r w:rsidR="00CE4A3B">
              <w:rPr>
                <w:noProof/>
                <w:webHidden/>
              </w:rPr>
            </w:r>
            <w:r w:rsidR="00CE4A3B">
              <w:rPr>
                <w:noProof/>
                <w:webHidden/>
              </w:rPr>
              <w:fldChar w:fldCharType="separate"/>
            </w:r>
            <w:r w:rsidR="00F032C0">
              <w:rPr>
                <w:noProof/>
                <w:webHidden/>
              </w:rPr>
              <w:t>6</w:t>
            </w:r>
            <w:r w:rsidR="00CE4A3B">
              <w:rPr>
                <w:noProof/>
                <w:webHidden/>
              </w:rPr>
              <w:fldChar w:fldCharType="end"/>
            </w:r>
          </w:hyperlink>
        </w:p>
        <w:p w:rsidR="00CE4A3B" w:rsidRDefault="00D0408A">
          <w:pPr>
            <w:pStyle w:val="TDC3"/>
            <w:tabs>
              <w:tab w:val="right" w:pos="9061"/>
            </w:tabs>
            <w:rPr>
              <w:rFonts w:asciiTheme="minorHAnsi" w:eastAsiaTheme="minorEastAsia" w:hAnsiTheme="minorHAnsi"/>
              <w:noProof/>
              <w:szCs w:val="22"/>
            </w:rPr>
          </w:pPr>
          <w:hyperlink w:anchor="_Toc98321559" w:history="1">
            <w:r w:rsidR="00CE4A3B" w:rsidRPr="00AC5EBF">
              <w:rPr>
                <w:rStyle w:val="Hipervnculo"/>
                <w:noProof/>
              </w:rPr>
              <w:t>III.2.2  Información Económica y Presupuestaria.</w:t>
            </w:r>
            <w:r w:rsidR="00CE4A3B">
              <w:rPr>
                <w:noProof/>
                <w:webHidden/>
              </w:rPr>
              <w:tab/>
            </w:r>
            <w:r w:rsidR="00CE4A3B">
              <w:rPr>
                <w:noProof/>
                <w:webHidden/>
              </w:rPr>
              <w:fldChar w:fldCharType="begin"/>
            </w:r>
            <w:r w:rsidR="00CE4A3B">
              <w:rPr>
                <w:noProof/>
                <w:webHidden/>
              </w:rPr>
              <w:instrText xml:space="preserve"> PAGEREF _Toc98321559 \h </w:instrText>
            </w:r>
            <w:r w:rsidR="00CE4A3B">
              <w:rPr>
                <w:noProof/>
                <w:webHidden/>
              </w:rPr>
            </w:r>
            <w:r w:rsidR="00CE4A3B">
              <w:rPr>
                <w:noProof/>
                <w:webHidden/>
              </w:rPr>
              <w:fldChar w:fldCharType="separate"/>
            </w:r>
            <w:r w:rsidR="00F032C0">
              <w:rPr>
                <w:noProof/>
                <w:webHidden/>
              </w:rPr>
              <w:t>7</w:t>
            </w:r>
            <w:r w:rsidR="00CE4A3B">
              <w:rPr>
                <w:noProof/>
                <w:webHidden/>
              </w:rPr>
              <w:fldChar w:fldCharType="end"/>
            </w:r>
          </w:hyperlink>
        </w:p>
        <w:p w:rsidR="00CE4A3B" w:rsidRDefault="00D0408A">
          <w:pPr>
            <w:pStyle w:val="TDC3"/>
            <w:tabs>
              <w:tab w:val="right" w:pos="9061"/>
            </w:tabs>
            <w:rPr>
              <w:rFonts w:asciiTheme="minorHAnsi" w:eastAsiaTheme="minorEastAsia" w:hAnsiTheme="minorHAnsi"/>
              <w:noProof/>
              <w:szCs w:val="22"/>
            </w:rPr>
          </w:pPr>
          <w:hyperlink w:anchor="_Toc98321560" w:history="1">
            <w:r w:rsidR="00CE4A3B" w:rsidRPr="00AC5EBF">
              <w:rPr>
                <w:rStyle w:val="Hipervnculo"/>
                <w:noProof/>
              </w:rPr>
              <w:t>III.2.3. Índice de Cumplimiento de la Información Obligatoria (ICIO)</w:t>
            </w:r>
            <w:r w:rsidR="00CE4A3B">
              <w:rPr>
                <w:noProof/>
                <w:webHidden/>
              </w:rPr>
              <w:tab/>
            </w:r>
            <w:r w:rsidR="00CE4A3B">
              <w:rPr>
                <w:noProof/>
                <w:webHidden/>
              </w:rPr>
              <w:fldChar w:fldCharType="begin"/>
            </w:r>
            <w:r w:rsidR="00CE4A3B">
              <w:rPr>
                <w:noProof/>
                <w:webHidden/>
              </w:rPr>
              <w:instrText xml:space="preserve"> PAGEREF _Toc98321560 \h </w:instrText>
            </w:r>
            <w:r w:rsidR="00CE4A3B">
              <w:rPr>
                <w:noProof/>
                <w:webHidden/>
              </w:rPr>
            </w:r>
            <w:r w:rsidR="00CE4A3B">
              <w:rPr>
                <w:noProof/>
                <w:webHidden/>
              </w:rPr>
              <w:fldChar w:fldCharType="separate"/>
            </w:r>
            <w:r w:rsidR="00F032C0">
              <w:rPr>
                <w:noProof/>
                <w:webHidden/>
              </w:rPr>
              <w:t>8</w:t>
            </w:r>
            <w:r w:rsidR="00CE4A3B">
              <w:rPr>
                <w:noProof/>
                <w:webHidden/>
              </w:rPr>
              <w:fldChar w:fldCharType="end"/>
            </w:r>
          </w:hyperlink>
        </w:p>
        <w:p w:rsidR="00CE4A3B" w:rsidRDefault="00D0408A">
          <w:pPr>
            <w:pStyle w:val="TDC1"/>
            <w:tabs>
              <w:tab w:val="right" w:pos="9061"/>
            </w:tabs>
            <w:rPr>
              <w:rFonts w:asciiTheme="minorHAnsi" w:hAnsiTheme="minorHAnsi"/>
              <w:noProof/>
              <w:szCs w:val="22"/>
            </w:rPr>
          </w:pPr>
          <w:hyperlink w:anchor="_Toc98321562" w:history="1">
            <w:r w:rsidR="00CE4A3B" w:rsidRPr="00AC5EBF">
              <w:rPr>
                <w:rStyle w:val="Hipervnculo"/>
                <w:noProof/>
              </w:rPr>
              <w:t>IV. Conclusiones y Recomendaciones</w:t>
            </w:r>
            <w:r w:rsidR="00CE4A3B">
              <w:rPr>
                <w:noProof/>
                <w:webHidden/>
              </w:rPr>
              <w:tab/>
            </w:r>
            <w:r w:rsidR="00CE4A3B">
              <w:rPr>
                <w:noProof/>
                <w:webHidden/>
              </w:rPr>
              <w:fldChar w:fldCharType="begin"/>
            </w:r>
            <w:r w:rsidR="00CE4A3B">
              <w:rPr>
                <w:noProof/>
                <w:webHidden/>
              </w:rPr>
              <w:instrText xml:space="preserve"> PAGEREF _Toc98321562 \h </w:instrText>
            </w:r>
            <w:r w:rsidR="00CE4A3B">
              <w:rPr>
                <w:noProof/>
                <w:webHidden/>
              </w:rPr>
            </w:r>
            <w:r w:rsidR="00CE4A3B">
              <w:rPr>
                <w:noProof/>
                <w:webHidden/>
              </w:rPr>
              <w:fldChar w:fldCharType="separate"/>
            </w:r>
            <w:r w:rsidR="00F032C0">
              <w:rPr>
                <w:noProof/>
                <w:webHidden/>
              </w:rPr>
              <w:t>10</w:t>
            </w:r>
            <w:r w:rsidR="00CE4A3B">
              <w:rPr>
                <w:noProof/>
                <w:webHidden/>
              </w:rPr>
              <w:fldChar w:fldCharType="end"/>
            </w:r>
          </w:hyperlink>
        </w:p>
        <w:p w:rsidR="00E924EF" w:rsidRDefault="00E924EF">
          <w:r w:rsidRPr="00A41982">
            <w:rPr>
              <w:b/>
              <w:bCs/>
              <w:sz w:val="20"/>
            </w:rPr>
            <w:fldChar w:fldCharType="end"/>
          </w:r>
        </w:p>
      </w:sdtContent>
    </w:sdt>
    <w:p w:rsidR="00E924EF" w:rsidRDefault="00E924EF">
      <w:pPr>
        <w:jc w:val="left"/>
      </w:pPr>
      <w:r>
        <w:br w:type="page"/>
      </w:r>
    </w:p>
    <w:p w:rsidR="00743995" w:rsidRDefault="005F586A" w:rsidP="000B5A54">
      <w:pPr>
        <w:pStyle w:val="Ttulo1"/>
        <w:numPr>
          <w:ilvl w:val="0"/>
          <w:numId w:val="40"/>
        </w:numPr>
      </w:pPr>
      <w:bookmarkStart w:id="0" w:name="_Toc98321551"/>
      <w:r>
        <w:lastRenderedPageBreak/>
        <w:t>Introducción</w:t>
      </w:r>
      <w:bookmarkEnd w:id="0"/>
    </w:p>
    <w:p w:rsidR="00743995" w:rsidRDefault="00743995"/>
    <w:p w:rsidR="005F586A" w:rsidRDefault="002C07EB">
      <w:r>
        <w:t xml:space="preserve">El presente informe recoge los resultados agregados de la </w:t>
      </w:r>
      <w:r w:rsidR="00BC4003">
        <w:t>revisión del grado de aplicación de las recomendaciones derivadas de la evaluación realizada en 2021</w:t>
      </w:r>
      <w:r w:rsidR="00BC4003" w:rsidRPr="00BC4003">
        <w:t xml:space="preserve"> </w:t>
      </w:r>
      <w:r w:rsidR="00BC4003">
        <w:t>a los órganos constitucionales y de relevancia constitucional y de la re</w:t>
      </w:r>
      <w:r>
        <w:t>evaluación del cumplimiento de las obligaciones de publicidad activa</w:t>
      </w:r>
      <w:r w:rsidR="00BC4003">
        <w:t>, tras la aplicación de dicha recomendaciones</w:t>
      </w:r>
      <w:r>
        <w:t>.</w:t>
      </w:r>
    </w:p>
    <w:p w:rsidR="002C07EB" w:rsidRDefault="001E6796">
      <w:r>
        <w:t>Para l</w:t>
      </w:r>
      <w:r w:rsidR="002C07EB">
        <w:t xml:space="preserve">a evaluación del cumplimiento de las obligaciones de publicidad activa se ha </w:t>
      </w:r>
      <w:r>
        <w:t xml:space="preserve">aplicado la metodología MESTA desarrollada conjuntamente por el CTBG y la extinguida AEVAL. Se ha analizado el grado de publicación de contenidos obligatorios así como el cumplimiento de los criterios en cuanto a la forma de publicación y de los </w:t>
      </w:r>
      <w:r w:rsidR="00F52B23">
        <w:t>atributos</w:t>
      </w:r>
      <w:r>
        <w:t xml:space="preserve"> de calidad aplicables a la información publicada que establece la LTAIBG.</w:t>
      </w:r>
      <w:r w:rsidR="00CE4A3B">
        <w:t xml:space="preserve"> Por otra parte se ha analizado el grado de implantación de las recomendaciones efectuadas en 2021.</w:t>
      </w:r>
    </w:p>
    <w:p w:rsidR="005F586A" w:rsidRDefault="00BC4003">
      <w:r>
        <w:t xml:space="preserve">Esta </w:t>
      </w:r>
      <w:r w:rsidR="000B5590">
        <w:t xml:space="preserve">evaluación </w:t>
      </w:r>
      <w:r>
        <w:t xml:space="preserve">del grado de aplicación de las recomendaciones derivadas de la evaluación 2021 así como la revisión del grado </w:t>
      </w:r>
      <w:r w:rsidR="000B5590">
        <w:t>de cumplimiento de las obligaciones de publicidad activa se ha realizado con recursos propios del CTBG.</w:t>
      </w:r>
    </w:p>
    <w:p w:rsidR="005F586A" w:rsidRDefault="00504935" w:rsidP="00504935">
      <w:pPr>
        <w:pStyle w:val="Ttulo1"/>
        <w:numPr>
          <w:ilvl w:val="0"/>
          <w:numId w:val="40"/>
        </w:numPr>
      </w:pPr>
      <w:bookmarkStart w:id="1" w:name="_Toc98321552"/>
      <w:r w:rsidRPr="00504935">
        <w:t>Alcance de la evaluación</w:t>
      </w:r>
      <w:r w:rsidR="005F586A">
        <w:t>.</w:t>
      </w:r>
      <w:bookmarkEnd w:id="1"/>
    </w:p>
    <w:p w:rsidR="005F586A" w:rsidRDefault="005F586A" w:rsidP="005F586A"/>
    <w:p w:rsidR="005A1B1B" w:rsidRPr="005A1B1B" w:rsidRDefault="005A1B1B" w:rsidP="00504935">
      <w:pPr>
        <w:pStyle w:val="Ttulo2"/>
      </w:pPr>
      <w:bookmarkStart w:id="2" w:name="_Toc62629073"/>
      <w:bookmarkStart w:id="3" w:name="_Toc62645220"/>
      <w:bookmarkStart w:id="4" w:name="_Toc98321553"/>
      <w:r w:rsidRPr="005A1B1B">
        <w:t>II.1 Entidades incluidas en este grupo de sujetos obligados</w:t>
      </w:r>
      <w:bookmarkEnd w:id="2"/>
      <w:bookmarkEnd w:id="3"/>
      <w:bookmarkEnd w:id="4"/>
    </w:p>
    <w:p w:rsidR="005A1B1B" w:rsidRPr="005A1B1B" w:rsidRDefault="005A1B1B" w:rsidP="005A1B1B">
      <w:pPr>
        <w:spacing w:after="0"/>
        <w:outlineLvl w:val="1"/>
        <w:rPr>
          <w:rFonts w:asciiTheme="majorHAnsi" w:hAnsiTheme="majorHAnsi"/>
          <w:b/>
          <w:color w:val="438086" w:themeColor="accent2"/>
          <w:sz w:val="28"/>
          <w:szCs w:val="28"/>
        </w:rPr>
      </w:pPr>
    </w:p>
    <w:p w:rsidR="005A1B1B" w:rsidRPr="005A1B1B" w:rsidRDefault="005A1B1B" w:rsidP="005A1B1B">
      <w:r w:rsidRPr="005A1B1B">
        <w:t>Las instituciones comprendidas en este grupo de sujetos obligados son:</w:t>
      </w:r>
    </w:p>
    <w:p w:rsidR="005A1B1B" w:rsidRDefault="005A1B1B" w:rsidP="005A1B1B">
      <w:pPr>
        <w:numPr>
          <w:ilvl w:val="0"/>
          <w:numId w:val="41"/>
        </w:numPr>
        <w:contextualSpacing/>
      </w:pPr>
      <w:r w:rsidRPr="005A1B1B">
        <w:t>Casa de su Majestad el Rey</w:t>
      </w:r>
    </w:p>
    <w:p w:rsidR="004D1D09" w:rsidRDefault="004D1D09" w:rsidP="004D1D09">
      <w:pPr>
        <w:numPr>
          <w:ilvl w:val="0"/>
          <w:numId w:val="41"/>
        </w:numPr>
        <w:contextualSpacing/>
      </w:pPr>
      <w:r w:rsidRPr="004D1D09">
        <w:t>Congreso de los Diputados</w:t>
      </w:r>
    </w:p>
    <w:p w:rsidR="004D1D09" w:rsidRPr="005A1B1B" w:rsidRDefault="004D1D09" w:rsidP="004D1D09">
      <w:pPr>
        <w:numPr>
          <w:ilvl w:val="0"/>
          <w:numId w:val="41"/>
        </w:numPr>
        <w:contextualSpacing/>
      </w:pPr>
      <w:r>
        <w:t>Senado</w:t>
      </w:r>
    </w:p>
    <w:p w:rsidR="005A1B1B" w:rsidRPr="005A1B1B" w:rsidRDefault="005A1B1B" w:rsidP="005A1B1B">
      <w:pPr>
        <w:numPr>
          <w:ilvl w:val="0"/>
          <w:numId w:val="41"/>
        </w:numPr>
        <w:contextualSpacing/>
      </w:pPr>
      <w:r w:rsidRPr="005A1B1B">
        <w:t>Tribunal Constitucional</w:t>
      </w:r>
    </w:p>
    <w:p w:rsidR="005A1B1B" w:rsidRPr="005A1B1B" w:rsidRDefault="004D1D09" w:rsidP="004D1D09">
      <w:pPr>
        <w:numPr>
          <w:ilvl w:val="0"/>
          <w:numId w:val="41"/>
        </w:numPr>
        <w:contextualSpacing/>
      </w:pPr>
      <w:r w:rsidRPr="004D1D09">
        <w:t>Consejo General del Poder Judicial</w:t>
      </w:r>
    </w:p>
    <w:p w:rsidR="004F7D22" w:rsidRDefault="004D1D09" w:rsidP="004D1D09">
      <w:pPr>
        <w:numPr>
          <w:ilvl w:val="0"/>
          <w:numId w:val="41"/>
        </w:numPr>
        <w:contextualSpacing/>
      </w:pPr>
      <w:r w:rsidRPr="004D1D09">
        <w:t xml:space="preserve">Consejo de Estado </w:t>
      </w:r>
    </w:p>
    <w:p w:rsidR="004D1D09" w:rsidRDefault="005A1B1B" w:rsidP="004D1D09">
      <w:pPr>
        <w:numPr>
          <w:ilvl w:val="0"/>
          <w:numId w:val="41"/>
        </w:numPr>
        <w:contextualSpacing/>
      </w:pPr>
      <w:r w:rsidRPr="005A1B1B">
        <w:t>Tribunal de Cuentas</w:t>
      </w:r>
    </w:p>
    <w:p w:rsidR="004D1D09" w:rsidRPr="004D1D09" w:rsidRDefault="004D1D09" w:rsidP="004D1D09">
      <w:pPr>
        <w:numPr>
          <w:ilvl w:val="0"/>
          <w:numId w:val="41"/>
        </w:numPr>
        <w:contextualSpacing/>
      </w:pPr>
      <w:r w:rsidRPr="004D1D09">
        <w:t>Fiscalía General del Estado</w:t>
      </w:r>
    </w:p>
    <w:p w:rsidR="005A1B1B" w:rsidRPr="005A1B1B" w:rsidRDefault="005A1B1B" w:rsidP="005A1B1B">
      <w:pPr>
        <w:numPr>
          <w:ilvl w:val="0"/>
          <w:numId w:val="41"/>
        </w:numPr>
        <w:contextualSpacing/>
      </w:pPr>
      <w:r w:rsidRPr="005A1B1B">
        <w:t>Defensor del Pueblo</w:t>
      </w:r>
    </w:p>
    <w:p w:rsidR="005A1B1B" w:rsidRDefault="00500E35" w:rsidP="005A1B1B">
      <w:pPr>
        <w:numPr>
          <w:ilvl w:val="0"/>
          <w:numId w:val="41"/>
        </w:numPr>
        <w:contextualSpacing/>
      </w:pPr>
      <w:r>
        <w:t>C</w:t>
      </w:r>
      <w:r w:rsidR="005A1B1B" w:rsidRPr="005A1B1B">
        <w:t>onsejo Económico y Social</w:t>
      </w:r>
    </w:p>
    <w:p w:rsidR="00CE4A3B" w:rsidRDefault="00CE4A3B" w:rsidP="00CE4A3B">
      <w:pPr>
        <w:contextualSpacing/>
      </w:pPr>
    </w:p>
    <w:p w:rsidR="00CE4A3B" w:rsidRDefault="00CE4A3B" w:rsidP="00CE4A3B">
      <w:pPr>
        <w:contextualSpacing/>
      </w:pPr>
    </w:p>
    <w:p w:rsidR="00CE4A3B" w:rsidRDefault="00CE4A3B" w:rsidP="00CE4A3B">
      <w:pPr>
        <w:contextualSpacing/>
      </w:pPr>
    </w:p>
    <w:p w:rsidR="005A1B1B" w:rsidRDefault="005A1B1B" w:rsidP="00683852"/>
    <w:p w:rsidR="005A1B1B" w:rsidRPr="005A1B1B" w:rsidRDefault="005A1B1B" w:rsidP="00504935">
      <w:pPr>
        <w:pStyle w:val="Ttulo2"/>
      </w:pPr>
      <w:bookmarkStart w:id="5" w:name="_Toc98321554"/>
      <w:r w:rsidRPr="005A1B1B">
        <w:lastRenderedPageBreak/>
        <w:t xml:space="preserve">II.2 </w:t>
      </w:r>
      <w:r w:rsidR="004A60E2">
        <w:t>Delimitación de las obligaciones de publicidad activa aplicables.</w:t>
      </w:r>
      <w:bookmarkEnd w:id="5"/>
    </w:p>
    <w:p w:rsidR="00504935" w:rsidRDefault="00504935" w:rsidP="00683852"/>
    <w:p w:rsidR="00C12FE5" w:rsidRDefault="00BC4003" w:rsidP="00504935">
      <w:r>
        <w:t>Al igual que en 2021, e</w:t>
      </w:r>
      <w:r w:rsidR="003D5691">
        <w:t xml:space="preserve">l alcance de la evaluación se </w:t>
      </w:r>
      <w:r w:rsidR="00CE43A8">
        <w:t xml:space="preserve">ha </w:t>
      </w:r>
      <w:r w:rsidR="003D5691">
        <w:t>definido en función de las obligaciones de publicidad activa que son aplicables a este grupo de sujetos obligados</w:t>
      </w:r>
      <w:r w:rsidR="00C12FE5">
        <w:t>. En el caso de los Órganos Constitucionales</w:t>
      </w:r>
      <w:r w:rsidR="001F5549">
        <w:rPr>
          <w:rStyle w:val="Refdenotaalpie"/>
        </w:rPr>
        <w:footnoteReference w:id="1"/>
      </w:r>
      <w:r w:rsidR="00C12FE5">
        <w:t xml:space="preserve"> </w:t>
      </w:r>
      <w:r w:rsidR="00C12FE5" w:rsidRPr="00C12FE5">
        <w:t>la obligación de publicar se circunscribe a sus actividades sujetas a derecho administrativo, no a aquellas otras que desarrollen en cumplimiento de las funciones que constitucionalmente tienen encomendadas.</w:t>
      </w:r>
      <w:r w:rsidR="00C12FE5">
        <w:t xml:space="preserve"> </w:t>
      </w:r>
    </w:p>
    <w:p w:rsidR="008A74FD" w:rsidRDefault="00C12FE5" w:rsidP="00683852">
      <w:r>
        <w:t>Por otra parte no todas las informaciones obligatorias establecidas por la LTAIBG son de aplicación a este grupo de sujetos obligados. Dentro del bloque de obligaciones Información Institucional, Organizativa y de Planificación (en adelante IOP), no les son aplicables las informaciones relativas a planificación y están exentos de publica</w:t>
      </w:r>
      <w:r w:rsidR="00506ABD">
        <w:t>r</w:t>
      </w:r>
      <w:r>
        <w:t xml:space="preserve"> las informaciones de relevancia jurídica (en adelante, IRJ), aplicables solo a las entidades que el artículo 2.2 de la LTAIBG encuadra en el concepto de administraciones públicas. </w:t>
      </w:r>
    </w:p>
    <w:p w:rsidR="008A74FD" w:rsidRDefault="00C12FE5" w:rsidP="00683852">
      <w:r>
        <w:t xml:space="preserve">En el caso de la Información Económica, Presupuestaria y Estadística (en adelante EPE) no están obligados a publicar </w:t>
      </w:r>
      <w:r w:rsidR="00C95495">
        <w:t xml:space="preserve">la información sobre </w:t>
      </w:r>
      <w:r w:rsidR="00506ABD">
        <w:t>e</w:t>
      </w:r>
      <w:r w:rsidR="00C95495">
        <w:t xml:space="preserve">ncomiendas </w:t>
      </w:r>
      <w:r w:rsidR="00506ABD">
        <w:t>de gestión</w:t>
      </w:r>
      <w:r w:rsidR="00C95495">
        <w:t xml:space="preserve">, las cuentas anuales y los informes de auditoría de cuentas efectuados por órganos de control externo, </w:t>
      </w:r>
      <w:r w:rsidR="007E1A7A">
        <w:t xml:space="preserve">el cumplimiento de los objetivos </w:t>
      </w:r>
      <w:r w:rsidR="001D364C">
        <w:t xml:space="preserve">de </w:t>
      </w:r>
      <w:r w:rsidR="001D364C" w:rsidRPr="001D364C">
        <w:t>estabilidad presupuestaria y sostenibilidad financiera</w:t>
      </w:r>
      <w:r w:rsidR="007E1A7A">
        <w:t>, la información estadística relativa al cumplimiento y calidad de los servicios que prestan y la información patrimonial.</w:t>
      </w:r>
      <w:r w:rsidR="00504935">
        <w:t xml:space="preserve"> </w:t>
      </w:r>
    </w:p>
    <w:p w:rsidR="003D5691" w:rsidRDefault="00504935" w:rsidP="00683852">
      <w:r>
        <w:t>En el caso de los órganos constitucionales</w:t>
      </w:r>
      <w:r w:rsidR="008A74FD">
        <w:t xml:space="preserve"> en sentido estricto</w:t>
      </w:r>
      <w:r>
        <w:t xml:space="preserve"> no les es de aplicación </w:t>
      </w:r>
      <w:r w:rsidRPr="00504935">
        <w:t>el artículo 15 de la Ley 3/2015, reguladora del Alto Cargo en la Administración General del Estado,</w:t>
      </w:r>
      <w:r>
        <w:t xml:space="preserve"> y por lo tanto no tienen la obligación de publicar las autorizaciones para el ejercicio de actividades privadas al cese de altos cargos</w:t>
      </w:r>
      <w:r w:rsidRPr="00504935">
        <w:t>.</w:t>
      </w:r>
    </w:p>
    <w:p w:rsidR="007E1A7A" w:rsidRDefault="007E1A7A" w:rsidP="00683852">
      <w:r>
        <w:t>El siguiente cuadro recoge las obligaciones de publicidad activa que son aplicables a los Órganos Constitucionales y de relevancia constitucional</w:t>
      </w:r>
      <w:r w:rsidR="005A1B1B">
        <w:t>.</w:t>
      </w:r>
    </w:p>
    <w:p w:rsidR="008A74FD" w:rsidRDefault="008A74FD" w:rsidP="005A1B1B">
      <w:pPr>
        <w:pStyle w:val="Epgrafe"/>
        <w:keepNext/>
        <w:rPr>
          <w:color w:val="325F64" w:themeColor="accent2" w:themeShade="BF"/>
          <w:sz w:val="22"/>
          <w:szCs w:val="22"/>
        </w:rPr>
      </w:pPr>
    </w:p>
    <w:p w:rsidR="008A74FD" w:rsidRDefault="008A74FD" w:rsidP="008A74FD"/>
    <w:p w:rsidR="008A74FD" w:rsidRPr="008A74FD" w:rsidRDefault="008A74FD" w:rsidP="008A74FD"/>
    <w:p w:rsidR="008A74FD" w:rsidRDefault="008A74FD" w:rsidP="005A1B1B">
      <w:pPr>
        <w:pStyle w:val="Epgrafe"/>
        <w:keepNext/>
        <w:rPr>
          <w:color w:val="325F64" w:themeColor="accent2" w:themeShade="BF"/>
          <w:sz w:val="22"/>
          <w:szCs w:val="22"/>
        </w:rPr>
      </w:pPr>
    </w:p>
    <w:p w:rsidR="008A74FD" w:rsidRDefault="008A74FD" w:rsidP="005A1B1B">
      <w:pPr>
        <w:pStyle w:val="Epgrafe"/>
        <w:keepNext/>
        <w:rPr>
          <w:color w:val="325F64" w:themeColor="accent2" w:themeShade="BF"/>
          <w:sz w:val="22"/>
          <w:szCs w:val="22"/>
        </w:rPr>
      </w:pPr>
    </w:p>
    <w:p w:rsidR="008A74FD" w:rsidRPr="008A74FD" w:rsidRDefault="008A74FD" w:rsidP="008A74FD"/>
    <w:p w:rsidR="005A1B1B" w:rsidRPr="005A1B1B" w:rsidRDefault="005A1B1B" w:rsidP="005A1B1B">
      <w:pPr>
        <w:pStyle w:val="Epgrafe"/>
        <w:keepNext/>
        <w:rPr>
          <w:color w:val="325F64" w:themeColor="accent2" w:themeShade="BF"/>
          <w:sz w:val="22"/>
          <w:szCs w:val="22"/>
        </w:rPr>
      </w:pPr>
      <w:r w:rsidRPr="005A1B1B">
        <w:rPr>
          <w:color w:val="325F64" w:themeColor="accent2" w:themeShade="BF"/>
          <w:sz w:val="22"/>
          <w:szCs w:val="22"/>
        </w:rPr>
        <w:lastRenderedPageBreak/>
        <w:t xml:space="preserve">Cuadro </w:t>
      </w:r>
      <w:r w:rsidRPr="005A1B1B">
        <w:rPr>
          <w:color w:val="325F64" w:themeColor="accent2" w:themeShade="BF"/>
          <w:sz w:val="22"/>
          <w:szCs w:val="22"/>
        </w:rPr>
        <w:fldChar w:fldCharType="begin"/>
      </w:r>
      <w:r w:rsidRPr="005A1B1B">
        <w:rPr>
          <w:color w:val="325F64" w:themeColor="accent2" w:themeShade="BF"/>
          <w:sz w:val="22"/>
          <w:szCs w:val="22"/>
        </w:rPr>
        <w:instrText xml:space="preserve"> SEQ Cuadro \* ARABIC </w:instrText>
      </w:r>
      <w:r w:rsidRPr="005A1B1B">
        <w:rPr>
          <w:color w:val="325F64" w:themeColor="accent2" w:themeShade="BF"/>
          <w:sz w:val="22"/>
          <w:szCs w:val="22"/>
        </w:rPr>
        <w:fldChar w:fldCharType="separate"/>
      </w:r>
      <w:r w:rsidR="00DD555A">
        <w:rPr>
          <w:noProof/>
          <w:color w:val="325F64" w:themeColor="accent2" w:themeShade="BF"/>
          <w:sz w:val="22"/>
          <w:szCs w:val="22"/>
        </w:rPr>
        <w:t>1</w:t>
      </w:r>
      <w:r w:rsidRPr="005A1B1B">
        <w:rPr>
          <w:color w:val="325F64" w:themeColor="accent2" w:themeShade="BF"/>
          <w:sz w:val="22"/>
          <w:szCs w:val="22"/>
        </w:rPr>
        <w:fldChar w:fldCharType="end"/>
      </w:r>
      <w:r w:rsidRPr="005A1B1B">
        <w:rPr>
          <w:color w:val="325F64" w:themeColor="accent2" w:themeShade="BF"/>
          <w:sz w:val="22"/>
          <w:szCs w:val="22"/>
        </w:rPr>
        <w:t xml:space="preserve">: Obligaciones de publicidad activa aplicables a los Órganos Constitucionales </w:t>
      </w:r>
    </w:p>
    <w:tbl>
      <w:tblPr>
        <w:tblStyle w:val="Tablaconcuadrcula1"/>
        <w:tblW w:w="9322" w:type="dxa"/>
        <w:tblBorders>
          <w:top w:val="none" w:sz="0" w:space="0" w:color="auto"/>
          <w:left w:val="none" w:sz="0" w:space="0" w:color="auto"/>
          <w:bottom w:val="single" w:sz="4" w:space="0" w:color="FFFFFF" w:themeColor="background1"/>
          <w:right w:val="none" w:sz="0" w:space="0" w:color="auto"/>
          <w:insideH w:val="none" w:sz="0" w:space="0" w:color="auto"/>
          <w:insideV w:val="none" w:sz="0" w:space="0" w:color="auto"/>
        </w:tblBorders>
        <w:tblLook w:val="04A0" w:firstRow="1" w:lastRow="0" w:firstColumn="1" w:lastColumn="0" w:noHBand="0" w:noVBand="1"/>
      </w:tblPr>
      <w:tblGrid>
        <w:gridCol w:w="2093"/>
        <w:gridCol w:w="7229"/>
      </w:tblGrid>
      <w:tr w:rsidR="00F931F3" w:rsidRPr="00F931F3" w:rsidTr="00F931F3">
        <w:tc>
          <w:tcPr>
            <w:tcW w:w="2093" w:type="dxa"/>
            <w:tcBorders>
              <w:top w:val="nil"/>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r w:rsidRPr="00F931F3">
              <w:rPr>
                <w:rFonts w:cs="Times New Roman"/>
                <w:b/>
                <w:color w:val="FFFFFF"/>
                <w:sz w:val="20"/>
              </w:rPr>
              <w:t>Bloque de obligaciones</w:t>
            </w:r>
          </w:p>
        </w:tc>
        <w:tc>
          <w:tcPr>
            <w:tcW w:w="7229" w:type="dxa"/>
            <w:tcBorders>
              <w:top w:val="nil"/>
              <w:bottom w:val="single" w:sz="4" w:space="0" w:color="F2F2F2" w:themeColor="background1" w:themeShade="F2"/>
              <w:right w:val="single" w:sz="4" w:space="0" w:color="438086" w:themeColor="accent2"/>
            </w:tcBorders>
            <w:shd w:val="clear" w:color="auto" w:fill="438086" w:themeFill="accent2"/>
          </w:tcPr>
          <w:p w:rsidR="00F931F3" w:rsidRPr="00F931F3" w:rsidRDefault="00F931F3" w:rsidP="00C12FE5">
            <w:pPr>
              <w:jc w:val="center"/>
              <w:rPr>
                <w:rFonts w:cs="Times New Roman"/>
                <w:b/>
                <w:color w:val="FFFFFF"/>
                <w:sz w:val="20"/>
              </w:rPr>
            </w:pPr>
            <w:r w:rsidRPr="00F931F3">
              <w:rPr>
                <w:rFonts w:cs="Times New Roman"/>
                <w:b/>
                <w:color w:val="FFFFFF"/>
                <w:sz w:val="20"/>
              </w:rPr>
              <w:t>Obligaciones</w:t>
            </w:r>
          </w:p>
        </w:tc>
      </w:tr>
      <w:tr w:rsidR="00F931F3" w:rsidRPr="00F931F3" w:rsidTr="00F931F3">
        <w:tc>
          <w:tcPr>
            <w:tcW w:w="2093" w:type="dxa"/>
            <w:vMerge w:val="restart"/>
            <w:tcBorders>
              <w:top w:val="single" w:sz="4" w:space="0" w:color="F2F2F2" w:themeColor="background1" w:themeShade="F2"/>
              <w:bottom w:val="single" w:sz="4" w:space="0" w:color="F2F2F2" w:themeColor="background1" w:themeShade="F2"/>
            </w:tcBorders>
            <w:shd w:val="clear" w:color="auto" w:fill="438086" w:themeFill="accent2"/>
            <w:textDirection w:val="btLr"/>
          </w:tcPr>
          <w:p w:rsidR="00F931F3" w:rsidRPr="00F931F3" w:rsidRDefault="00F931F3" w:rsidP="00F931F3">
            <w:pPr>
              <w:ind w:left="113" w:right="113"/>
              <w:jc w:val="center"/>
              <w:rPr>
                <w:rFonts w:cs="Times New Roman"/>
                <w:b/>
                <w:color w:val="FFFFFF"/>
                <w:sz w:val="20"/>
              </w:rPr>
            </w:pPr>
            <w:r w:rsidRPr="00F931F3">
              <w:rPr>
                <w:rFonts w:cs="Times New Roman"/>
                <w:b/>
                <w:color w:val="FFFFFF"/>
                <w:sz w:val="20"/>
              </w:rPr>
              <w:t>Institucional, Organizativa. Registro de Actividades de Tratamiento</w:t>
            </w:r>
          </w:p>
        </w:tc>
        <w:tc>
          <w:tcPr>
            <w:tcW w:w="7229" w:type="dxa"/>
            <w:tcBorders>
              <w:top w:val="single" w:sz="4" w:space="0" w:color="F2F2F2" w:themeColor="background1" w:themeShade="F2"/>
              <w:bottom w:val="nil"/>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Normativa aplicable</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nil"/>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Funciones</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nil"/>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Registro de Actividades de Tratamiento</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nil"/>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Descripción estructura organizativa</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nil"/>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Organigrama</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nil"/>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Identificación Responsables</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single" w:sz="4" w:space="0" w:color="438086" w:themeColor="accent2"/>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Perfil y trayectoria profesional responsables</w:t>
            </w:r>
          </w:p>
        </w:tc>
      </w:tr>
      <w:tr w:rsidR="00F931F3" w:rsidRPr="00F931F3" w:rsidTr="00F931F3">
        <w:tc>
          <w:tcPr>
            <w:tcW w:w="2093" w:type="dxa"/>
            <w:vMerge w:val="restart"/>
            <w:tcBorders>
              <w:bottom w:val="single" w:sz="4" w:space="0" w:color="F2F2F2" w:themeColor="background1" w:themeShade="F2"/>
            </w:tcBorders>
            <w:shd w:val="clear" w:color="auto" w:fill="438086" w:themeFill="accent2"/>
            <w:textDirection w:val="btLr"/>
          </w:tcPr>
          <w:p w:rsidR="00F931F3" w:rsidRDefault="00F931F3" w:rsidP="00C12FE5">
            <w:pPr>
              <w:ind w:left="113" w:right="113"/>
              <w:jc w:val="center"/>
              <w:rPr>
                <w:rFonts w:cs="Times New Roman"/>
                <w:b/>
                <w:color w:val="FFFFFF"/>
                <w:sz w:val="20"/>
              </w:rPr>
            </w:pPr>
            <w:r w:rsidRPr="00F931F3">
              <w:rPr>
                <w:rFonts w:cs="Times New Roman"/>
                <w:b/>
                <w:color w:val="FFFFFF"/>
                <w:sz w:val="20"/>
              </w:rPr>
              <w:t xml:space="preserve">Económica, Presupuestaria y </w:t>
            </w:r>
          </w:p>
          <w:p w:rsidR="00F931F3" w:rsidRPr="00F931F3" w:rsidRDefault="00F931F3" w:rsidP="00C12FE5">
            <w:pPr>
              <w:ind w:left="113" w:right="113"/>
              <w:jc w:val="center"/>
              <w:rPr>
                <w:rFonts w:cs="Times New Roman"/>
                <w:b/>
                <w:color w:val="FFFFFF"/>
                <w:sz w:val="20"/>
              </w:rPr>
            </w:pPr>
            <w:r w:rsidRPr="00F931F3">
              <w:rPr>
                <w:rFonts w:cs="Times New Roman"/>
                <w:b/>
                <w:color w:val="FFFFFF"/>
                <w:sz w:val="20"/>
              </w:rPr>
              <w:t>Estadística</w:t>
            </w:r>
          </w:p>
        </w:tc>
        <w:tc>
          <w:tcPr>
            <w:tcW w:w="7229" w:type="dxa"/>
            <w:tcBorders>
              <w:top w:val="single" w:sz="4" w:space="0" w:color="438086" w:themeColor="accent2"/>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 xml:space="preserve">Contratos </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 xml:space="preserve">Modificaciones  de contratos </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 xml:space="preserve">Desistimientos y Renuncias </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Datos estadísticos sobre contratos</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Contratos Menores</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Relación de los convenios suscritos</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 xml:space="preserve">Subvenciones y ayudas públicas </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Presupuestos</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Ejecución presupuestaria</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Retribuciones anuales Altos Cargos y máximos responsables</w:t>
            </w:r>
          </w:p>
        </w:tc>
      </w:tr>
      <w:tr w:rsidR="00F931F3" w:rsidRPr="00F931F3" w:rsidTr="00F931F3">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 xml:space="preserve">Indemnizaciones percibidas por Altos Cargos </w:t>
            </w:r>
            <w:r w:rsidR="00506ABD">
              <w:rPr>
                <w:rFonts w:cs="Times New Roman"/>
                <w:sz w:val="20"/>
              </w:rPr>
              <w:t xml:space="preserve">y máximos responsables </w:t>
            </w:r>
            <w:r w:rsidRPr="00F931F3">
              <w:rPr>
                <w:rFonts w:cs="Times New Roman"/>
                <w:sz w:val="20"/>
              </w:rPr>
              <w:t>con ocasión del abandono del cargo</w:t>
            </w:r>
          </w:p>
        </w:tc>
      </w:tr>
      <w:tr w:rsidR="00F931F3" w:rsidRPr="00F931F3" w:rsidTr="00053BF4">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nil"/>
              <w:right w:val="single" w:sz="4" w:space="0" w:color="438086" w:themeColor="accent2"/>
            </w:tcBorders>
          </w:tcPr>
          <w:p w:rsidR="00F931F3" w:rsidRPr="00F931F3" w:rsidRDefault="00F931F3" w:rsidP="00C12FE5">
            <w:pPr>
              <w:jc w:val="left"/>
              <w:rPr>
                <w:rFonts w:cs="Times New Roman"/>
                <w:sz w:val="20"/>
              </w:rPr>
            </w:pPr>
            <w:r w:rsidRPr="00F931F3">
              <w:rPr>
                <w:rFonts w:cs="Times New Roman"/>
                <w:sz w:val="20"/>
              </w:rPr>
              <w:t>Resoluciones de autorización o reconocimiento de compatibilidad de empleados.</w:t>
            </w:r>
          </w:p>
        </w:tc>
      </w:tr>
      <w:tr w:rsidR="00F931F3" w:rsidRPr="00F931F3" w:rsidTr="00053BF4">
        <w:tc>
          <w:tcPr>
            <w:tcW w:w="2093" w:type="dxa"/>
            <w:vMerge/>
            <w:tcBorders>
              <w:bottom w:val="single" w:sz="4" w:space="0" w:color="F2F2F2" w:themeColor="background1" w:themeShade="F2"/>
            </w:tcBorders>
            <w:shd w:val="clear" w:color="auto" w:fill="438086" w:themeFill="accent2"/>
          </w:tcPr>
          <w:p w:rsidR="00F931F3" w:rsidRPr="00F931F3" w:rsidRDefault="00F931F3" w:rsidP="00C12FE5">
            <w:pPr>
              <w:jc w:val="left"/>
              <w:rPr>
                <w:rFonts w:cs="Times New Roman"/>
                <w:b/>
                <w:color w:val="FFFFFF"/>
                <w:sz w:val="20"/>
              </w:rPr>
            </w:pPr>
          </w:p>
        </w:tc>
        <w:tc>
          <w:tcPr>
            <w:tcW w:w="7229" w:type="dxa"/>
            <w:tcBorders>
              <w:bottom w:val="single" w:sz="4" w:space="0" w:color="438086" w:themeColor="accent2"/>
              <w:right w:val="single" w:sz="4" w:space="0" w:color="438086" w:themeColor="accent2"/>
            </w:tcBorders>
          </w:tcPr>
          <w:p w:rsidR="00F931F3" w:rsidRPr="00F931F3" w:rsidRDefault="00F931F3" w:rsidP="00C12FE5">
            <w:pPr>
              <w:jc w:val="left"/>
              <w:rPr>
                <w:rFonts w:cs="Times New Roman"/>
                <w:sz w:val="20"/>
              </w:rPr>
            </w:pPr>
          </w:p>
        </w:tc>
      </w:tr>
    </w:tbl>
    <w:p w:rsidR="00F931F3" w:rsidRDefault="00F931F3" w:rsidP="00683852"/>
    <w:p w:rsidR="00BD3DF5" w:rsidRDefault="003220BF" w:rsidP="00683852">
      <w:r>
        <w:t xml:space="preserve">Además pueden existir </w:t>
      </w:r>
      <w:r w:rsidR="00500E35">
        <w:t>ámbitos en los</w:t>
      </w:r>
      <w:r w:rsidR="006B7A84">
        <w:t xml:space="preserve"> que </w:t>
      </w:r>
      <w:r>
        <w:t xml:space="preserve">la institución carezca de competencias </w:t>
      </w:r>
      <w:r w:rsidR="000F6C27">
        <w:t>para desarrollar las a</w:t>
      </w:r>
      <w:r w:rsidR="006B7A84">
        <w:t>ctividades a las que se refiere una determinada obligación de publicidad activa</w:t>
      </w:r>
      <w:r w:rsidR="00504935">
        <w:t xml:space="preserve"> </w:t>
      </w:r>
      <w:r w:rsidR="006B7A84">
        <w:t>o</w:t>
      </w:r>
      <w:r w:rsidR="00504935">
        <w:t xml:space="preserve"> porque en </w:t>
      </w:r>
      <w:r w:rsidR="006B7A84">
        <w:t>un</w:t>
      </w:r>
      <w:r w:rsidR="00504935">
        <w:t xml:space="preserve"> ámbito concreto no haya existido actividad</w:t>
      </w:r>
      <w:r w:rsidR="000F6C27">
        <w:t xml:space="preserve"> –por ejemplo, que no se haya celebrado </w:t>
      </w:r>
      <w:r w:rsidR="00174861">
        <w:t>ningún convenio de colaboración</w:t>
      </w:r>
      <w:r w:rsidR="00504935">
        <w:t xml:space="preserve"> </w:t>
      </w:r>
      <w:r w:rsidR="006B7A84">
        <w:t>– o porque la información no sea publicable por existir algún tipo de restricción legal</w:t>
      </w:r>
      <w:r w:rsidR="00174861">
        <w:t>.</w:t>
      </w:r>
    </w:p>
    <w:p w:rsidR="006B7A84" w:rsidRDefault="006B7A84" w:rsidP="00683852"/>
    <w:p w:rsidR="00683852" w:rsidRDefault="00683852" w:rsidP="00504935">
      <w:pPr>
        <w:pStyle w:val="Ttulo1"/>
      </w:pPr>
      <w:bookmarkStart w:id="6" w:name="_Toc98321555"/>
      <w:r>
        <w:t>II</w:t>
      </w:r>
      <w:r w:rsidR="00504935">
        <w:t>I</w:t>
      </w:r>
      <w:r w:rsidR="008E5FF1">
        <w:t>.</w:t>
      </w:r>
      <w:r w:rsidRPr="00090A3E">
        <w:t xml:space="preserve"> Evaluación del cumplimiento de las obligaciones de publicidad activa</w:t>
      </w:r>
      <w:r>
        <w:t xml:space="preserve"> por parte de los Órganos Constitucionales y de relevancia constitucional.</w:t>
      </w:r>
      <w:bookmarkEnd w:id="6"/>
    </w:p>
    <w:p w:rsidR="00683852" w:rsidRPr="00683852" w:rsidRDefault="00683852" w:rsidP="00683852"/>
    <w:p w:rsidR="00090A3E" w:rsidRDefault="00504935" w:rsidP="00504935">
      <w:pPr>
        <w:pStyle w:val="Ttulo2"/>
      </w:pPr>
      <w:bookmarkStart w:id="7" w:name="_Toc98321556"/>
      <w:r>
        <w:t>III</w:t>
      </w:r>
      <w:r w:rsidR="00090A3E">
        <w:t xml:space="preserve">.1. </w:t>
      </w:r>
      <w:r w:rsidR="00336A93">
        <w:t>Grado de aplicación de las recomendaciones derivadas de la evaluación 2021.</w:t>
      </w:r>
      <w:bookmarkEnd w:id="7"/>
    </w:p>
    <w:p w:rsidR="00090A3E" w:rsidRDefault="00090A3E" w:rsidP="005F586A"/>
    <w:p w:rsidR="00090A3E" w:rsidRDefault="00336A93" w:rsidP="005F586A">
      <w:r>
        <w:lastRenderedPageBreak/>
        <w:t xml:space="preserve">En 2021 se efectuaron un total de 68 recomendaciones a partir de las evidencias obtenidas en la evaluación correspondiente a dicho año. De estas 68 recomendaciones se han aplicado </w:t>
      </w:r>
      <w:r w:rsidR="008A74FD">
        <w:t>49</w:t>
      </w:r>
      <w:r>
        <w:t xml:space="preserve">, lo que </w:t>
      </w:r>
      <w:r w:rsidR="00E20D63">
        <w:t>representa</w:t>
      </w:r>
      <w:r>
        <w:t xml:space="preserve"> un </w:t>
      </w:r>
      <w:r w:rsidR="008A74FD">
        <w:t>72</w:t>
      </w:r>
      <w:r w:rsidR="00E20D63">
        <w:t>,1% del total.</w:t>
      </w:r>
    </w:p>
    <w:p w:rsidR="00053BF4" w:rsidRDefault="004F3D6E" w:rsidP="005F586A">
      <w:r>
        <w:t xml:space="preserve">El 50% de los Órganos Constitucionales ha aplicado el 80% o más de las recomendaciones efectuadas. </w:t>
      </w:r>
      <w:r w:rsidR="008A74FD">
        <w:t>En estas instituciones, e</w:t>
      </w:r>
      <w:r>
        <w:t>l incremento medio del Índice de Cumplimiento de la Información Obligatoria asciende a 15,</w:t>
      </w:r>
      <w:r w:rsidR="008A74FD">
        <w:t>5</w:t>
      </w:r>
      <w:r>
        <w:t xml:space="preserve"> puntos porcentuales con un rango de variación que oscila entre 22,8 y 10,8 puntos porcentuales. </w:t>
      </w:r>
    </w:p>
    <w:p w:rsidR="004F3D6E" w:rsidRPr="004F3D6E" w:rsidRDefault="004F3D6E" w:rsidP="004F3D6E">
      <w:pPr>
        <w:pStyle w:val="Epgrafe"/>
        <w:keepNext/>
        <w:rPr>
          <w:color w:val="438086" w:themeColor="accent2"/>
          <w:sz w:val="22"/>
          <w:szCs w:val="22"/>
        </w:rPr>
      </w:pPr>
      <w:r w:rsidRPr="004F3D6E">
        <w:rPr>
          <w:color w:val="438086" w:themeColor="accent2"/>
          <w:sz w:val="22"/>
          <w:szCs w:val="22"/>
        </w:rPr>
        <w:t xml:space="preserve">Gráfico </w:t>
      </w:r>
      <w:r w:rsidRPr="004F3D6E">
        <w:rPr>
          <w:color w:val="438086" w:themeColor="accent2"/>
          <w:sz w:val="22"/>
          <w:szCs w:val="22"/>
        </w:rPr>
        <w:fldChar w:fldCharType="begin"/>
      </w:r>
      <w:r w:rsidRPr="004F3D6E">
        <w:rPr>
          <w:color w:val="438086" w:themeColor="accent2"/>
          <w:sz w:val="22"/>
          <w:szCs w:val="22"/>
        </w:rPr>
        <w:instrText xml:space="preserve"> SEQ Gráfico \* ARABIC </w:instrText>
      </w:r>
      <w:r w:rsidRPr="004F3D6E">
        <w:rPr>
          <w:color w:val="438086" w:themeColor="accent2"/>
          <w:sz w:val="22"/>
          <w:szCs w:val="22"/>
        </w:rPr>
        <w:fldChar w:fldCharType="separate"/>
      </w:r>
      <w:r w:rsidRPr="004F3D6E">
        <w:rPr>
          <w:color w:val="438086" w:themeColor="accent2"/>
          <w:sz w:val="22"/>
          <w:szCs w:val="22"/>
        </w:rPr>
        <w:t>1</w:t>
      </w:r>
      <w:r w:rsidRPr="004F3D6E">
        <w:rPr>
          <w:color w:val="438086" w:themeColor="accent2"/>
          <w:sz w:val="22"/>
          <w:szCs w:val="22"/>
        </w:rPr>
        <w:fldChar w:fldCharType="end"/>
      </w:r>
      <w:r w:rsidRPr="004F3D6E">
        <w:rPr>
          <w:color w:val="438086" w:themeColor="accent2"/>
          <w:sz w:val="22"/>
          <w:szCs w:val="22"/>
        </w:rPr>
        <w:t>:</w:t>
      </w:r>
      <w:r>
        <w:rPr>
          <w:color w:val="438086" w:themeColor="accent2"/>
          <w:sz w:val="22"/>
          <w:szCs w:val="22"/>
        </w:rPr>
        <w:t xml:space="preserve"> Distribución de los Órganos Constitucionales según proporción de recomendaciones aplicadas.</w:t>
      </w:r>
    </w:p>
    <w:p w:rsidR="004F3D6E" w:rsidRDefault="008A74FD" w:rsidP="005F586A">
      <w:r>
        <w:rPr>
          <w:noProof/>
        </w:rPr>
        <w:drawing>
          <wp:inline distT="0" distB="0" distL="0" distR="0" wp14:anchorId="2FA5D1AD" wp14:editId="7B2B0F1C">
            <wp:extent cx="5932968" cy="4008474"/>
            <wp:effectExtent l="0" t="0" r="10795" b="1143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3D6E" w:rsidRDefault="004F3D6E" w:rsidP="005F586A"/>
    <w:p w:rsidR="004A60E2" w:rsidRDefault="004A60E2" w:rsidP="005F586A"/>
    <w:p w:rsidR="008A74FD" w:rsidRDefault="008A74FD" w:rsidP="005F586A"/>
    <w:p w:rsidR="008A74FD" w:rsidRDefault="008A74FD" w:rsidP="005F586A"/>
    <w:p w:rsidR="008A74FD" w:rsidRDefault="008A74FD" w:rsidP="005F586A"/>
    <w:p w:rsidR="008A74FD" w:rsidRDefault="008A74FD" w:rsidP="005F586A"/>
    <w:p w:rsidR="004A60E2" w:rsidRDefault="004A60E2" w:rsidP="008A4271">
      <w:pPr>
        <w:pStyle w:val="Ttulo2"/>
      </w:pPr>
      <w:bookmarkStart w:id="8" w:name="_Toc98321557"/>
      <w:r>
        <w:lastRenderedPageBreak/>
        <w:t>II</w:t>
      </w:r>
      <w:r w:rsidR="008A4271">
        <w:t>I</w:t>
      </w:r>
      <w:r>
        <w:t xml:space="preserve">.2. </w:t>
      </w:r>
      <w:r w:rsidR="004F3D6E">
        <w:t>Revisión del c</w:t>
      </w:r>
      <w:r>
        <w:t>umplimiento de las obligaciones de publicidad activa</w:t>
      </w:r>
      <w:bookmarkEnd w:id="8"/>
    </w:p>
    <w:p w:rsidR="004A60E2" w:rsidRDefault="004A60E2" w:rsidP="004A60E2"/>
    <w:p w:rsidR="004A60E2" w:rsidRDefault="008A4271" w:rsidP="008A4271">
      <w:pPr>
        <w:pStyle w:val="Ttulo3"/>
      </w:pPr>
      <w:bookmarkStart w:id="9" w:name="_Toc98321558"/>
      <w:r>
        <w:t>I</w:t>
      </w:r>
      <w:r w:rsidR="004A60E2">
        <w:t>II.2.1.  Información Institucional y Organizativa.</w:t>
      </w:r>
      <w:bookmarkEnd w:id="9"/>
      <w:r w:rsidR="004A60E2">
        <w:t xml:space="preserve"> </w:t>
      </w:r>
    </w:p>
    <w:p w:rsidR="004A60E2" w:rsidRDefault="004A60E2" w:rsidP="005F586A"/>
    <w:p w:rsidR="00563729" w:rsidRDefault="00563729" w:rsidP="005F586A">
      <w:r>
        <w:t xml:space="preserve">La proporción de informaciones obligatorias publicadas correspondientes a este bloque asciende al </w:t>
      </w:r>
      <w:r w:rsidR="00592D1D">
        <w:t>95,7</w:t>
      </w:r>
      <w:r>
        <w:t xml:space="preserve">%, con un rango que oscila entre </w:t>
      </w:r>
      <w:r w:rsidRPr="00CB6D6C">
        <w:t xml:space="preserve">el </w:t>
      </w:r>
      <w:r w:rsidR="004F3D6E">
        <w:t>85,7</w:t>
      </w:r>
      <w:r w:rsidRPr="00CB6D6C">
        <w:t xml:space="preserve"> y el 100%.</w:t>
      </w:r>
      <w:r>
        <w:t xml:space="preserve"> </w:t>
      </w:r>
      <w:r w:rsidR="004F3D6E">
        <w:t>Siete</w:t>
      </w:r>
      <w:r>
        <w:t xml:space="preserve"> de las </w:t>
      </w:r>
      <w:r w:rsidR="00B86CD2">
        <w:t>diez</w:t>
      </w:r>
      <w:r>
        <w:t xml:space="preserve"> instituciones evaluadas publican la totalidad de las informaciones obligatorias. </w:t>
      </w:r>
      <w:r w:rsidR="004F3D6E">
        <w:t>Respecto de 2021 se produce un incremento de 8,1 puntos porcentuales.</w:t>
      </w:r>
    </w:p>
    <w:p w:rsidR="00497839" w:rsidRDefault="00497839" w:rsidP="005F586A">
      <w:r>
        <w:t xml:space="preserve">El incumplimiento de la obligación de publicar se localiza fundamentalmente en la información sobre el Registro de Actividades de Tratamiento, que </w:t>
      </w:r>
      <w:r w:rsidR="00C658AB">
        <w:t>no</w:t>
      </w:r>
      <w:r>
        <w:t xml:space="preserve"> publican </w:t>
      </w:r>
      <w:r w:rsidR="00C658AB">
        <w:t>dos</w:t>
      </w:r>
      <w:r>
        <w:t xml:space="preserve"> de las </w:t>
      </w:r>
      <w:r w:rsidR="002248F4">
        <w:t>diez</w:t>
      </w:r>
      <w:r>
        <w:t xml:space="preserve"> instituciones y en menor medida, la publicación de los perfiles y trayectorias profesionales, obligación que incumple </w:t>
      </w:r>
      <w:r w:rsidR="00C658AB">
        <w:t>una de las</w:t>
      </w:r>
      <w:r>
        <w:t xml:space="preserve"> instituciones.  </w:t>
      </w:r>
    </w:p>
    <w:p w:rsidR="00115E70" w:rsidRDefault="00497839" w:rsidP="005F586A">
      <w:r>
        <w:t>El</w:t>
      </w:r>
      <w:r w:rsidR="00115E70">
        <w:t xml:space="preserve"> nivel de cumplimiento en este bloque de obligaciones </w:t>
      </w:r>
      <w:r w:rsidR="00285713">
        <w:t>se sitúa en</w:t>
      </w:r>
      <w:r w:rsidR="00115E70">
        <w:t xml:space="preserve"> </w:t>
      </w:r>
      <w:r w:rsidR="00285713">
        <w:t>e</w:t>
      </w:r>
      <w:r w:rsidR="00115E70">
        <w:t xml:space="preserve">l </w:t>
      </w:r>
      <w:r w:rsidR="00C658AB">
        <w:t>92,4</w:t>
      </w:r>
      <w:r w:rsidR="00115E70">
        <w:t xml:space="preserve">% como consecuencia </w:t>
      </w:r>
      <w:r w:rsidR="00285713">
        <w:t xml:space="preserve">de </w:t>
      </w:r>
      <w:r w:rsidR="00C658AB">
        <w:t>una cuarta parte</w:t>
      </w:r>
      <w:r w:rsidR="00285713">
        <w:t xml:space="preserve"> de</w:t>
      </w:r>
      <w:r w:rsidR="00734470">
        <w:t xml:space="preserve"> </w:t>
      </w:r>
      <w:r w:rsidR="00285713">
        <w:t xml:space="preserve">la información </w:t>
      </w:r>
      <w:r w:rsidR="00C658AB">
        <w:t xml:space="preserve">no </w:t>
      </w:r>
      <w:r w:rsidR="00285713">
        <w:t xml:space="preserve">está </w:t>
      </w:r>
      <w:r w:rsidR="00115E70">
        <w:t xml:space="preserve"> datada </w:t>
      </w:r>
      <w:r w:rsidR="008176A6">
        <w:t>y/</w:t>
      </w:r>
      <w:r w:rsidR="00115E70">
        <w:t xml:space="preserve">o contiene referencias a la fecha en que se revisó o  actualizó por última vez. </w:t>
      </w:r>
      <w:r w:rsidR="00C658AB">
        <w:t>Respecto de 2021 aumenta en 13,3 puntos porcentuales.</w:t>
      </w:r>
    </w:p>
    <w:p w:rsidR="00115E70" w:rsidRDefault="00D438E9" w:rsidP="005F586A">
      <w:r>
        <w:t>Existe una gran variabilidad en el índice de cumplimiento respecto de la información institucional y organizativa,</w:t>
      </w:r>
      <w:r w:rsidR="00734470">
        <w:t xml:space="preserve"> ya que </w:t>
      </w:r>
      <w:r>
        <w:t>el rango</w:t>
      </w:r>
      <w:r w:rsidR="00734470">
        <w:t xml:space="preserve"> de </w:t>
      </w:r>
      <w:r w:rsidR="002248F4">
        <w:t>variación se sitúa</w:t>
      </w:r>
      <w:r>
        <w:t xml:space="preserve"> entre el </w:t>
      </w:r>
      <w:r w:rsidR="00C658AB">
        <w:t>100</w:t>
      </w:r>
      <w:r>
        <w:t xml:space="preserve"> y el </w:t>
      </w:r>
      <w:r w:rsidR="00C658AB">
        <w:t>76,5</w:t>
      </w:r>
      <w:r>
        <w:t xml:space="preserve">%. </w:t>
      </w:r>
      <w:r w:rsidR="00C658AB">
        <w:t>Cinco</w:t>
      </w:r>
      <w:r>
        <w:t xml:space="preserve"> de las </w:t>
      </w:r>
      <w:r w:rsidR="002248F4">
        <w:t>diez</w:t>
      </w:r>
      <w:r>
        <w:t xml:space="preserve"> instituciones alcanzan el </w:t>
      </w:r>
      <w:r w:rsidR="00C658AB">
        <w:t>100</w:t>
      </w:r>
      <w:r>
        <w:t>% de cumplimiento</w:t>
      </w:r>
      <w:r w:rsidR="00C658AB">
        <w:t xml:space="preserve"> y otra más se sitúa en el 99%</w:t>
      </w:r>
      <w:r>
        <w:t>.</w:t>
      </w:r>
      <w:r w:rsidR="00C658AB">
        <w:t xml:space="preserve"> </w:t>
      </w:r>
    </w:p>
    <w:p w:rsidR="00B305DD" w:rsidRPr="00B305DD" w:rsidRDefault="00B305DD" w:rsidP="00B305DD">
      <w:pPr>
        <w:pStyle w:val="Epgrafe"/>
        <w:keepNext/>
        <w:rPr>
          <w:sz w:val="22"/>
          <w:szCs w:val="22"/>
        </w:rPr>
      </w:pPr>
      <w:r w:rsidRPr="00B305DD">
        <w:rPr>
          <w:color w:val="438086" w:themeColor="accent2"/>
          <w:sz w:val="22"/>
          <w:szCs w:val="22"/>
        </w:rPr>
        <w:t xml:space="preserve">Gráfico </w:t>
      </w:r>
      <w:r w:rsidRPr="00B305DD">
        <w:rPr>
          <w:color w:val="438086" w:themeColor="accent2"/>
          <w:sz w:val="22"/>
          <w:szCs w:val="22"/>
        </w:rPr>
        <w:fldChar w:fldCharType="begin"/>
      </w:r>
      <w:r w:rsidRPr="00B305DD">
        <w:rPr>
          <w:color w:val="438086" w:themeColor="accent2"/>
          <w:sz w:val="22"/>
          <w:szCs w:val="22"/>
        </w:rPr>
        <w:instrText xml:space="preserve"> SEQ Gráfico \* ARABIC </w:instrText>
      </w:r>
      <w:r w:rsidRPr="00B305DD">
        <w:rPr>
          <w:color w:val="438086" w:themeColor="accent2"/>
          <w:sz w:val="22"/>
          <w:szCs w:val="22"/>
        </w:rPr>
        <w:fldChar w:fldCharType="separate"/>
      </w:r>
      <w:r w:rsidR="004F3D6E">
        <w:rPr>
          <w:noProof/>
          <w:color w:val="438086" w:themeColor="accent2"/>
          <w:sz w:val="22"/>
          <w:szCs w:val="22"/>
        </w:rPr>
        <w:t>2</w:t>
      </w:r>
      <w:r w:rsidRPr="00B305DD">
        <w:rPr>
          <w:color w:val="438086" w:themeColor="accent2"/>
          <w:sz w:val="22"/>
          <w:szCs w:val="22"/>
        </w:rPr>
        <w:fldChar w:fldCharType="end"/>
      </w:r>
      <w:r w:rsidRPr="00B305DD">
        <w:rPr>
          <w:color w:val="438086" w:themeColor="accent2"/>
          <w:sz w:val="22"/>
          <w:szCs w:val="22"/>
        </w:rPr>
        <w:t>: Evaluación de la publicación (contenido) y de los atributos de calid</w:t>
      </w:r>
      <w:r>
        <w:rPr>
          <w:color w:val="438086" w:themeColor="accent2"/>
          <w:sz w:val="22"/>
          <w:szCs w:val="22"/>
        </w:rPr>
        <w:t xml:space="preserve">ad de información Institucional y </w:t>
      </w:r>
      <w:r w:rsidRPr="00B305DD">
        <w:rPr>
          <w:color w:val="438086" w:themeColor="accent2"/>
          <w:sz w:val="22"/>
          <w:szCs w:val="22"/>
        </w:rPr>
        <w:t xml:space="preserve"> </w:t>
      </w:r>
      <w:r>
        <w:rPr>
          <w:color w:val="438086" w:themeColor="accent2"/>
          <w:sz w:val="22"/>
          <w:szCs w:val="22"/>
        </w:rPr>
        <w:t>Organizativa. Órganos constitucionales y de relevancia constitucional.</w:t>
      </w:r>
    </w:p>
    <w:p w:rsidR="00D438E9" w:rsidRDefault="00C658AB" w:rsidP="005F586A">
      <w:r>
        <w:rPr>
          <w:noProof/>
        </w:rPr>
        <w:drawing>
          <wp:inline distT="0" distB="0" distL="0" distR="0" wp14:anchorId="60EFE35C" wp14:editId="7F10E98A">
            <wp:extent cx="5777713" cy="2743200"/>
            <wp:effectExtent l="0" t="0" r="1397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4C5D" w:rsidRDefault="008A4271" w:rsidP="008A4271">
      <w:pPr>
        <w:pStyle w:val="Ttulo3"/>
      </w:pPr>
      <w:bookmarkStart w:id="10" w:name="_Toc98321559"/>
      <w:r>
        <w:lastRenderedPageBreak/>
        <w:t>I</w:t>
      </w:r>
      <w:r w:rsidR="00004C5D">
        <w:t>II.2.2  Información Económica y Presupuestaria.</w:t>
      </w:r>
      <w:bookmarkEnd w:id="10"/>
    </w:p>
    <w:p w:rsidR="00004C5D" w:rsidRDefault="00004C5D" w:rsidP="00004C5D"/>
    <w:p w:rsidR="00C658AB" w:rsidRDefault="00C658AB" w:rsidP="00004C5D">
      <w:r>
        <w:t>La proporción de informaciones obligatorias que se publican en</w:t>
      </w:r>
      <w:r w:rsidR="00004C5D">
        <w:t xml:space="preserve"> este bloque de obligaciones desciende </w:t>
      </w:r>
      <w:r>
        <w:t>ligeramente</w:t>
      </w:r>
      <w:r w:rsidR="00004C5D">
        <w:t xml:space="preserve"> respecto del bloque anterior, </w:t>
      </w:r>
      <w:r>
        <w:t xml:space="preserve">ya que se sitúa en el </w:t>
      </w:r>
      <w:r w:rsidR="00592D1D">
        <w:t>92,6</w:t>
      </w:r>
      <w:r>
        <w:t xml:space="preserve">%. Respecto de 2021 la proporción de informaciones que se publican ha aumentado en </w:t>
      </w:r>
      <w:r w:rsidR="00592D1D">
        <w:t>14,6</w:t>
      </w:r>
      <w:r>
        <w:t xml:space="preserve"> puntos porcentuales. </w:t>
      </w:r>
    </w:p>
    <w:p w:rsidR="00004C5D" w:rsidRDefault="00CA722F" w:rsidP="00004C5D">
      <w:r>
        <w:t xml:space="preserve">También </w:t>
      </w:r>
      <w:r w:rsidR="00832773">
        <w:t xml:space="preserve">en este bloque de información </w:t>
      </w:r>
      <w:r>
        <w:t xml:space="preserve">se observa una importante variabilidad en cuanto a los contenidos que publican unas instituciones u otras: desde un </w:t>
      </w:r>
      <w:r w:rsidR="00832773">
        <w:t>100%</w:t>
      </w:r>
      <w:r w:rsidR="002248F4">
        <w:t xml:space="preserve"> </w:t>
      </w:r>
      <w:r>
        <w:t xml:space="preserve">hasta un </w:t>
      </w:r>
      <w:r w:rsidR="00CB6D6C">
        <w:t>40</w:t>
      </w:r>
      <w:r>
        <w:t xml:space="preserve">%. </w:t>
      </w:r>
      <w:r w:rsidR="00832773">
        <w:t>Cinco</w:t>
      </w:r>
      <w:r>
        <w:t xml:space="preserve"> de las </w:t>
      </w:r>
      <w:r w:rsidR="002248F4">
        <w:t>diez</w:t>
      </w:r>
      <w:r>
        <w:t xml:space="preserve"> instituciones publican </w:t>
      </w:r>
      <w:r w:rsidR="00832773">
        <w:t>la totalidad de los contenidos a las que se añade</w:t>
      </w:r>
      <w:r w:rsidR="00592D1D">
        <w:t>n</w:t>
      </w:r>
      <w:r w:rsidR="00832773">
        <w:t xml:space="preserve"> </w:t>
      </w:r>
      <w:r w:rsidR="00592D1D">
        <w:t>dos instituciones adicionales</w:t>
      </w:r>
      <w:r w:rsidR="00832773">
        <w:t xml:space="preserve"> que publica</w:t>
      </w:r>
      <w:r w:rsidR="00592D1D">
        <w:t>n</w:t>
      </w:r>
      <w:r w:rsidR="00832773">
        <w:t xml:space="preserve"> </w:t>
      </w:r>
      <w:r w:rsidR="00592D1D">
        <w:t>más del 95</w:t>
      </w:r>
      <w:r w:rsidR="00832773">
        <w:t>%</w:t>
      </w:r>
      <w:r>
        <w:t>.</w:t>
      </w:r>
    </w:p>
    <w:p w:rsidR="00CA722F" w:rsidRDefault="00CA722F" w:rsidP="00004C5D">
      <w:r>
        <w:t xml:space="preserve">Las informaciones que presentan un menor nivel de </w:t>
      </w:r>
      <w:r w:rsidR="008A4271">
        <w:t>publicación</w:t>
      </w:r>
      <w:r>
        <w:t xml:space="preserve"> son:</w:t>
      </w:r>
    </w:p>
    <w:p w:rsidR="00CA722F" w:rsidRDefault="008A4271" w:rsidP="00CA722F">
      <w:pPr>
        <w:pStyle w:val="Prrafodelista"/>
        <w:numPr>
          <w:ilvl w:val="0"/>
          <w:numId w:val="43"/>
        </w:numPr>
      </w:pPr>
      <w:r>
        <w:t>La</w:t>
      </w:r>
      <w:r w:rsidR="00832773">
        <w:t>s modificaciones de contratos, sobre las que no informan seis de las  nueve instituciones a las que es aplicable esta obligación</w:t>
      </w:r>
      <w:r w:rsidR="00832773">
        <w:rPr>
          <w:rStyle w:val="Refdenotaalpie"/>
        </w:rPr>
        <w:footnoteReference w:id="2"/>
      </w:r>
      <w:r w:rsidR="002248F4">
        <w:t xml:space="preserve">. </w:t>
      </w:r>
    </w:p>
    <w:p w:rsidR="00CA722F" w:rsidRDefault="001F5549" w:rsidP="00CA722F">
      <w:pPr>
        <w:pStyle w:val="Prrafodelista"/>
        <w:numPr>
          <w:ilvl w:val="0"/>
          <w:numId w:val="43"/>
        </w:numPr>
      </w:pPr>
      <w:r>
        <w:t>L</w:t>
      </w:r>
      <w:r w:rsidR="00CA722F">
        <w:t xml:space="preserve">as indemnizaciones </w:t>
      </w:r>
      <w:r w:rsidR="00CD2637">
        <w:t>percibidas</w:t>
      </w:r>
      <w:r w:rsidR="00CA722F">
        <w:t xml:space="preserve"> </w:t>
      </w:r>
      <w:r w:rsidR="00CD2637">
        <w:t>por</w:t>
      </w:r>
      <w:r w:rsidR="00CA722F">
        <w:t xml:space="preserve"> </w:t>
      </w:r>
      <w:r w:rsidR="00A06568">
        <w:t>al</w:t>
      </w:r>
      <w:r w:rsidR="00CA722F">
        <w:t>tos cargos tras su cese</w:t>
      </w:r>
      <w:r w:rsidR="00832773">
        <w:t xml:space="preserve"> que no publican tres de las ocho instituciones a las que es aplicable esta obligación.</w:t>
      </w:r>
    </w:p>
    <w:p w:rsidR="00CA722F" w:rsidRDefault="00B305DD" w:rsidP="00CA722F">
      <w:pPr>
        <w:pStyle w:val="Prrafodelista"/>
        <w:numPr>
          <w:ilvl w:val="0"/>
          <w:numId w:val="43"/>
        </w:numPr>
      </w:pPr>
      <w:r>
        <w:t>Las autorizaciones de compatibilidad para el ejercicio de actividades públicas o privadas efectuadas a los empleados públicos</w:t>
      </w:r>
      <w:r w:rsidR="00832773">
        <w:t xml:space="preserve"> que no publican dos de las sietes instituciones a las que es aplicable esta obligación. </w:t>
      </w:r>
    </w:p>
    <w:p w:rsidR="00B305DD" w:rsidRDefault="00B305DD" w:rsidP="00B305DD">
      <w:r>
        <w:t xml:space="preserve">Respecto del bloque de información institucional y organizativa mejora </w:t>
      </w:r>
      <w:r w:rsidR="008A4271">
        <w:t>la</w:t>
      </w:r>
      <w:r>
        <w:t xml:space="preserve"> inclusión de referencias que permitan conocer si la información está actualizada. Pero en paralelo, disminuye la publicación de informaciones en los Portales de Transparencia – se redirige a fuentes centralizadas como la Plataforma de Contratación del Sector Público o la Base de Datos Nacional de Subvenciones – lo que a su vez, repercute en la accesibilidad a la información.</w:t>
      </w:r>
    </w:p>
    <w:p w:rsidR="00685466" w:rsidRDefault="008A4271" w:rsidP="00B305DD">
      <w:r>
        <w:t xml:space="preserve">El índice de cumplimiento de este bloque de obligaciones </w:t>
      </w:r>
      <w:r w:rsidR="00685466">
        <w:t>alcanza</w:t>
      </w:r>
      <w:r>
        <w:t xml:space="preserve"> el </w:t>
      </w:r>
      <w:r w:rsidR="00592D1D">
        <w:t>92,1</w:t>
      </w:r>
      <w:r>
        <w:t>%, también con una gran variabilidad: entre el 3</w:t>
      </w:r>
      <w:r w:rsidR="00685466">
        <w:t>1</w:t>
      </w:r>
      <w:r>
        <w:t>,</w:t>
      </w:r>
      <w:r w:rsidR="00685466">
        <w:t>4</w:t>
      </w:r>
      <w:r>
        <w:t xml:space="preserve"> y el </w:t>
      </w:r>
      <w:r w:rsidR="00685466">
        <w:t>100</w:t>
      </w:r>
      <w:r>
        <w:t xml:space="preserve">%. </w:t>
      </w:r>
      <w:r w:rsidR="00685466">
        <w:t xml:space="preserve">Respecto de 2021 se ha producido un incremento de </w:t>
      </w:r>
      <w:r w:rsidR="00592D1D">
        <w:t>19,1</w:t>
      </w:r>
      <w:r w:rsidR="00685466">
        <w:t xml:space="preserve"> puntos porcentuales.</w:t>
      </w:r>
    </w:p>
    <w:p w:rsidR="008A4271" w:rsidRDefault="008A4271" w:rsidP="00B305DD">
      <w:r>
        <w:t>El nivel de cumplimiento alcanzado se explica además de por la falta de publicación de contenidos obligatorios, por el recurso a fuentes de datos centralizadas para la publicación de algunos contenidos y por la falta de referencias a la fecha de actualización de la información.</w:t>
      </w:r>
    </w:p>
    <w:p w:rsidR="00B305DD" w:rsidRPr="002D79EE" w:rsidRDefault="00B305DD" w:rsidP="00B305DD">
      <w:pPr>
        <w:pStyle w:val="Epgrafe"/>
        <w:keepNext/>
        <w:rPr>
          <w:color w:val="438086" w:themeColor="accent2"/>
          <w:sz w:val="22"/>
          <w:szCs w:val="22"/>
        </w:rPr>
      </w:pPr>
      <w:r w:rsidRPr="002D79EE">
        <w:rPr>
          <w:color w:val="438086" w:themeColor="accent2"/>
          <w:sz w:val="22"/>
          <w:szCs w:val="22"/>
        </w:rPr>
        <w:lastRenderedPageBreak/>
        <w:t xml:space="preserve">Gráfico </w:t>
      </w:r>
      <w:r w:rsidRPr="002D79EE">
        <w:rPr>
          <w:color w:val="438086" w:themeColor="accent2"/>
          <w:sz w:val="22"/>
          <w:szCs w:val="22"/>
        </w:rPr>
        <w:fldChar w:fldCharType="begin"/>
      </w:r>
      <w:r w:rsidRPr="002D79EE">
        <w:rPr>
          <w:color w:val="438086" w:themeColor="accent2"/>
          <w:sz w:val="22"/>
          <w:szCs w:val="22"/>
        </w:rPr>
        <w:instrText xml:space="preserve"> SEQ Gráfico \* ARABIC </w:instrText>
      </w:r>
      <w:r w:rsidRPr="002D79EE">
        <w:rPr>
          <w:color w:val="438086" w:themeColor="accent2"/>
          <w:sz w:val="22"/>
          <w:szCs w:val="22"/>
        </w:rPr>
        <w:fldChar w:fldCharType="separate"/>
      </w:r>
      <w:r w:rsidR="004F3D6E">
        <w:rPr>
          <w:noProof/>
          <w:color w:val="438086" w:themeColor="accent2"/>
          <w:sz w:val="22"/>
          <w:szCs w:val="22"/>
        </w:rPr>
        <w:t>3</w:t>
      </w:r>
      <w:r w:rsidRPr="002D79EE">
        <w:rPr>
          <w:color w:val="438086" w:themeColor="accent2"/>
          <w:sz w:val="22"/>
          <w:szCs w:val="22"/>
        </w:rPr>
        <w:fldChar w:fldCharType="end"/>
      </w:r>
      <w:r w:rsidRPr="002D79EE">
        <w:rPr>
          <w:color w:val="438086" w:themeColor="accent2"/>
          <w:sz w:val="22"/>
          <w:szCs w:val="22"/>
        </w:rPr>
        <w:t xml:space="preserve">: Evaluación de la publicación (contenido) y de los atributos de calidad de información </w:t>
      </w:r>
      <w:r w:rsidR="002D79EE" w:rsidRPr="002D79EE">
        <w:rPr>
          <w:color w:val="438086" w:themeColor="accent2"/>
          <w:sz w:val="22"/>
          <w:szCs w:val="22"/>
        </w:rPr>
        <w:t>Económica y Presupuestaria. Órganos constitucionales y de relevancia constitucional</w:t>
      </w:r>
    </w:p>
    <w:p w:rsidR="00CA722F" w:rsidRPr="00004C5D" w:rsidRDefault="00592D1D" w:rsidP="00004C5D">
      <w:r>
        <w:rPr>
          <w:noProof/>
        </w:rPr>
        <w:drawing>
          <wp:inline distT="0" distB="0" distL="0" distR="0" wp14:anchorId="35B9A137" wp14:editId="6AE7E476">
            <wp:extent cx="5762847" cy="3083442"/>
            <wp:effectExtent l="0" t="0" r="9525" b="222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5F66" w:rsidRDefault="00915F66" w:rsidP="002D79EE">
      <w:pPr>
        <w:pStyle w:val="Ttulo3"/>
      </w:pPr>
    </w:p>
    <w:p w:rsidR="002D79EE" w:rsidRPr="00915F66" w:rsidRDefault="002D79EE" w:rsidP="00915F66">
      <w:pPr>
        <w:pStyle w:val="Ttulo3"/>
      </w:pPr>
      <w:bookmarkStart w:id="11" w:name="_Toc98321560"/>
      <w:r w:rsidRPr="006818C2">
        <w:t>II</w:t>
      </w:r>
      <w:r w:rsidR="00915F66" w:rsidRPr="006818C2">
        <w:t>I</w:t>
      </w:r>
      <w:r w:rsidRPr="006818C2">
        <w:t>.2.3. Índice de Cumplimiento de la Información Obligatoria (ICIO)</w:t>
      </w:r>
      <w:bookmarkEnd w:id="11"/>
    </w:p>
    <w:p w:rsidR="002D79EE" w:rsidRDefault="002D79EE" w:rsidP="005F586A"/>
    <w:p w:rsidR="006818C2" w:rsidRPr="006818C2" w:rsidRDefault="002D79EE" w:rsidP="006818C2">
      <w:r>
        <w:t xml:space="preserve">En promedio el Índice de cumplimiento de la información obligatoria se sitúa en el </w:t>
      </w:r>
      <w:r w:rsidR="00285FD2">
        <w:t>94</w:t>
      </w:r>
      <w:r>
        <w:t xml:space="preserve">%, con un rango que varía entre el </w:t>
      </w:r>
      <w:r w:rsidR="006818C2">
        <w:t>100</w:t>
      </w:r>
      <w:r w:rsidR="00A06568">
        <w:t xml:space="preserve"> </w:t>
      </w:r>
      <w:r>
        <w:t xml:space="preserve">y el </w:t>
      </w:r>
      <w:r w:rsidR="006818C2">
        <w:t>63,7</w:t>
      </w:r>
      <w:r>
        <w:t>% de cumplimiento.</w:t>
      </w:r>
      <w:r w:rsidR="006818C2" w:rsidRPr="006818C2">
        <w:t xml:space="preserve"> </w:t>
      </w:r>
      <w:r w:rsidR="006818C2">
        <w:t xml:space="preserve">Respecto de 2021 el ICIO se ha incrementado en </w:t>
      </w:r>
      <w:r w:rsidR="00E440E4">
        <w:t>18,3</w:t>
      </w:r>
      <w:r w:rsidR="006818C2">
        <w:t xml:space="preserve"> puntos porcentuales.</w:t>
      </w:r>
    </w:p>
    <w:p w:rsidR="002D79EE" w:rsidRPr="002D79EE" w:rsidRDefault="002D79EE" w:rsidP="002D79EE">
      <w:pPr>
        <w:pStyle w:val="Epgrafe"/>
        <w:keepNext/>
        <w:rPr>
          <w:color w:val="438086" w:themeColor="accent2"/>
          <w:sz w:val="22"/>
          <w:szCs w:val="22"/>
        </w:rPr>
      </w:pPr>
      <w:r w:rsidRPr="002D79EE">
        <w:rPr>
          <w:color w:val="438086" w:themeColor="accent2"/>
          <w:sz w:val="22"/>
          <w:szCs w:val="22"/>
        </w:rPr>
        <w:t xml:space="preserve">Gráfico </w:t>
      </w:r>
      <w:r w:rsidRPr="002D79EE">
        <w:rPr>
          <w:color w:val="438086" w:themeColor="accent2"/>
          <w:sz w:val="22"/>
          <w:szCs w:val="22"/>
        </w:rPr>
        <w:fldChar w:fldCharType="begin"/>
      </w:r>
      <w:r w:rsidRPr="002D79EE">
        <w:rPr>
          <w:color w:val="438086" w:themeColor="accent2"/>
          <w:sz w:val="22"/>
          <w:szCs w:val="22"/>
        </w:rPr>
        <w:instrText xml:space="preserve"> SEQ Gráfico \* ARABIC </w:instrText>
      </w:r>
      <w:r w:rsidRPr="002D79EE">
        <w:rPr>
          <w:color w:val="438086" w:themeColor="accent2"/>
          <w:sz w:val="22"/>
          <w:szCs w:val="22"/>
        </w:rPr>
        <w:fldChar w:fldCharType="separate"/>
      </w:r>
      <w:r w:rsidR="004F3D6E">
        <w:rPr>
          <w:noProof/>
          <w:color w:val="438086" w:themeColor="accent2"/>
          <w:sz w:val="22"/>
          <w:szCs w:val="22"/>
        </w:rPr>
        <w:t>4</w:t>
      </w:r>
      <w:r w:rsidRPr="002D79EE">
        <w:rPr>
          <w:color w:val="438086" w:themeColor="accent2"/>
          <w:sz w:val="22"/>
          <w:szCs w:val="22"/>
        </w:rPr>
        <w:fldChar w:fldCharType="end"/>
      </w:r>
      <w:r w:rsidRPr="002D79EE">
        <w:rPr>
          <w:color w:val="438086" w:themeColor="accent2"/>
          <w:sz w:val="22"/>
          <w:szCs w:val="22"/>
        </w:rPr>
        <w:t>: Índice de Cumplimiento de la Información Obligatoria. Órganos constitucionales y de relevancia constitucional.</w:t>
      </w:r>
    </w:p>
    <w:p w:rsidR="00004C5D" w:rsidRDefault="00E440E4" w:rsidP="005F586A">
      <w:r>
        <w:rPr>
          <w:noProof/>
        </w:rPr>
        <w:drawing>
          <wp:inline distT="0" distB="0" distL="0" distR="0" wp14:anchorId="2EE3C5D8" wp14:editId="24171924">
            <wp:extent cx="5869173" cy="2817628"/>
            <wp:effectExtent l="0" t="0" r="17780" b="2095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0613" w:rsidRPr="004D777E" w:rsidRDefault="004D777E" w:rsidP="006C0613">
      <w:pPr>
        <w:pStyle w:val="Ttulo3"/>
        <w:rPr>
          <w:rFonts w:ascii="Century Gothic" w:hAnsi="Century Gothic"/>
          <w:b w:val="0"/>
          <w:color w:val="auto"/>
          <w:szCs w:val="20"/>
        </w:rPr>
      </w:pPr>
      <w:bookmarkStart w:id="12" w:name="_Toc98321561"/>
      <w:r w:rsidRPr="004D777E">
        <w:rPr>
          <w:rFonts w:ascii="Century Gothic" w:hAnsi="Century Gothic"/>
          <w:b w:val="0"/>
          <w:color w:val="auto"/>
          <w:szCs w:val="20"/>
        </w:rPr>
        <w:lastRenderedPageBreak/>
        <w:t xml:space="preserve">El siguiente </w:t>
      </w:r>
      <w:r>
        <w:rPr>
          <w:rFonts w:ascii="Century Gothic" w:hAnsi="Century Gothic"/>
          <w:b w:val="0"/>
          <w:color w:val="auto"/>
          <w:szCs w:val="20"/>
        </w:rPr>
        <w:t xml:space="preserve">cuadro, </w:t>
      </w:r>
      <w:r w:rsidR="00621956">
        <w:rPr>
          <w:rFonts w:ascii="Century Gothic" w:hAnsi="Century Gothic"/>
          <w:b w:val="0"/>
          <w:color w:val="auto"/>
          <w:szCs w:val="20"/>
        </w:rPr>
        <w:t>muestra los Índices de Cumplimiento individuales alcanzados por las instituciones integrantes de este grupo de sujetos obligados, junto a la evolución de estos índices respecto de 2021, así como las recomendaciones implantadas entre las evaluaciones 2021 y 2022 así como las recomendaciones y mejoras que se han aplicado durante el periodo de observaciones.</w:t>
      </w:r>
      <w:bookmarkEnd w:id="12"/>
    </w:p>
    <w:p w:rsidR="004B5A06" w:rsidRDefault="004B5A06" w:rsidP="006C0613">
      <w:pPr>
        <w:pStyle w:val="Ttulo3"/>
      </w:pPr>
    </w:p>
    <w:tbl>
      <w:tblPr>
        <w:tblStyle w:val="Cuadrculamedia3-nfasis2"/>
        <w:tblW w:w="11624" w:type="dxa"/>
        <w:tblInd w:w="-1168" w:type="dxa"/>
        <w:tblLayout w:type="fixed"/>
        <w:tblLook w:val="04A0" w:firstRow="1" w:lastRow="0" w:firstColumn="1" w:lastColumn="0" w:noHBand="0" w:noVBand="1"/>
      </w:tblPr>
      <w:tblGrid>
        <w:gridCol w:w="2553"/>
        <w:gridCol w:w="1580"/>
        <w:gridCol w:w="1569"/>
        <w:gridCol w:w="2057"/>
        <w:gridCol w:w="2057"/>
        <w:gridCol w:w="1808"/>
      </w:tblGrid>
      <w:tr w:rsidR="006818C2" w:rsidRPr="008E5FF1" w:rsidTr="008E5FF1">
        <w:trPr>
          <w:cnfStyle w:val="100000000000" w:firstRow="1" w:lastRow="0" w:firstColumn="0" w:lastColumn="0" w:oddVBand="0" w:evenVBand="0" w:oddHBand="0" w:evenHBand="0" w:firstRowFirstColumn="0" w:firstRowLastColumn="0" w:lastRowFirstColumn="0" w:lastRowLastColumn="0"/>
          <w:trHeight w:val="1419"/>
        </w:trPr>
        <w:tc>
          <w:tcPr>
            <w:cnfStyle w:val="001000000000" w:firstRow="0" w:lastRow="0" w:firstColumn="1" w:lastColumn="0" w:oddVBand="0" w:evenVBand="0" w:oddHBand="0" w:evenHBand="0" w:firstRowFirstColumn="0" w:firstRowLastColumn="0" w:lastRowFirstColumn="0" w:lastRowLastColumn="0"/>
            <w:tcW w:w="2553" w:type="dxa"/>
            <w:noWrap/>
            <w:hideMark/>
          </w:tcPr>
          <w:p w:rsidR="006818C2" w:rsidRPr="008E5FF1" w:rsidRDefault="004D777E" w:rsidP="006818C2">
            <w:pPr>
              <w:jc w:val="left"/>
              <w:rPr>
                <w:rFonts w:eastAsia="Times New Roman" w:cs="Calibri"/>
                <w:sz w:val="20"/>
              </w:rPr>
            </w:pPr>
            <w:r w:rsidRPr="008E5FF1">
              <w:rPr>
                <w:rFonts w:eastAsia="Times New Roman" w:cs="Calibri"/>
                <w:sz w:val="20"/>
              </w:rPr>
              <w:t>Institución</w:t>
            </w:r>
          </w:p>
        </w:tc>
        <w:tc>
          <w:tcPr>
            <w:tcW w:w="1580" w:type="dxa"/>
            <w:noWrap/>
            <w:hideMark/>
          </w:tcPr>
          <w:p w:rsidR="006818C2" w:rsidRPr="008E5FF1" w:rsidRDefault="006818C2" w:rsidP="004D777E">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8E5FF1">
              <w:rPr>
                <w:rFonts w:eastAsia="Times New Roman" w:cs="Calibri"/>
                <w:sz w:val="20"/>
              </w:rPr>
              <w:t>Cumplimiento</w:t>
            </w:r>
          </w:p>
        </w:tc>
        <w:tc>
          <w:tcPr>
            <w:tcW w:w="1569" w:type="dxa"/>
            <w:noWrap/>
            <w:hideMark/>
          </w:tcPr>
          <w:p w:rsidR="006818C2" w:rsidRPr="008E5FF1" w:rsidRDefault="004D777E" w:rsidP="004D777E">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8E5FF1">
              <w:rPr>
                <w:rFonts w:eastAsia="Times New Roman" w:cs="Calibri"/>
                <w:sz w:val="20"/>
              </w:rPr>
              <w:t>Diferencia respecto de 2021 (puntos porcentuales)</w:t>
            </w:r>
          </w:p>
        </w:tc>
        <w:tc>
          <w:tcPr>
            <w:tcW w:w="2057" w:type="dxa"/>
            <w:noWrap/>
            <w:hideMark/>
          </w:tcPr>
          <w:p w:rsidR="006818C2" w:rsidRPr="008E5FF1" w:rsidRDefault="004D777E" w:rsidP="004D777E">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8E5FF1">
              <w:rPr>
                <w:rFonts w:eastAsia="Times New Roman" w:cs="Calibri"/>
                <w:sz w:val="20"/>
              </w:rPr>
              <w:t>Recomendaciones totales</w:t>
            </w:r>
          </w:p>
        </w:tc>
        <w:tc>
          <w:tcPr>
            <w:tcW w:w="2057" w:type="dxa"/>
            <w:noWrap/>
            <w:hideMark/>
          </w:tcPr>
          <w:p w:rsidR="006818C2" w:rsidRPr="008E5FF1" w:rsidRDefault="004D777E" w:rsidP="004D777E">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8E5FF1">
              <w:rPr>
                <w:rFonts w:eastAsia="Times New Roman" w:cs="Calibri"/>
                <w:sz w:val="20"/>
              </w:rPr>
              <w:t>Recomendaciones aplicadas</w:t>
            </w:r>
          </w:p>
        </w:tc>
        <w:tc>
          <w:tcPr>
            <w:tcW w:w="1808" w:type="dxa"/>
            <w:hideMark/>
          </w:tcPr>
          <w:p w:rsidR="006818C2" w:rsidRPr="008E5FF1" w:rsidRDefault="006818C2" w:rsidP="004D777E">
            <w:pPr>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8E5FF1">
              <w:rPr>
                <w:rFonts w:eastAsia="Times New Roman" w:cs="Calibri"/>
                <w:sz w:val="20"/>
              </w:rPr>
              <w:t xml:space="preserve">Recomendaciones </w:t>
            </w:r>
            <w:r w:rsidR="004D777E" w:rsidRPr="008E5FF1">
              <w:rPr>
                <w:rFonts w:eastAsia="Times New Roman" w:cs="Calibri"/>
                <w:sz w:val="20"/>
              </w:rPr>
              <w:t>o</w:t>
            </w:r>
            <w:r w:rsidRPr="008E5FF1">
              <w:rPr>
                <w:rFonts w:eastAsia="Times New Roman" w:cs="Calibri"/>
                <w:sz w:val="20"/>
              </w:rPr>
              <w:t xml:space="preserve"> Mejoras implantadas durante el periodo de observaciones</w:t>
            </w:r>
          </w:p>
        </w:tc>
      </w:tr>
      <w:tr w:rsidR="00E440E4" w:rsidRPr="008E5FF1" w:rsidTr="008E5F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noWrap/>
          </w:tcPr>
          <w:p w:rsidR="00E440E4" w:rsidRPr="00AA30EF" w:rsidRDefault="00E440E4" w:rsidP="00E440E4">
            <w:pPr>
              <w:jc w:val="left"/>
            </w:pPr>
            <w:r w:rsidRPr="00E440E4">
              <w:rPr>
                <w:rFonts w:eastAsia="Times New Roman" w:cs="Calibri"/>
                <w:sz w:val="20"/>
              </w:rPr>
              <w:t>Casa Real</w:t>
            </w:r>
          </w:p>
        </w:tc>
        <w:tc>
          <w:tcPr>
            <w:tcW w:w="1580" w:type="dxa"/>
            <w:noWrap/>
          </w:tcPr>
          <w:p w:rsidR="00E440E4" w:rsidRPr="00E440E4" w:rsidRDefault="00E440E4" w:rsidP="00E440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Pr>
                <w:rFonts w:eastAsia="Times New Roman" w:cs="Calibri"/>
                <w:color w:val="000000"/>
                <w:sz w:val="20"/>
              </w:rPr>
              <w:t>100</w:t>
            </w:r>
          </w:p>
        </w:tc>
        <w:tc>
          <w:tcPr>
            <w:tcW w:w="1569" w:type="dxa"/>
            <w:noWrap/>
          </w:tcPr>
          <w:p w:rsidR="00E440E4" w:rsidRPr="00E440E4" w:rsidRDefault="00E440E4" w:rsidP="00E440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Pr>
                <w:rFonts w:eastAsia="Times New Roman" w:cs="Calibri"/>
                <w:color w:val="000000"/>
                <w:sz w:val="20"/>
              </w:rPr>
              <w:t>21,4</w:t>
            </w:r>
          </w:p>
        </w:tc>
        <w:tc>
          <w:tcPr>
            <w:tcW w:w="2057" w:type="dxa"/>
            <w:noWrap/>
          </w:tcPr>
          <w:p w:rsidR="00E440E4" w:rsidRPr="00E440E4" w:rsidRDefault="00E440E4" w:rsidP="00E440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E440E4">
              <w:rPr>
                <w:rFonts w:eastAsia="Times New Roman" w:cs="Calibri"/>
                <w:color w:val="000000"/>
                <w:sz w:val="20"/>
              </w:rPr>
              <w:t>7</w:t>
            </w:r>
          </w:p>
        </w:tc>
        <w:tc>
          <w:tcPr>
            <w:tcW w:w="2057" w:type="dxa"/>
            <w:noWrap/>
          </w:tcPr>
          <w:p w:rsidR="00E440E4" w:rsidRPr="00E440E4" w:rsidRDefault="00E440E4" w:rsidP="00E440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E440E4">
              <w:rPr>
                <w:rFonts w:eastAsia="Times New Roman" w:cs="Calibri"/>
                <w:color w:val="000000"/>
                <w:sz w:val="20"/>
              </w:rPr>
              <w:t>7</w:t>
            </w:r>
          </w:p>
        </w:tc>
        <w:tc>
          <w:tcPr>
            <w:tcW w:w="1808" w:type="dxa"/>
            <w:noWrap/>
          </w:tcPr>
          <w:p w:rsidR="00E440E4" w:rsidRPr="00E440E4" w:rsidRDefault="00E440E4" w:rsidP="00E440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r>
      <w:tr w:rsidR="006818C2" w:rsidRPr="008E5FF1" w:rsidTr="008E5FF1">
        <w:trPr>
          <w:trHeight w:val="300"/>
        </w:trPr>
        <w:tc>
          <w:tcPr>
            <w:cnfStyle w:val="001000000000" w:firstRow="0" w:lastRow="0" w:firstColumn="1" w:lastColumn="0" w:oddVBand="0" w:evenVBand="0" w:oddHBand="0" w:evenHBand="0" w:firstRowFirstColumn="0" w:firstRowLastColumn="0" w:lastRowFirstColumn="0" w:lastRowLastColumn="0"/>
            <w:tcW w:w="2553" w:type="dxa"/>
            <w:noWrap/>
            <w:hideMark/>
          </w:tcPr>
          <w:p w:rsidR="006818C2" w:rsidRPr="008E5FF1" w:rsidRDefault="006818C2" w:rsidP="006818C2">
            <w:pPr>
              <w:jc w:val="left"/>
              <w:rPr>
                <w:rFonts w:eastAsia="Times New Roman" w:cs="Calibri"/>
                <w:sz w:val="20"/>
              </w:rPr>
            </w:pPr>
            <w:r w:rsidRPr="008E5FF1">
              <w:rPr>
                <w:rFonts w:eastAsia="Times New Roman" w:cs="Calibri"/>
                <w:sz w:val="20"/>
              </w:rPr>
              <w:t>Tribunal Constitucional</w:t>
            </w:r>
          </w:p>
        </w:tc>
        <w:tc>
          <w:tcPr>
            <w:tcW w:w="1580"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100</w:t>
            </w:r>
          </w:p>
        </w:tc>
        <w:tc>
          <w:tcPr>
            <w:tcW w:w="1569"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14,8</w:t>
            </w:r>
          </w:p>
        </w:tc>
        <w:tc>
          <w:tcPr>
            <w:tcW w:w="2057"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4</w:t>
            </w:r>
          </w:p>
        </w:tc>
        <w:tc>
          <w:tcPr>
            <w:tcW w:w="2057"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4</w:t>
            </w:r>
          </w:p>
        </w:tc>
        <w:tc>
          <w:tcPr>
            <w:tcW w:w="1808"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r>
      <w:tr w:rsidR="00E440E4" w:rsidRPr="008E5FF1" w:rsidTr="008E5F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noWrap/>
            <w:hideMark/>
          </w:tcPr>
          <w:p w:rsidR="00E440E4" w:rsidRPr="00DB71E4" w:rsidRDefault="00E440E4" w:rsidP="00E440E4">
            <w:r w:rsidRPr="00E440E4">
              <w:rPr>
                <w:rFonts w:eastAsia="Times New Roman" w:cs="Calibri"/>
                <w:sz w:val="20"/>
              </w:rPr>
              <w:t>Defensor</w:t>
            </w:r>
          </w:p>
        </w:tc>
        <w:tc>
          <w:tcPr>
            <w:tcW w:w="1580" w:type="dxa"/>
            <w:noWrap/>
            <w:hideMark/>
          </w:tcPr>
          <w:p w:rsidR="00E440E4" w:rsidRPr="00E440E4" w:rsidRDefault="00E440E4" w:rsidP="00E440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E440E4">
              <w:rPr>
                <w:rFonts w:eastAsia="Times New Roman" w:cs="Calibri"/>
                <w:color w:val="000000"/>
                <w:sz w:val="20"/>
              </w:rPr>
              <w:t>100</w:t>
            </w:r>
          </w:p>
        </w:tc>
        <w:tc>
          <w:tcPr>
            <w:tcW w:w="1569" w:type="dxa"/>
            <w:noWrap/>
            <w:hideMark/>
          </w:tcPr>
          <w:p w:rsidR="00E440E4" w:rsidRPr="00E440E4" w:rsidRDefault="00E440E4" w:rsidP="00E440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E440E4">
              <w:rPr>
                <w:rFonts w:eastAsia="Times New Roman" w:cs="Calibri"/>
                <w:color w:val="000000"/>
                <w:sz w:val="20"/>
              </w:rPr>
              <w:t>22,8</w:t>
            </w:r>
          </w:p>
        </w:tc>
        <w:tc>
          <w:tcPr>
            <w:tcW w:w="2057" w:type="dxa"/>
            <w:noWrap/>
            <w:hideMark/>
          </w:tcPr>
          <w:p w:rsidR="00E440E4" w:rsidRPr="00E440E4" w:rsidRDefault="00E440E4" w:rsidP="00E440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E440E4">
              <w:rPr>
                <w:rFonts w:eastAsia="Times New Roman" w:cs="Calibri"/>
                <w:color w:val="000000"/>
                <w:sz w:val="20"/>
              </w:rPr>
              <w:t>5</w:t>
            </w:r>
          </w:p>
        </w:tc>
        <w:tc>
          <w:tcPr>
            <w:tcW w:w="2057" w:type="dxa"/>
            <w:noWrap/>
            <w:hideMark/>
          </w:tcPr>
          <w:p w:rsidR="00E440E4" w:rsidRPr="00E440E4" w:rsidRDefault="00E440E4" w:rsidP="00E440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E440E4">
              <w:rPr>
                <w:rFonts w:eastAsia="Times New Roman" w:cs="Calibri"/>
                <w:color w:val="000000"/>
                <w:sz w:val="20"/>
              </w:rPr>
              <w:t>5</w:t>
            </w:r>
          </w:p>
        </w:tc>
        <w:tc>
          <w:tcPr>
            <w:tcW w:w="1808" w:type="dxa"/>
            <w:noWrap/>
            <w:hideMark/>
          </w:tcPr>
          <w:p w:rsidR="00E440E4" w:rsidRPr="00E440E4" w:rsidRDefault="00E440E4" w:rsidP="00E440E4">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r>
      <w:tr w:rsidR="006818C2" w:rsidRPr="008E5FF1" w:rsidTr="008E5FF1">
        <w:trPr>
          <w:trHeight w:val="300"/>
        </w:trPr>
        <w:tc>
          <w:tcPr>
            <w:cnfStyle w:val="001000000000" w:firstRow="0" w:lastRow="0" w:firstColumn="1" w:lastColumn="0" w:oddVBand="0" w:evenVBand="0" w:oddHBand="0" w:evenHBand="0" w:firstRowFirstColumn="0" w:firstRowLastColumn="0" w:lastRowFirstColumn="0" w:lastRowLastColumn="0"/>
            <w:tcW w:w="2553" w:type="dxa"/>
            <w:noWrap/>
            <w:hideMark/>
          </w:tcPr>
          <w:p w:rsidR="006818C2" w:rsidRPr="008E5FF1" w:rsidRDefault="00D0408A" w:rsidP="006818C2">
            <w:pPr>
              <w:jc w:val="left"/>
              <w:rPr>
                <w:rFonts w:eastAsia="Times New Roman" w:cs="Calibri"/>
                <w:sz w:val="20"/>
              </w:rPr>
            </w:pPr>
            <w:r>
              <w:rPr>
                <w:rFonts w:eastAsia="Times New Roman" w:cs="Calibri"/>
                <w:sz w:val="20"/>
              </w:rPr>
              <w:t>Consejo General del Poder Judicial</w:t>
            </w:r>
          </w:p>
        </w:tc>
        <w:tc>
          <w:tcPr>
            <w:tcW w:w="1580"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98,2</w:t>
            </w:r>
          </w:p>
        </w:tc>
        <w:tc>
          <w:tcPr>
            <w:tcW w:w="1569"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12,1</w:t>
            </w:r>
          </w:p>
        </w:tc>
        <w:tc>
          <w:tcPr>
            <w:tcW w:w="2057"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5</w:t>
            </w:r>
          </w:p>
        </w:tc>
        <w:tc>
          <w:tcPr>
            <w:tcW w:w="2057"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5</w:t>
            </w:r>
          </w:p>
        </w:tc>
        <w:tc>
          <w:tcPr>
            <w:tcW w:w="1808"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2</w:t>
            </w:r>
          </w:p>
        </w:tc>
      </w:tr>
      <w:tr w:rsidR="006818C2" w:rsidRPr="008E5FF1" w:rsidTr="008E5F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noWrap/>
            <w:hideMark/>
          </w:tcPr>
          <w:p w:rsidR="006818C2" w:rsidRPr="008E5FF1" w:rsidRDefault="006818C2" w:rsidP="006818C2">
            <w:pPr>
              <w:jc w:val="left"/>
              <w:rPr>
                <w:rFonts w:eastAsia="Times New Roman" w:cs="Calibri"/>
                <w:sz w:val="20"/>
              </w:rPr>
            </w:pPr>
            <w:r w:rsidRPr="008E5FF1">
              <w:rPr>
                <w:rFonts w:eastAsia="Times New Roman" w:cs="Calibri"/>
                <w:sz w:val="20"/>
              </w:rPr>
              <w:t>Tribunal de Cuentas</w:t>
            </w:r>
          </w:p>
        </w:tc>
        <w:tc>
          <w:tcPr>
            <w:tcW w:w="1580" w:type="dxa"/>
            <w:noWrap/>
            <w:hideMark/>
          </w:tcPr>
          <w:p w:rsidR="006818C2" w:rsidRPr="008E5FF1" w:rsidRDefault="006818C2" w:rsidP="004D777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98,2</w:t>
            </w:r>
          </w:p>
        </w:tc>
        <w:tc>
          <w:tcPr>
            <w:tcW w:w="1569" w:type="dxa"/>
            <w:noWrap/>
            <w:hideMark/>
          </w:tcPr>
          <w:p w:rsidR="006818C2" w:rsidRPr="008E5FF1" w:rsidRDefault="006818C2" w:rsidP="004D777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10,8</w:t>
            </w:r>
          </w:p>
        </w:tc>
        <w:tc>
          <w:tcPr>
            <w:tcW w:w="2057" w:type="dxa"/>
            <w:noWrap/>
            <w:hideMark/>
          </w:tcPr>
          <w:p w:rsidR="006818C2" w:rsidRPr="008E5FF1" w:rsidRDefault="006818C2" w:rsidP="004D777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3</w:t>
            </w:r>
          </w:p>
        </w:tc>
        <w:tc>
          <w:tcPr>
            <w:tcW w:w="2057" w:type="dxa"/>
            <w:noWrap/>
            <w:hideMark/>
          </w:tcPr>
          <w:p w:rsidR="006818C2" w:rsidRPr="008E5FF1" w:rsidRDefault="006818C2" w:rsidP="004D777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3</w:t>
            </w:r>
          </w:p>
        </w:tc>
        <w:tc>
          <w:tcPr>
            <w:tcW w:w="1808" w:type="dxa"/>
            <w:noWrap/>
            <w:hideMark/>
          </w:tcPr>
          <w:p w:rsidR="006818C2" w:rsidRPr="008E5FF1" w:rsidRDefault="006818C2" w:rsidP="004D777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r>
      <w:tr w:rsidR="006818C2" w:rsidRPr="008E5FF1" w:rsidTr="008E5FF1">
        <w:trPr>
          <w:trHeight w:val="300"/>
        </w:trPr>
        <w:tc>
          <w:tcPr>
            <w:cnfStyle w:val="001000000000" w:firstRow="0" w:lastRow="0" w:firstColumn="1" w:lastColumn="0" w:oddVBand="0" w:evenVBand="0" w:oddHBand="0" w:evenHBand="0" w:firstRowFirstColumn="0" w:firstRowLastColumn="0" w:lastRowFirstColumn="0" w:lastRowLastColumn="0"/>
            <w:tcW w:w="2553" w:type="dxa"/>
            <w:noWrap/>
            <w:hideMark/>
          </w:tcPr>
          <w:p w:rsidR="006818C2" w:rsidRPr="008E5FF1" w:rsidRDefault="006818C2" w:rsidP="006818C2">
            <w:pPr>
              <w:jc w:val="left"/>
              <w:rPr>
                <w:rFonts w:eastAsia="Times New Roman" w:cs="Calibri"/>
                <w:sz w:val="20"/>
              </w:rPr>
            </w:pPr>
            <w:r w:rsidRPr="008E5FF1">
              <w:rPr>
                <w:rFonts w:eastAsia="Times New Roman" w:cs="Calibri"/>
                <w:sz w:val="20"/>
              </w:rPr>
              <w:t>Senado</w:t>
            </w:r>
          </w:p>
        </w:tc>
        <w:tc>
          <w:tcPr>
            <w:tcW w:w="1580"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97,1</w:t>
            </w:r>
          </w:p>
        </w:tc>
        <w:tc>
          <w:tcPr>
            <w:tcW w:w="1569"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10,3</w:t>
            </w:r>
          </w:p>
        </w:tc>
        <w:tc>
          <w:tcPr>
            <w:tcW w:w="2057"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5</w:t>
            </w:r>
          </w:p>
        </w:tc>
        <w:tc>
          <w:tcPr>
            <w:tcW w:w="2057"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4</w:t>
            </w:r>
          </w:p>
        </w:tc>
        <w:tc>
          <w:tcPr>
            <w:tcW w:w="1808"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3</w:t>
            </w:r>
          </w:p>
        </w:tc>
      </w:tr>
      <w:tr w:rsidR="006818C2" w:rsidRPr="008E5FF1" w:rsidTr="008E5F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noWrap/>
            <w:hideMark/>
          </w:tcPr>
          <w:p w:rsidR="006818C2" w:rsidRPr="008E5FF1" w:rsidRDefault="006818C2" w:rsidP="006818C2">
            <w:pPr>
              <w:jc w:val="left"/>
              <w:rPr>
                <w:rFonts w:eastAsia="Times New Roman" w:cs="Calibri"/>
                <w:sz w:val="20"/>
              </w:rPr>
            </w:pPr>
            <w:r w:rsidRPr="008E5FF1">
              <w:rPr>
                <w:rFonts w:eastAsia="Times New Roman" w:cs="Calibri"/>
                <w:sz w:val="20"/>
              </w:rPr>
              <w:t>Congreso</w:t>
            </w:r>
            <w:r w:rsidR="00D0408A">
              <w:rPr>
                <w:rFonts w:eastAsia="Times New Roman" w:cs="Calibri"/>
                <w:sz w:val="20"/>
              </w:rPr>
              <w:t xml:space="preserve"> de los Diputados</w:t>
            </w:r>
          </w:p>
        </w:tc>
        <w:tc>
          <w:tcPr>
            <w:tcW w:w="1580" w:type="dxa"/>
            <w:noWrap/>
            <w:hideMark/>
          </w:tcPr>
          <w:p w:rsidR="006818C2" w:rsidRPr="008E5FF1" w:rsidRDefault="00E440E4" w:rsidP="004D777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Pr>
                <w:rFonts w:eastAsia="Times New Roman" w:cs="Calibri"/>
                <w:color w:val="000000"/>
                <w:sz w:val="20"/>
              </w:rPr>
              <w:t>93,0</w:t>
            </w:r>
          </w:p>
        </w:tc>
        <w:tc>
          <w:tcPr>
            <w:tcW w:w="1569" w:type="dxa"/>
            <w:noWrap/>
            <w:hideMark/>
          </w:tcPr>
          <w:p w:rsidR="006818C2" w:rsidRPr="008E5FF1" w:rsidRDefault="00E440E4" w:rsidP="004D777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Pr>
                <w:rFonts w:eastAsia="Times New Roman" w:cs="Calibri"/>
                <w:color w:val="000000"/>
                <w:sz w:val="20"/>
              </w:rPr>
              <w:t>11,0</w:t>
            </w:r>
          </w:p>
        </w:tc>
        <w:tc>
          <w:tcPr>
            <w:tcW w:w="2057" w:type="dxa"/>
            <w:noWrap/>
            <w:hideMark/>
          </w:tcPr>
          <w:p w:rsidR="006818C2" w:rsidRPr="008E5FF1" w:rsidRDefault="006818C2" w:rsidP="004D777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8</w:t>
            </w:r>
          </w:p>
        </w:tc>
        <w:tc>
          <w:tcPr>
            <w:tcW w:w="2057" w:type="dxa"/>
            <w:noWrap/>
            <w:hideMark/>
          </w:tcPr>
          <w:p w:rsidR="006818C2" w:rsidRPr="008E5FF1" w:rsidRDefault="00E440E4" w:rsidP="004D777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Pr>
                <w:rFonts w:eastAsia="Times New Roman" w:cs="Calibri"/>
                <w:color w:val="000000"/>
                <w:sz w:val="20"/>
              </w:rPr>
              <w:t>6</w:t>
            </w:r>
          </w:p>
        </w:tc>
        <w:tc>
          <w:tcPr>
            <w:tcW w:w="1808" w:type="dxa"/>
            <w:noWrap/>
            <w:hideMark/>
          </w:tcPr>
          <w:p w:rsidR="006818C2" w:rsidRPr="008E5FF1" w:rsidRDefault="00E440E4" w:rsidP="004D777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Pr>
                <w:rFonts w:eastAsia="Times New Roman" w:cs="Calibri"/>
                <w:color w:val="000000"/>
                <w:sz w:val="20"/>
              </w:rPr>
              <w:t>4</w:t>
            </w:r>
          </w:p>
        </w:tc>
      </w:tr>
      <w:tr w:rsidR="006818C2" w:rsidRPr="008E5FF1" w:rsidTr="008E5FF1">
        <w:trPr>
          <w:trHeight w:val="300"/>
        </w:trPr>
        <w:tc>
          <w:tcPr>
            <w:cnfStyle w:val="001000000000" w:firstRow="0" w:lastRow="0" w:firstColumn="1" w:lastColumn="0" w:oddVBand="0" w:evenVBand="0" w:oddHBand="0" w:evenHBand="0" w:firstRowFirstColumn="0" w:firstRowLastColumn="0" w:lastRowFirstColumn="0" w:lastRowLastColumn="0"/>
            <w:tcW w:w="2553" w:type="dxa"/>
            <w:noWrap/>
            <w:hideMark/>
          </w:tcPr>
          <w:p w:rsidR="006818C2" w:rsidRPr="008E5FF1" w:rsidRDefault="006818C2" w:rsidP="006818C2">
            <w:pPr>
              <w:jc w:val="left"/>
              <w:rPr>
                <w:rFonts w:eastAsia="Times New Roman" w:cs="Calibri"/>
                <w:sz w:val="20"/>
              </w:rPr>
            </w:pPr>
            <w:r w:rsidRPr="008E5FF1">
              <w:rPr>
                <w:rFonts w:eastAsia="Times New Roman" w:cs="Calibri"/>
                <w:sz w:val="20"/>
              </w:rPr>
              <w:t>Consejo de Estado</w:t>
            </w:r>
          </w:p>
        </w:tc>
        <w:tc>
          <w:tcPr>
            <w:tcW w:w="1580" w:type="dxa"/>
            <w:noWrap/>
            <w:hideMark/>
          </w:tcPr>
          <w:p w:rsidR="006818C2" w:rsidRPr="008E5FF1" w:rsidRDefault="00B27464"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84,2</w:t>
            </w:r>
          </w:p>
        </w:tc>
        <w:tc>
          <w:tcPr>
            <w:tcW w:w="1569" w:type="dxa"/>
            <w:noWrap/>
            <w:hideMark/>
          </w:tcPr>
          <w:p w:rsidR="006818C2" w:rsidRPr="008E5FF1" w:rsidRDefault="00B27464"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12,3</w:t>
            </w:r>
          </w:p>
        </w:tc>
        <w:tc>
          <w:tcPr>
            <w:tcW w:w="2057"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9</w:t>
            </w:r>
          </w:p>
        </w:tc>
        <w:tc>
          <w:tcPr>
            <w:tcW w:w="2057"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5</w:t>
            </w:r>
          </w:p>
        </w:tc>
        <w:tc>
          <w:tcPr>
            <w:tcW w:w="1808"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r>
      <w:tr w:rsidR="006818C2" w:rsidRPr="008E5FF1" w:rsidTr="008E5FF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3" w:type="dxa"/>
            <w:noWrap/>
            <w:hideMark/>
          </w:tcPr>
          <w:p w:rsidR="006818C2" w:rsidRPr="008E5FF1" w:rsidRDefault="00D0408A" w:rsidP="006818C2">
            <w:pPr>
              <w:jc w:val="left"/>
              <w:rPr>
                <w:rFonts w:eastAsia="Times New Roman" w:cs="Calibri"/>
                <w:sz w:val="20"/>
              </w:rPr>
            </w:pPr>
            <w:r>
              <w:rPr>
                <w:rFonts w:eastAsia="Times New Roman" w:cs="Calibri"/>
                <w:sz w:val="20"/>
              </w:rPr>
              <w:t>Consejo Económico y Social</w:t>
            </w:r>
          </w:p>
        </w:tc>
        <w:tc>
          <w:tcPr>
            <w:tcW w:w="1580" w:type="dxa"/>
            <w:noWrap/>
            <w:hideMark/>
          </w:tcPr>
          <w:p w:rsidR="006818C2" w:rsidRPr="008E5FF1" w:rsidRDefault="006818C2" w:rsidP="004D777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80,6</w:t>
            </w:r>
          </w:p>
        </w:tc>
        <w:tc>
          <w:tcPr>
            <w:tcW w:w="1569" w:type="dxa"/>
            <w:noWrap/>
            <w:hideMark/>
          </w:tcPr>
          <w:p w:rsidR="006818C2" w:rsidRPr="008E5FF1" w:rsidRDefault="006818C2" w:rsidP="004D777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32,0</w:t>
            </w:r>
          </w:p>
        </w:tc>
        <w:tc>
          <w:tcPr>
            <w:tcW w:w="2057" w:type="dxa"/>
            <w:noWrap/>
            <w:hideMark/>
          </w:tcPr>
          <w:p w:rsidR="006818C2" w:rsidRPr="008E5FF1" w:rsidRDefault="006818C2" w:rsidP="004D777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14</w:t>
            </w:r>
          </w:p>
        </w:tc>
        <w:tc>
          <w:tcPr>
            <w:tcW w:w="2057" w:type="dxa"/>
            <w:noWrap/>
            <w:hideMark/>
          </w:tcPr>
          <w:p w:rsidR="006818C2" w:rsidRPr="008E5FF1" w:rsidRDefault="006818C2" w:rsidP="004D777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10</w:t>
            </w:r>
          </w:p>
        </w:tc>
        <w:tc>
          <w:tcPr>
            <w:tcW w:w="1808" w:type="dxa"/>
            <w:noWrap/>
            <w:hideMark/>
          </w:tcPr>
          <w:p w:rsidR="006818C2" w:rsidRPr="008E5FF1" w:rsidRDefault="006818C2" w:rsidP="004D777E">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2</w:t>
            </w:r>
          </w:p>
        </w:tc>
      </w:tr>
      <w:tr w:rsidR="006818C2" w:rsidRPr="008E5FF1" w:rsidTr="008E5FF1">
        <w:trPr>
          <w:trHeight w:val="300"/>
        </w:trPr>
        <w:tc>
          <w:tcPr>
            <w:cnfStyle w:val="001000000000" w:firstRow="0" w:lastRow="0" w:firstColumn="1" w:lastColumn="0" w:oddVBand="0" w:evenVBand="0" w:oddHBand="0" w:evenHBand="0" w:firstRowFirstColumn="0" w:firstRowLastColumn="0" w:lastRowFirstColumn="0" w:lastRowLastColumn="0"/>
            <w:tcW w:w="2553" w:type="dxa"/>
            <w:noWrap/>
            <w:hideMark/>
          </w:tcPr>
          <w:p w:rsidR="006818C2" w:rsidRPr="008E5FF1" w:rsidRDefault="006818C2" w:rsidP="00D0408A">
            <w:pPr>
              <w:jc w:val="left"/>
              <w:rPr>
                <w:rFonts w:eastAsia="Times New Roman" w:cs="Calibri"/>
                <w:sz w:val="20"/>
              </w:rPr>
            </w:pPr>
            <w:r w:rsidRPr="008E5FF1">
              <w:rPr>
                <w:rFonts w:eastAsia="Times New Roman" w:cs="Calibri"/>
                <w:sz w:val="20"/>
              </w:rPr>
              <w:t>F</w:t>
            </w:r>
            <w:r w:rsidR="00D0408A">
              <w:rPr>
                <w:rFonts w:eastAsia="Times New Roman" w:cs="Calibri"/>
                <w:sz w:val="20"/>
              </w:rPr>
              <w:t>iscalía General del Estado</w:t>
            </w:r>
          </w:p>
        </w:tc>
        <w:tc>
          <w:tcPr>
            <w:tcW w:w="1580"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63,7</w:t>
            </w:r>
          </w:p>
        </w:tc>
        <w:tc>
          <w:tcPr>
            <w:tcW w:w="1569"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8,9</w:t>
            </w:r>
          </w:p>
        </w:tc>
        <w:tc>
          <w:tcPr>
            <w:tcW w:w="2057"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8</w:t>
            </w:r>
          </w:p>
        </w:tc>
        <w:tc>
          <w:tcPr>
            <w:tcW w:w="2057"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1</w:t>
            </w:r>
          </w:p>
        </w:tc>
        <w:tc>
          <w:tcPr>
            <w:tcW w:w="1808" w:type="dxa"/>
            <w:noWrap/>
            <w:hideMark/>
          </w:tcPr>
          <w:p w:rsidR="006818C2" w:rsidRPr="008E5FF1" w:rsidRDefault="006818C2" w:rsidP="004D777E">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8E5FF1">
              <w:rPr>
                <w:rFonts w:eastAsia="Times New Roman" w:cs="Calibri"/>
                <w:color w:val="000000"/>
                <w:sz w:val="20"/>
              </w:rPr>
              <w:t>7</w:t>
            </w:r>
          </w:p>
        </w:tc>
      </w:tr>
    </w:tbl>
    <w:p w:rsidR="006818C2" w:rsidRDefault="006818C2" w:rsidP="006818C2"/>
    <w:p w:rsidR="006818C2" w:rsidRDefault="00621956" w:rsidP="006818C2">
      <w:r>
        <w:t xml:space="preserve">Como puede apreciarse, el </w:t>
      </w:r>
      <w:r w:rsidR="00E440E4">
        <w:t>7</w:t>
      </w:r>
      <w:r>
        <w:t xml:space="preserve">0% de las instituciones alcanza índices </w:t>
      </w:r>
      <w:r w:rsidR="00E440E4">
        <w:t>de cumplimiento superiores al 90</w:t>
      </w:r>
      <w:r>
        <w:t>%</w:t>
      </w:r>
      <w:r w:rsidR="00B27464">
        <w:t>. El rango de los Índices de cumplimiento supera los 33 puntos porcentuales. Es preciso señalar que el índice de cumplimiento de algunas de las instituciones que presentan valores más bajos actualmente sería más elevado tras la aplicación de las recomendaciones derivadas de la evaluación realizada en 2022</w:t>
      </w:r>
      <w:r w:rsidR="008E5FF1">
        <w:t xml:space="preserve"> durante el per</w:t>
      </w:r>
      <w:bookmarkStart w:id="13" w:name="_GoBack"/>
      <w:bookmarkEnd w:id="13"/>
      <w:r w:rsidR="008E5FF1">
        <w:t>iodo de observaciones a los informes provisionales de evaluación</w:t>
      </w:r>
      <w:r w:rsidR="00B27464">
        <w:t xml:space="preserve">. Así, por ejemplo, la Fiscalía General del Estado alcanzaría un nivel de cumplimiento superior al 95%. </w:t>
      </w:r>
    </w:p>
    <w:p w:rsidR="004D777E" w:rsidRDefault="008E5FF1" w:rsidP="004D777E">
      <w:r>
        <w:t>En cuanto a los factores que explican el nivel de cumplimiento alcanzado por las instituciones evaluadas, a</w:t>
      </w:r>
      <w:r w:rsidR="004D777E">
        <w:t xml:space="preserve"> la falta de publicación de informaciones obligatorias – no se publica </w:t>
      </w:r>
      <w:r w:rsidR="00E440E4">
        <w:t>casi el 5</w:t>
      </w:r>
      <w:r w:rsidR="004D777E">
        <w:t xml:space="preserve">% de las informaciones – se añade la inexistencia de referencias sobre la actualización de la información y en menor medida, el recurso a fuentes centralizadas </w:t>
      </w:r>
      <w:r>
        <w:t xml:space="preserve">para la publicación de algunas informaciones del bloque económico lo </w:t>
      </w:r>
      <w:r w:rsidR="004D777E">
        <w:t>que dificulta la localización de la información.</w:t>
      </w:r>
    </w:p>
    <w:p w:rsidR="00E440E4" w:rsidRDefault="00E440E4" w:rsidP="004D777E"/>
    <w:p w:rsidR="00E440E4" w:rsidRDefault="00E440E4" w:rsidP="004D777E"/>
    <w:p w:rsidR="00E440E4" w:rsidRDefault="00E440E4" w:rsidP="004D777E"/>
    <w:p w:rsidR="00513EC7" w:rsidRDefault="008E5FF1" w:rsidP="00734470">
      <w:pPr>
        <w:pStyle w:val="Ttulo1"/>
      </w:pPr>
      <w:bookmarkStart w:id="14" w:name="_Toc98321562"/>
      <w:r>
        <w:t>I</w:t>
      </w:r>
      <w:r w:rsidR="00734470">
        <w:t>V.</w:t>
      </w:r>
      <w:r w:rsidR="00DF2B08">
        <w:t xml:space="preserve"> </w:t>
      </w:r>
      <w:r w:rsidR="0065420F">
        <w:t>Conclusiones y Recomendaciones</w:t>
      </w:r>
      <w:bookmarkEnd w:id="14"/>
    </w:p>
    <w:p w:rsidR="00596EDD" w:rsidRDefault="00596EDD" w:rsidP="00596EDD"/>
    <w:p w:rsidR="00E440E4" w:rsidRDefault="00E440E4" w:rsidP="00E440E4">
      <w:pPr>
        <w:spacing w:after="0"/>
        <w:outlineLvl w:val="1"/>
        <w:rPr>
          <w:b/>
          <w:color w:val="325F64" w:themeColor="accent2" w:themeShade="BF"/>
        </w:rPr>
      </w:pPr>
      <w:bookmarkStart w:id="15" w:name="_Toc86323287"/>
      <w:bookmarkStart w:id="16" w:name="_Toc92897765"/>
      <w:bookmarkStart w:id="17" w:name="_Toc93308924"/>
      <w:bookmarkStart w:id="18" w:name="_Toc69312067"/>
      <w:r w:rsidRPr="00E440E4">
        <w:rPr>
          <w:b/>
          <w:color w:val="325F64" w:themeColor="accent2" w:themeShade="BF"/>
        </w:rPr>
        <w:t>Tras la evaluación realizada en 202</w:t>
      </w:r>
      <w:r>
        <w:rPr>
          <w:b/>
          <w:color w:val="325F64" w:themeColor="accent2" w:themeShade="BF"/>
        </w:rPr>
        <w:t>1</w:t>
      </w:r>
      <w:r w:rsidRPr="00E440E4">
        <w:rPr>
          <w:b/>
          <w:color w:val="325F64" w:themeColor="accent2" w:themeShade="BF"/>
        </w:rPr>
        <w:t xml:space="preserve"> se ha aplicado </w:t>
      </w:r>
      <w:r>
        <w:rPr>
          <w:b/>
          <w:color w:val="325F64" w:themeColor="accent2" w:themeShade="BF"/>
        </w:rPr>
        <w:t>más d</w:t>
      </w:r>
      <w:r w:rsidRPr="00E440E4">
        <w:rPr>
          <w:b/>
          <w:color w:val="325F64" w:themeColor="accent2" w:themeShade="BF"/>
        </w:rPr>
        <w:t xml:space="preserve">el </w:t>
      </w:r>
      <w:r>
        <w:rPr>
          <w:b/>
          <w:color w:val="325F64" w:themeColor="accent2" w:themeShade="BF"/>
        </w:rPr>
        <w:t>72</w:t>
      </w:r>
      <w:r w:rsidRPr="00E440E4">
        <w:rPr>
          <w:b/>
          <w:color w:val="325F64" w:themeColor="accent2" w:themeShade="BF"/>
        </w:rPr>
        <w:t xml:space="preserve">% de las recomendaciones efectuadas. </w:t>
      </w:r>
      <w:bookmarkEnd w:id="15"/>
      <w:bookmarkEnd w:id="16"/>
      <w:bookmarkEnd w:id="17"/>
    </w:p>
    <w:p w:rsidR="00E440E4" w:rsidRPr="00E440E4" w:rsidRDefault="00E440E4" w:rsidP="00E440E4">
      <w:pPr>
        <w:spacing w:after="0"/>
        <w:outlineLvl w:val="1"/>
      </w:pPr>
    </w:p>
    <w:p w:rsidR="00E440E4" w:rsidRPr="00E440E4" w:rsidRDefault="00E440E4" w:rsidP="00E440E4">
      <w:r>
        <w:t xml:space="preserve">No obstante es preciso señalar que solo la mitad de las instituciones contempladas en este grupo de sujetos obligados ha aplicado </w:t>
      </w:r>
      <w:proofErr w:type="gramStart"/>
      <w:r>
        <w:t>un 80% o más de dichas recomendaciones</w:t>
      </w:r>
      <w:proofErr w:type="gramEnd"/>
      <w:r>
        <w:t xml:space="preserve">. </w:t>
      </w:r>
      <w:r w:rsidR="007B269C">
        <w:t xml:space="preserve">Sólo una de las instituciones evaluadas </w:t>
      </w:r>
      <w:r w:rsidRPr="00E440E4">
        <w:t xml:space="preserve"> aplicó </w:t>
      </w:r>
      <w:r w:rsidR="007B269C">
        <w:t>menos del 20%</w:t>
      </w:r>
      <w:r w:rsidRPr="00E440E4">
        <w:t xml:space="preserve"> de las recomendaciones efectuadas por este Consejo. </w:t>
      </w:r>
    </w:p>
    <w:p w:rsidR="00E440E4" w:rsidRPr="00E440E4" w:rsidRDefault="00E440E4" w:rsidP="00E440E4">
      <w:pPr>
        <w:pBdr>
          <w:top w:val="single" w:sz="4" w:space="1" w:color="438086" w:themeColor="accent2"/>
          <w:left w:val="single" w:sz="4" w:space="4" w:color="438086" w:themeColor="accent2"/>
          <w:bottom w:val="single" w:sz="4" w:space="1" w:color="438086" w:themeColor="accent2"/>
          <w:right w:val="single" w:sz="4" w:space="4" w:color="438086" w:themeColor="accent2"/>
        </w:pBdr>
        <w:spacing w:after="0"/>
        <w:outlineLvl w:val="1"/>
      </w:pPr>
      <w:bookmarkStart w:id="19" w:name="_Toc93308925"/>
      <w:r w:rsidRPr="00E440E4">
        <w:t xml:space="preserve">La finalidad de las recomendaciones es conseguir mejorar los niveles de cumplimiento de la LTAIBG por parte de los sujetos obligados. Por esta razón es importante que las entidades evaluadas las apliquen. Solo de esta manera es posible avanzar. De hecho entre las </w:t>
      </w:r>
      <w:r>
        <w:t>5</w:t>
      </w:r>
      <w:r w:rsidRPr="00E440E4">
        <w:t xml:space="preserve"> entidades que han aplicado al menos el </w:t>
      </w:r>
      <w:r>
        <w:t>80</w:t>
      </w:r>
      <w:r w:rsidRPr="00E440E4">
        <w:t xml:space="preserve">% de las recomendaciones efectuadas, el incremento del Índice de Cumplimiento de la Información Obligatorias supera los </w:t>
      </w:r>
      <w:r>
        <w:t>15</w:t>
      </w:r>
      <w:r w:rsidRPr="00E440E4">
        <w:t xml:space="preserve"> puntos porcentuales.</w:t>
      </w:r>
      <w:bookmarkEnd w:id="19"/>
    </w:p>
    <w:p w:rsidR="00E440E4" w:rsidRPr="00E440E4" w:rsidRDefault="00E440E4" w:rsidP="00E440E4"/>
    <w:bookmarkEnd w:id="18"/>
    <w:p w:rsidR="00794A50" w:rsidRPr="001836F5" w:rsidRDefault="001836F5" w:rsidP="00596EDD">
      <w:pPr>
        <w:rPr>
          <w:b/>
          <w:color w:val="325F64" w:themeColor="accent2" w:themeShade="BF"/>
        </w:rPr>
      </w:pPr>
      <w:r w:rsidRPr="001836F5">
        <w:rPr>
          <w:b/>
          <w:color w:val="325F64" w:themeColor="accent2" w:themeShade="BF"/>
        </w:rPr>
        <w:t>La información sujeta a obligaciones de publicidad activa está organizada y es fácilmente localizable en las webs institucionales de las instituciones evaluadas</w:t>
      </w:r>
      <w:r w:rsidR="004612EB">
        <w:rPr>
          <w:b/>
          <w:color w:val="325F64" w:themeColor="accent2" w:themeShade="BF"/>
        </w:rPr>
        <w:t>.</w:t>
      </w:r>
    </w:p>
    <w:p w:rsidR="00794A50" w:rsidRDefault="009F4CCF" w:rsidP="00596EDD">
      <w:r>
        <w:t>Respecto de 2021 ha mejorado la presentación de la información y su estructuración. Sin embargo</w:t>
      </w:r>
      <w:r w:rsidR="00CA21DE">
        <w:t>,</w:t>
      </w:r>
      <w:r>
        <w:t xml:space="preserve"> todavía algunas de las instituciones siguen publicando información obligatoria al margen del Portal de Transparencia, </w:t>
      </w:r>
      <w:r w:rsidR="001836F5">
        <w:t>lo que dificulta su localización.</w:t>
      </w:r>
    </w:p>
    <w:p w:rsidR="001836F5" w:rsidRDefault="004D12E5" w:rsidP="001836F5">
      <w:pPr>
        <w:pBdr>
          <w:top w:val="single" w:sz="4" w:space="1" w:color="325F64" w:themeColor="accent2" w:themeShade="BF"/>
          <w:left w:val="single" w:sz="4" w:space="4" w:color="325F64" w:themeColor="accent2" w:themeShade="BF"/>
          <w:bottom w:val="single" w:sz="4" w:space="1" w:color="325F64" w:themeColor="accent2" w:themeShade="BF"/>
          <w:right w:val="single" w:sz="4" w:space="4" w:color="325F64" w:themeColor="accent2" w:themeShade="BF"/>
        </w:pBdr>
      </w:pPr>
      <w:r>
        <w:t>Todas las informaciones obligatorias deberían publicarse</w:t>
      </w:r>
      <w:r w:rsidR="009F4CCF">
        <w:t xml:space="preserve"> </w:t>
      </w:r>
      <w:r>
        <w:t>en el Portal de Transparencia. En el supuesto de que una información se encuentre publicada en otro lugar de la web institucional</w:t>
      </w:r>
      <w:r w:rsidR="00BD5EA0">
        <w:t>,</w:t>
      </w:r>
      <w:r>
        <w:t xml:space="preserve"> debería enlazarse a ella desde el Portal de Transparencia</w:t>
      </w:r>
      <w:r w:rsidR="004612EB">
        <w:t>,</w:t>
      </w:r>
      <w:r>
        <w:t xml:space="preserve"> </w:t>
      </w:r>
      <w:r w:rsidR="004016D1">
        <w:t xml:space="preserve">ubicando dicho enlace en el bloque de información al que pertenezca. </w:t>
      </w:r>
      <w:r>
        <w:t xml:space="preserve">  </w:t>
      </w:r>
    </w:p>
    <w:p w:rsidR="00794A50" w:rsidRPr="002A35CD" w:rsidRDefault="00F710DF" w:rsidP="00596EDD">
      <w:pPr>
        <w:rPr>
          <w:b/>
          <w:color w:val="325F64" w:themeColor="accent2" w:themeShade="BF"/>
        </w:rPr>
      </w:pPr>
      <w:r w:rsidRPr="002A35CD">
        <w:rPr>
          <w:b/>
          <w:color w:val="325F64" w:themeColor="accent2" w:themeShade="BF"/>
        </w:rPr>
        <w:t xml:space="preserve">En promedio se publica casi el </w:t>
      </w:r>
      <w:r w:rsidR="00CA21DE">
        <w:rPr>
          <w:b/>
          <w:color w:val="325F64" w:themeColor="accent2" w:themeShade="BF"/>
        </w:rPr>
        <w:t>96</w:t>
      </w:r>
      <w:r w:rsidRPr="002A35CD">
        <w:rPr>
          <w:b/>
          <w:color w:val="325F64" w:themeColor="accent2" w:themeShade="BF"/>
        </w:rPr>
        <w:t xml:space="preserve">% de las informaciones obligatorias </w:t>
      </w:r>
      <w:r w:rsidR="009F4CCF">
        <w:rPr>
          <w:b/>
          <w:color w:val="325F64" w:themeColor="accent2" w:themeShade="BF"/>
        </w:rPr>
        <w:t>aumentando notablemente la proporción de informaciones obligatorias que se publican respecto de 2021. No obstante, siguen existiendo</w:t>
      </w:r>
      <w:r w:rsidRPr="002A35CD">
        <w:rPr>
          <w:b/>
          <w:color w:val="325F64" w:themeColor="accent2" w:themeShade="BF"/>
        </w:rPr>
        <w:t xml:space="preserve"> diferencias entre bloques de información y variabilidad entre las instituciones evaluadas</w:t>
      </w:r>
      <w:r w:rsidR="004016D1" w:rsidRPr="002A35CD">
        <w:rPr>
          <w:b/>
          <w:color w:val="325F64" w:themeColor="accent2" w:themeShade="BF"/>
        </w:rPr>
        <w:t xml:space="preserve">. </w:t>
      </w:r>
    </w:p>
    <w:p w:rsidR="00AB1458" w:rsidRDefault="00F710DF" w:rsidP="00596EDD">
      <w:r w:rsidRPr="002A35CD">
        <w:t>Mientras en el bloque de</w:t>
      </w:r>
      <w:r>
        <w:t xml:space="preserve"> Información Institucional y Organizativa se publica prácticamente el </w:t>
      </w:r>
      <w:r w:rsidR="00501D1D">
        <w:t>96</w:t>
      </w:r>
      <w:r>
        <w:t xml:space="preserve">% de la información obligatoria – en este bloque la información que presenta menor cumplimiento es el Registro de Actividades de Tratamiento </w:t>
      </w:r>
      <w:r w:rsidR="00C34DD2">
        <w:t xml:space="preserve">–, en el bloque de Información Económica y Presupuestaria la proporción de contenidos obligatorios publicados </w:t>
      </w:r>
      <w:r w:rsidR="00501D1D">
        <w:t xml:space="preserve">desciende al </w:t>
      </w:r>
      <w:r w:rsidR="00CA21DE">
        <w:t>92,6</w:t>
      </w:r>
      <w:r w:rsidR="00501D1D">
        <w:t>%</w:t>
      </w:r>
      <w:r w:rsidR="00C34DD2">
        <w:t>.</w:t>
      </w:r>
      <w:r w:rsidR="00AB1458">
        <w:t xml:space="preserve"> </w:t>
      </w:r>
      <w:r w:rsidR="00C34DD2">
        <w:t xml:space="preserve">Los contenidos que en </w:t>
      </w:r>
      <w:r w:rsidR="00C34DD2">
        <w:lastRenderedPageBreak/>
        <w:t>menor medida se publican son l</w:t>
      </w:r>
      <w:r w:rsidR="00501D1D">
        <w:t>as modificaciones de</w:t>
      </w:r>
      <w:r w:rsidR="001A7FD3">
        <w:t xml:space="preserve"> los contratos adjudicados, las indemnizaciones concedidas a altos cargos con ocasión del cese y las autorizaciones de compatibilidad para el ejercicio de actividades públicas o privadas concedidas a empleados. </w:t>
      </w:r>
    </w:p>
    <w:p w:rsidR="00705B9D" w:rsidRDefault="00A1325F" w:rsidP="00596EDD">
      <w:r>
        <w:t>Al igual que en 2021, a</w:t>
      </w:r>
      <w:r w:rsidR="001A7FD3">
        <w:t>lgunas de las instituciones en sus informes de observaciones</w:t>
      </w:r>
      <w:r w:rsidR="00AB1458">
        <w:t>,</w:t>
      </w:r>
      <w:r w:rsidR="001A7FD3">
        <w:t xml:space="preserve"> han </w:t>
      </w:r>
      <w:r>
        <w:t>alegado</w:t>
      </w:r>
      <w:r w:rsidR="001A7FD3">
        <w:t xml:space="preserve"> </w:t>
      </w:r>
      <w:r w:rsidR="00705B9D">
        <w:t xml:space="preserve">como causa de la falta de publicación de </w:t>
      </w:r>
      <w:r w:rsidR="001A7FD3">
        <w:t xml:space="preserve">algunas informaciones </w:t>
      </w:r>
      <w:r w:rsidR="00705B9D">
        <w:t>que no existía información que publicar por no haber habido actividad en ese ámbito concreto.</w:t>
      </w:r>
    </w:p>
    <w:p w:rsidR="00705B9D" w:rsidRDefault="00612662" w:rsidP="00705B9D">
      <w:pPr>
        <w:pBdr>
          <w:top w:val="single" w:sz="4" w:space="1" w:color="325F64" w:themeColor="accent2" w:themeShade="BF"/>
          <w:left w:val="single" w:sz="4" w:space="4" w:color="325F64" w:themeColor="accent2" w:themeShade="BF"/>
          <w:bottom w:val="single" w:sz="4" w:space="1" w:color="325F64" w:themeColor="accent2" w:themeShade="BF"/>
          <w:right w:val="single" w:sz="4" w:space="4" w:color="325F64" w:themeColor="accent2" w:themeShade="BF"/>
        </w:pBdr>
      </w:pPr>
      <w:r>
        <w:t xml:space="preserve">La primera recomendación obviamente, es la publicación de todas las informaciones obligatorias. </w:t>
      </w:r>
    </w:p>
    <w:p w:rsidR="00612662" w:rsidRDefault="00524F99" w:rsidP="00705B9D">
      <w:pPr>
        <w:pBdr>
          <w:top w:val="single" w:sz="4" w:space="1" w:color="325F64" w:themeColor="accent2" w:themeShade="BF"/>
          <w:left w:val="single" w:sz="4" w:space="4" w:color="325F64" w:themeColor="accent2" w:themeShade="BF"/>
          <w:bottom w:val="single" w:sz="4" w:space="1" w:color="325F64" w:themeColor="accent2" w:themeShade="BF"/>
          <w:right w:val="single" w:sz="4" w:space="4" w:color="325F64" w:themeColor="accent2" w:themeShade="BF"/>
        </w:pBdr>
      </w:pPr>
      <w:r>
        <w:t xml:space="preserve">En </w:t>
      </w:r>
      <w:r w:rsidR="00F6070C">
        <w:t>cuanto a la falta de publicación de algunas informaciones por no haber existido actividad en ese ámbito concreto, d</w:t>
      </w:r>
      <w:r w:rsidR="00F6070C" w:rsidRPr="00F6070C">
        <w:t xml:space="preserve">esde este Consejo </w:t>
      </w:r>
      <w:r w:rsidR="00CA21DE">
        <w:t xml:space="preserve">ya se señaló en 2021 a este grupo de sujetos obligados, </w:t>
      </w:r>
      <w:r w:rsidR="00F6070C" w:rsidRPr="00F6070C">
        <w:t>que la única manera de distinguir si la falta de publicación de una información sujeta a obligaciones de publicidad activa se debe a un incumplimiento de la obligación de publicar o a que no hay información que publicar porque no ha habido actividad en ese ámbito concreto</w:t>
      </w:r>
      <w:r w:rsidR="00F6070C">
        <w:t xml:space="preserve"> o porque algún tipo de regula</w:t>
      </w:r>
      <w:r w:rsidR="004612EB">
        <w:t>ción no permite su publicación</w:t>
      </w:r>
      <w:r w:rsidR="00F6070C" w:rsidRPr="00F6070C">
        <w:t>, es que se indique expresamente tal circunstancia. Por esta razón, este Consejo, recomienda que en el apartado correspondiente a la obligación de publicidad activa para la que no ha existido actividad</w:t>
      </w:r>
      <w:r w:rsidR="00F6070C">
        <w:t xml:space="preserve"> o cuando no sea posible su publicación porque existan restricciones legales, </w:t>
      </w:r>
      <w:r w:rsidR="00F6070C" w:rsidRPr="00F6070C">
        <w:t>se haga constar expresamente esta circunstancia.</w:t>
      </w:r>
    </w:p>
    <w:p w:rsidR="00C34DD2" w:rsidRPr="00F6070C" w:rsidRDefault="00F6070C" w:rsidP="00596EDD">
      <w:pPr>
        <w:rPr>
          <w:b/>
          <w:color w:val="325F64" w:themeColor="accent2" w:themeShade="BF"/>
        </w:rPr>
      </w:pPr>
      <w:r w:rsidRPr="00F6070C">
        <w:rPr>
          <w:b/>
          <w:color w:val="325F64" w:themeColor="accent2" w:themeShade="BF"/>
        </w:rPr>
        <w:t xml:space="preserve">Aunque </w:t>
      </w:r>
      <w:r w:rsidR="004B627A">
        <w:rPr>
          <w:b/>
          <w:color w:val="325F64" w:themeColor="accent2" w:themeShade="BF"/>
        </w:rPr>
        <w:t>en general los criterios de calidad de la información publicada obtienen una valoración elevada</w:t>
      </w:r>
      <w:r w:rsidR="00A1325F">
        <w:rPr>
          <w:b/>
          <w:color w:val="325F64" w:themeColor="accent2" w:themeShade="BF"/>
        </w:rPr>
        <w:t xml:space="preserve"> y han mejorado respecto de 2021,</w:t>
      </w:r>
      <w:r w:rsidR="004B627A">
        <w:rPr>
          <w:b/>
          <w:color w:val="325F64" w:themeColor="accent2" w:themeShade="BF"/>
        </w:rPr>
        <w:t xml:space="preserve"> existen algunos déficits que afectan a la accesibilidad a la información como consecuencia de la forma de publicar las informaciones y, sobre todo, </w:t>
      </w:r>
      <w:r w:rsidR="00BD5EA0">
        <w:rPr>
          <w:b/>
          <w:color w:val="325F64" w:themeColor="accent2" w:themeShade="BF"/>
        </w:rPr>
        <w:t>se observa</w:t>
      </w:r>
      <w:r w:rsidR="004B627A">
        <w:rPr>
          <w:b/>
          <w:color w:val="325F64" w:themeColor="accent2" w:themeShade="BF"/>
        </w:rPr>
        <w:t xml:space="preserve"> la falta de referencias que permitan saber si la información publicada  está vigente.</w:t>
      </w:r>
    </w:p>
    <w:p w:rsidR="00524F99" w:rsidRDefault="00A1325F" w:rsidP="004B627A">
      <w:pPr>
        <w:tabs>
          <w:tab w:val="left" w:pos="284"/>
        </w:tabs>
        <w:spacing w:before="120" w:after="120" w:line="312" w:lineRule="auto"/>
        <w:rPr>
          <w:rFonts w:cstheme="minorHAnsi"/>
          <w:szCs w:val="24"/>
        </w:rPr>
      </w:pPr>
      <w:r>
        <w:rPr>
          <w:rFonts w:cstheme="minorHAnsi"/>
          <w:szCs w:val="24"/>
        </w:rPr>
        <w:t xml:space="preserve">En algunos casos sigue manteniéndose el criterio de </w:t>
      </w:r>
      <w:r w:rsidR="004B627A">
        <w:rPr>
          <w:rFonts w:cstheme="minorHAnsi"/>
          <w:szCs w:val="24"/>
        </w:rPr>
        <w:t xml:space="preserve">publicación de la información del grupo de </w:t>
      </w:r>
      <w:r w:rsidR="009768D7">
        <w:rPr>
          <w:rFonts w:cstheme="minorHAnsi"/>
          <w:szCs w:val="24"/>
        </w:rPr>
        <w:t xml:space="preserve">contratación a través de los Perfiles del Contratante en la Plataforma de Contratación del Sector Público. </w:t>
      </w:r>
      <w:r>
        <w:rPr>
          <w:rFonts w:cstheme="minorHAnsi"/>
          <w:szCs w:val="24"/>
        </w:rPr>
        <w:t>Como se señaló en 2021, e</w:t>
      </w:r>
      <w:r w:rsidR="009768D7">
        <w:rPr>
          <w:rFonts w:cstheme="minorHAnsi"/>
          <w:szCs w:val="24"/>
        </w:rPr>
        <w:t>l recurso a fuentes centralizadas para la publicación de informaciones obligatorias presenta diferentes problemas:</w:t>
      </w:r>
    </w:p>
    <w:p w:rsidR="009768D7" w:rsidRDefault="009768D7" w:rsidP="009768D7">
      <w:pPr>
        <w:pStyle w:val="Prrafodelista"/>
        <w:numPr>
          <w:ilvl w:val="0"/>
          <w:numId w:val="47"/>
        </w:numPr>
        <w:tabs>
          <w:tab w:val="left" w:pos="284"/>
        </w:tabs>
        <w:spacing w:before="120" w:after="120" w:line="312" w:lineRule="auto"/>
        <w:rPr>
          <w:rFonts w:cstheme="minorHAnsi"/>
          <w:szCs w:val="24"/>
        </w:rPr>
      </w:pPr>
      <w:r>
        <w:rPr>
          <w:rFonts w:cstheme="minorHAnsi"/>
          <w:szCs w:val="24"/>
        </w:rPr>
        <w:t>En primer lugar, se trata de fuentes de información de difícil acceso</w:t>
      </w:r>
      <w:r w:rsidR="006C3BE2">
        <w:rPr>
          <w:rFonts w:cstheme="minorHAnsi"/>
          <w:szCs w:val="24"/>
        </w:rPr>
        <w:t xml:space="preserve"> </w:t>
      </w:r>
      <w:r>
        <w:rPr>
          <w:rFonts w:cstheme="minorHAnsi"/>
          <w:szCs w:val="24"/>
        </w:rPr>
        <w:t>para la ciudadanía por las dificultades de manejo que presentan.</w:t>
      </w:r>
    </w:p>
    <w:p w:rsidR="009768D7" w:rsidRDefault="009768D7" w:rsidP="006C3BE2">
      <w:pPr>
        <w:pStyle w:val="Prrafodelista"/>
        <w:numPr>
          <w:ilvl w:val="0"/>
          <w:numId w:val="47"/>
        </w:numPr>
        <w:tabs>
          <w:tab w:val="left" w:pos="284"/>
        </w:tabs>
        <w:spacing w:before="120" w:after="120" w:line="312" w:lineRule="auto"/>
        <w:rPr>
          <w:rFonts w:cstheme="minorHAnsi"/>
          <w:szCs w:val="24"/>
        </w:rPr>
      </w:pPr>
      <w:r>
        <w:rPr>
          <w:rFonts w:cstheme="minorHAnsi"/>
          <w:szCs w:val="24"/>
        </w:rPr>
        <w:t>En segundo lugar, a</w:t>
      </w:r>
      <w:r w:rsidRPr="009768D7">
        <w:rPr>
          <w:rFonts w:cstheme="minorHAnsi"/>
          <w:szCs w:val="24"/>
        </w:rPr>
        <w:t>l estar diseñadas para otros usos</w:t>
      </w:r>
      <w:r>
        <w:rPr>
          <w:rFonts w:cstheme="minorHAnsi"/>
          <w:szCs w:val="24"/>
        </w:rPr>
        <w:t>,</w:t>
      </w:r>
      <w:r w:rsidRPr="009768D7">
        <w:rPr>
          <w:rFonts w:cstheme="minorHAnsi"/>
          <w:szCs w:val="24"/>
        </w:rPr>
        <w:t xml:space="preserve"> </w:t>
      </w:r>
      <w:r>
        <w:rPr>
          <w:rFonts w:cstheme="minorHAnsi"/>
          <w:szCs w:val="24"/>
        </w:rPr>
        <w:t>i</w:t>
      </w:r>
      <w:r w:rsidRPr="009768D7">
        <w:rPr>
          <w:rFonts w:cstheme="minorHAnsi"/>
          <w:szCs w:val="24"/>
        </w:rPr>
        <w:t xml:space="preserve">ncluyen mucha información no relacionada con las obligaciones de publicidad activa y por el contrario no incluyen otros contenidos que son obligatorios en aplicación de la LTAIBG. </w:t>
      </w:r>
      <w:r>
        <w:rPr>
          <w:rFonts w:cstheme="minorHAnsi"/>
          <w:szCs w:val="24"/>
        </w:rPr>
        <w:t xml:space="preserve"> Siguiendo con el ejemplo de la Plataforma de</w:t>
      </w:r>
      <w:r w:rsidR="006C3BE2">
        <w:rPr>
          <w:rFonts w:cstheme="minorHAnsi"/>
          <w:szCs w:val="24"/>
        </w:rPr>
        <w:t xml:space="preserve"> Contratación del Sector Público</w:t>
      </w:r>
      <w:r>
        <w:rPr>
          <w:rFonts w:cstheme="minorHAnsi"/>
          <w:szCs w:val="24"/>
        </w:rPr>
        <w:t xml:space="preserve">, ésta no incluye entre </w:t>
      </w:r>
      <w:r w:rsidR="006C3BE2">
        <w:rPr>
          <w:rFonts w:cstheme="minorHAnsi"/>
          <w:szCs w:val="24"/>
        </w:rPr>
        <w:t>l</w:t>
      </w:r>
      <w:r>
        <w:rPr>
          <w:rFonts w:cstheme="minorHAnsi"/>
          <w:szCs w:val="24"/>
        </w:rPr>
        <w:t xml:space="preserve">os criterios de búsqueda de licitaciones </w:t>
      </w:r>
      <w:r>
        <w:rPr>
          <w:rFonts w:cstheme="minorHAnsi"/>
          <w:szCs w:val="24"/>
        </w:rPr>
        <w:lastRenderedPageBreak/>
        <w:t>las modificaciones de los contratos</w:t>
      </w:r>
      <w:r w:rsidR="00317852">
        <w:rPr>
          <w:rFonts w:cstheme="minorHAnsi"/>
          <w:szCs w:val="24"/>
        </w:rPr>
        <w:t>,</w:t>
      </w:r>
      <w:r>
        <w:rPr>
          <w:rFonts w:cstheme="minorHAnsi"/>
          <w:szCs w:val="24"/>
        </w:rPr>
        <w:t xml:space="preserve"> que constituye una obligación diferenciada dentro del grupo contratación</w:t>
      </w:r>
      <w:r w:rsidR="006C3BE2">
        <w:rPr>
          <w:rFonts w:cstheme="minorHAnsi"/>
          <w:szCs w:val="24"/>
        </w:rPr>
        <w:t xml:space="preserve">. Localizar la información relativa a modificaciones en la </w:t>
      </w:r>
      <w:r w:rsidR="006C3BE2" w:rsidRPr="006C3BE2">
        <w:rPr>
          <w:rFonts w:cstheme="minorHAnsi"/>
          <w:szCs w:val="24"/>
        </w:rPr>
        <w:t>Plataforma de Contratación del Sector Público</w:t>
      </w:r>
      <w:r w:rsidR="006C3BE2">
        <w:rPr>
          <w:rFonts w:cstheme="minorHAnsi"/>
          <w:szCs w:val="24"/>
        </w:rPr>
        <w:t>, implica</w:t>
      </w:r>
      <w:r w:rsidR="000D2839">
        <w:rPr>
          <w:rFonts w:cstheme="minorHAnsi"/>
          <w:szCs w:val="24"/>
        </w:rPr>
        <w:t>ría</w:t>
      </w:r>
      <w:r w:rsidRPr="009768D7">
        <w:rPr>
          <w:rFonts w:cstheme="minorHAnsi"/>
          <w:szCs w:val="24"/>
        </w:rPr>
        <w:t xml:space="preserve"> abrir los enlaces a cada una de las licitaciones </w:t>
      </w:r>
      <w:r w:rsidR="00317852">
        <w:rPr>
          <w:rFonts w:cstheme="minorHAnsi"/>
          <w:szCs w:val="24"/>
        </w:rPr>
        <w:t>correspondientes a la entidad</w:t>
      </w:r>
      <w:r w:rsidRPr="009768D7">
        <w:rPr>
          <w:rFonts w:cstheme="minorHAnsi"/>
          <w:szCs w:val="24"/>
        </w:rPr>
        <w:t xml:space="preserve"> para conocer si </w:t>
      </w:r>
      <w:r w:rsidR="006C3BE2">
        <w:rPr>
          <w:rFonts w:cstheme="minorHAnsi"/>
          <w:szCs w:val="24"/>
        </w:rPr>
        <w:t>en alguna de ellas se ha dado esta circunstancia.</w:t>
      </w:r>
      <w:r w:rsidR="008762AA">
        <w:rPr>
          <w:rFonts w:cstheme="minorHAnsi"/>
          <w:szCs w:val="24"/>
        </w:rPr>
        <w:t xml:space="preserve"> Un problema adicional es que un</w:t>
      </w:r>
      <w:r w:rsidR="00E165D2">
        <w:rPr>
          <w:rFonts w:cstheme="minorHAnsi"/>
          <w:szCs w:val="24"/>
        </w:rPr>
        <w:t>a</w:t>
      </w:r>
      <w:r w:rsidR="008762AA">
        <w:rPr>
          <w:rFonts w:cstheme="minorHAnsi"/>
          <w:szCs w:val="24"/>
        </w:rPr>
        <w:t xml:space="preserve"> </w:t>
      </w:r>
      <w:r w:rsidR="00E165D2">
        <w:rPr>
          <w:rFonts w:cstheme="minorHAnsi"/>
          <w:szCs w:val="24"/>
        </w:rPr>
        <w:t xml:space="preserve">entidad puede tener más de un órgano de contratación, lo que supone una dificultad </w:t>
      </w:r>
      <w:r w:rsidR="007D671A">
        <w:rPr>
          <w:rFonts w:cstheme="minorHAnsi"/>
          <w:szCs w:val="24"/>
        </w:rPr>
        <w:t>añadida</w:t>
      </w:r>
      <w:r w:rsidR="00E165D2">
        <w:rPr>
          <w:rFonts w:cstheme="minorHAnsi"/>
          <w:szCs w:val="24"/>
        </w:rPr>
        <w:t>.</w:t>
      </w:r>
      <w:r w:rsidR="008762AA">
        <w:rPr>
          <w:rFonts w:cstheme="minorHAnsi"/>
          <w:szCs w:val="24"/>
        </w:rPr>
        <w:t xml:space="preserve"> </w:t>
      </w:r>
    </w:p>
    <w:p w:rsidR="006C3BE2" w:rsidRPr="009768D7" w:rsidRDefault="006C3BE2" w:rsidP="006C3BE2">
      <w:pPr>
        <w:pStyle w:val="Prrafodelista"/>
        <w:numPr>
          <w:ilvl w:val="0"/>
          <w:numId w:val="47"/>
        </w:numPr>
        <w:tabs>
          <w:tab w:val="left" w:pos="284"/>
        </w:tabs>
        <w:spacing w:before="120" w:after="120" w:line="312" w:lineRule="auto"/>
        <w:rPr>
          <w:rFonts w:cstheme="minorHAnsi"/>
          <w:szCs w:val="24"/>
        </w:rPr>
      </w:pPr>
      <w:r>
        <w:rPr>
          <w:rFonts w:cstheme="minorHAnsi"/>
          <w:szCs w:val="24"/>
        </w:rPr>
        <w:t xml:space="preserve">En tercer lugar, </w:t>
      </w:r>
      <w:r w:rsidRPr="006C3BE2">
        <w:rPr>
          <w:rFonts w:cstheme="minorHAnsi"/>
          <w:szCs w:val="24"/>
        </w:rPr>
        <w:t xml:space="preserve">un problema </w:t>
      </w:r>
      <w:r w:rsidR="007D671A">
        <w:rPr>
          <w:rFonts w:cstheme="minorHAnsi"/>
          <w:szCs w:val="24"/>
        </w:rPr>
        <w:t xml:space="preserve">que se suma </w:t>
      </w:r>
      <w:r w:rsidRPr="006C3BE2">
        <w:rPr>
          <w:rFonts w:cstheme="minorHAnsi"/>
          <w:szCs w:val="24"/>
        </w:rPr>
        <w:t>a los ya señalados</w:t>
      </w:r>
      <w:r w:rsidR="00317852">
        <w:rPr>
          <w:rFonts w:cstheme="minorHAnsi"/>
          <w:szCs w:val="24"/>
        </w:rPr>
        <w:t>,</w:t>
      </w:r>
      <w:r>
        <w:rPr>
          <w:rFonts w:cstheme="minorHAnsi"/>
          <w:szCs w:val="24"/>
        </w:rPr>
        <w:t xml:space="preserve"> es</w:t>
      </w:r>
      <w:r w:rsidRPr="006C3BE2">
        <w:rPr>
          <w:rFonts w:cstheme="minorHAnsi"/>
          <w:szCs w:val="24"/>
        </w:rPr>
        <w:t xml:space="preserve"> la imposibilidad de que la entidad que adopta </w:t>
      </w:r>
      <w:r w:rsidR="00BD5EA0">
        <w:rPr>
          <w:rFonts w:cstheme="minorHAnsi"/>
          <w:szCs w:val="24"/>
        </w:rPr>
        <w:t>la</w:t>
      </w:r>
      <w:r w:rsidRPr="006C3BE2">
        <w:rPr>
          <w:rFonts w:cstheme="minorHAnsi"/>
          <w:szCs w:val="24"/>
        </w:rPr>
        <w:t xml:space="preserve"> decisión</w:t>
      </w:r>
      <w:r w:rsidR="00BD5EA0">
        <w:rPr>
          <w:rFonts w:cstheme="minorHAnsi"/>
          <w:szCs w:val="24"/>
        </w:rPr>
        <w:t xml:space="preserve"> de publicar información enlazando a fuentes centralizadas,</w:t>
      </w:r>
      <w:r w:rsidRPr="006C3BE2">
        <w:rPr>
          <w:rFonts w:cstheme="minorHAnsi"/>
          <w:szCs w:val="24"/>
        </w:rPr>
        <w:t xml:space="preserve"> pueda controlar tanto los contenidos como el mantenimiento de los enlaces a su inform</w:t>
      </w:r>
      <w:r>
        <w:rPr>
          <w:rFonts w:cstheme="minorHAnsi"/>
          <w:szCs w:val="24"/>
        </w:rPr>
        <w:t>ación en la fuente centralizada</w:t>
      </w:r>
      <w:r w:rsidR="00317852">
        <w:rPr>
          <w:rFonts w:cstheme="minorHAnsi"/>
          <w:szCs w:val="24"/>
        </w:rPr>
        <w:t xml:space="preserve">. </w:t>
      </w:r>
    </w:p>
    <w:p w:rsidR="00524F99" w:rsidRPr="006C3BE2" w:rsidRDefault="006C3BE2" w:rsidP="006C3BE2">
      <w:pPr>
        <w:pBdr>
          <w:top w:val="single" w:sz="8" w:space="1" w:color="226860"/>
          <w:left w:val="single" w:sz="8" w:space="4" w:color="226860"/>
          <w:bottom w:val="single" w:sz="8" w:space="1" w:color="226860"/>
          <w:right w:val="single" w:sz="8" w:space="4" w:color="226860"/>
        </w:pBdr>
        <w:tabs>
          <w:tab w:val="left" w:pos="284"/>
        </w:tabs>
        <w:spacing w:before="120" w:after="120"/>
        <w:rPr>
          <w:rFonts w:cstheme="minorHAnsi"/>
          <w:szCs w:val="24"/>
        </w:rPr>
      </w:pPr>
      <w:r w:rsidRPr="006C3BE2">
        <w:rPr>
          <w:rFonts w:cstheme="minorHAnsi"/>
          <w:szCs w:val="24"/>
        </w:rPr>
        <w:t>Por esta</w:t>
      </w:r>
      <w:r>
        <w:rPr>
          <w:rFonts w:cstheme="minorHAnsi"/>
          <w:szCs w:val="24"/>
        </w:rPr>
        <w:t>s razones</w:t>
      </w:r>
      <w:r w:rsidRPr="006C3BE2">
        <w:rPr>
          <w:rFonts w:cstheme="minorHAnsi"/>
          <w:szCs w:val="24"/>
        </w:rPr>
        <w:t xml:space="preserve"> desde este Consejo se </w:t>
      </w:r>
      <w:r>
        <w:rPr>
          <w:rFonts w:cstheme="minorHAnsi"/>
          <w:szCs w:val="24"/>
        </w:rPr>
        <w:t>insiste en recomendar</w:t>
      </w:r>
      <w:r w:rsidRPr="006C3BE2">
        <w:rPr>
          <w:rFonts w:cstheme="minorHAnsi"/>
          <w:szCs w:val="24"/>
        </w:rPr>
        <w:t xml:space="preserve"> que para facilitar la accesibilidad y la comprensión de esta información además de enlazar a la fuente centralizada se publiquen cuadros-resumen con todos los contenidos que para cada obligación establece la LTAIBG. </w:t>
      </w:r>
    </w:p>
    <w:p w:rsidR="00E30EFD" w:rsidRDefault="00E30EFD" w:rsidP="00631760">
      <w:pPr>
        <w:tabs>
          <w:tab w:val="left" w:pos="284"/>
        </w:tabs>
        <w:spacing w:before="120" w:after="120" w:line="312" w:lineRule="auto"/>
        <w:rPr>
          <w:rFonts w:cstheme="minorHAnsi"/>
          <w:szCs w:val="24"/>
        </w:rPr>
      </w:pPr>
    </w:p>
    <w:p w:rsidR="00631760" w:rsidRPr="00631760" w:rsidRDefault="00631760" w:rsidP="00631760">
      <w:pPr>
        <w:tabs>
          <w:tab w:val="left" w:pos="284"/>
        </w:tabs>
        <w:spacing w:before="120" w:after="120" w:line="312" w:lineRule="auto"/>
        <w:rPr>
          <w:rFonts w:cstheme="minorHAnsi"/>
          <w:szCs w:val="24"/>
        </w:rPr>
      </w:pPr>
      <w:r w:rsidRPr="00631760">
        <w:rPr>
          <w:rFonts w:cstheme="minorHAnsi"/>
          <w:szCs w:val="24"/>
        </w:rPr>
        <w:t>Respecto de la actualización de la información</w:t>
      </w:r>
      <w:r>
        <w:rPr>
          <w:rFonts w:cstheme="minorHAnsi"/>
          <w:szCs w:val="24"/>
        </w:rPr>
        <w:t xml:space="preserve">, </w:t>
      </w:r>
      <w:r w:rsidR="00A1325F">
        <w:rPr>
          <w:rFonts w:cstheme="minorHAnsi"/>
          <w:szCs w:val="24"/>
        </w:rPr>
        <w:t xml:space="preserve">todavía se observan déficits en cuanto a la publicación </w:t>
      </w:r>
      <w:r>
        <w:rPr>
          <w:rFonts w:cstheme="minorHAnsi"/>
          <w:szCs w:val="24"/>
        </w:rPr>
        <w:t xml:space="preserve">en los Portales de Transparencia </w:t>
      </w:r>
      <w:r w:rsidR="00A1325F">
        <w:rPr>
          <w:rFonts w:cstheme="minorHAnsi"/>
          <w:szCs w:val="24"/>
        </w:rPr>
        <w:t xml:space="preserve">de </w:t>
      </w:r>
      <w:r>
        <w:rPr>
          <w:rFonts w:cstheme="minorHAnsi"/>
          <w:szCs w:val="24"/>
        </w:rPr>
        <w:t xml:space="preserve">la fecha en que se revisó o actualizó por última vez la información publicada. También en ocasiones, los documentos que contienen la información no están datados.  </w:t>
      </w:r>
      <w:r w:rsidRPr="00631760">
        <w:rPr>
          <w:rFonts w:cstheme="minorHAnsi"/>
          <w:szCs w:val="24"/>
        </w:rPr>
        <w:t xml:space="preserve"> </w:t>
      </w:r>
    </w:p>
    <w:p w:rsidR="00631760" w:rsidRDefault="00A1325F" w:rsidP="00631760">
      <w:pPr>
        <w:tabs>
          <w:tab w:val="left" w:pos="284"/>
        </w:tabs>
        <w:spacing w:before="120" w:after="120" w:line="312" w:lineRule="auto"/>
        <w:rPr>
          <w:rFonts w:cstheme="minorHAnsi"/>
          <w:szCs w:val="24"/>
        </w:rPr>
      </w:pPr>
      <w:r>
        <w:rPr>
          <w:rFonts w:cstheme="minorHAnsi"/>
          <w:szCs w:val="24"/>
        </w:rPr>
        <w:t xml:space="preserve">Por otra parte, algunas </w:t>
      </w:r>
      <w:r w:rsidR="00A57F5B">
        <w:rPr>
          <w:rFonts w:cstheme="minorHAnsi"/>
          <w:szCs w:val="24"/>
        </w:rPr>
        <w:t xml:space="preserve">instituciones </w:t>
      </w:r>
      <w:r>
        <w:rPr>
          <w:rFonts w:cstheme="minorHAnsi"/>
          <w:szCs w:val="24"/>
        </w:rPr>
        <w:t>siguen manteniendo</w:t>
      </w:r>
      <w:r w:rsidR="00A57F5B">
        <w:rPr>
          <w:rFonts w:cstheme="minorHAnsi"/>
          <w:szCs w:val="24"/>
        </w:rPr>
        <w:t xml:space="preserve"> el criterio respecto de varias obligaciones del bloque Información Económica y Presupuestaria, de no actualizar la información hasta que se produce la liquidación del presupuesto o se presentan las cuentas anuales.</w:t>
      </w:r>
    </w:p>
    <w:p w:rsidR="00A57F5B" w:rsidRDefault="00A1325F" w:rsidP="00A57F5B">
      <w:pPr>
        <w:pBdr>
          <w:top w:val="single" w:sz="8" w:space="1" w:color="226860"/>
          <w:left w:val="single" w:sz="8" w:space="4" w:color="226860"/>
          <w:bottom w:val="single" w:sz="8" w:space="1" w:color="226860"/>
          <w:right w:val="single" w:sz="8" w:space="4" w:color="226860"/>
        </w:pBdr>
        <w:tabs>
          <w:tab w:val="left" w:pos="284"/>
        </w:tabs>
        <w:spacing w:before="120" w:after="120" w:line="312" w:lineRule="auto"/>
        <w:rPr>
          <w:rFonts w:cstheme="minorHAnsi"/>
          <w:szCs w:val="24"/>
        </w:rPr>
      </w:pPr>
      <w:r>
        <w:rPr>
          <w:rFonts w:cstheme="minorHAnsi"/>
          <w:szCs w:val="24"/>
        </w:rPr>
        <w:t>Aunque los contenidos relativos a informaciones obligatorias sean estables en el tiempo,</w:t>
      </w:r>
      <w:r w:rsidR="00A57F5B">
        <w:rPr>
          <w:rFonts w:cstheme="minorHAnsi"/>
          <w:szCs w:val="24"/>
        </w:rPr>
        <w:t xml:space="preserve"> </w:t>
      </w:r>
      <w:r w:rsidR="00A57F5B" w:rsidRPr="00A57F5B">
        <w:rPr>
          <w:rFonts w:cstheme="minorHAnsi"/>
          <w:szCs w:val="24"/>
        </w:rPr>
        <w:t xml:space="preserve">es preciso señalar que la única posibilidad que tienen los ciudadanos de saber si la información publicada está vigente o no, es que en </w:t>
      </w:r>
      <w:r w:rsidR="00317852">
        <w:rPr>
          <w:rFonts w:cstheme="minorHAnsi"/>
          <w:szCs w:val="24"/>
        </w:rPr>
        <w:t>el</w:t>
      </w:r>
      <w:r w:rsidR="00A57F5B" w:rsidRPr="00A57F5B">
        <w:rPr>
          <w:rFonts w:cstheme="minorHAnsi"/>
          <w:szCs w:val="24"/>
        </w:rPr>
        <w:t xml:space="preserve"> Portal </w:t>
      </w:r>
      <w:r w:rsidR="00317852">
        <w:rPr>
          <w:rFonts w:cstheme="minorHAnsi"/>
          <w:szCs w:val="24"/>
        </w:rPr>
        <w:t xml:space="preserve">de Transparencia </w:t>
      </w:r>
      <w:r w:rsidR="00A57F5B" w:rsidRPr="00A57F5B">
        <w:rPr>
          <w:rFonts w:cstheme="minorHAnsi"/>
          <w:szCs w:val="24"/>
        </w:rPr>
        <w:t xml:space="preserve">se indique expresamente. En este sentido bastaría con que en </w:t>
      </w:r>
      <w:r w:rsidR="00E30EFD">
        <w:rPr>
          <w:rFonts w:cstheme="minorHAnsi"/>
          <w:szCs w:val="24"/>
        </w:rPr>
        <w:t>la</w:t>
      </w:r>
      <w:r w:rsidR="00A57F5B" w:rsidRPr="00A57F5B">
        <w:rPr>
          <w:rFonts w:cstheme="minorHAnsi"/>
          <w:szCs w:val="24"/>
        </w:rPr>
        <w:t xml:space="preserve"> página inicial se mostrase la fecha de la última revisión o actualización </w:t>
      </w:r>
      <w:r w:rsidR="00317852">
        <w:rPr>
          <w:rFonts w:cstheme="minorHAnsi"/>
          <w:szCs w:val="24"/>
        </w:rPr>
        <w:t xml:space="preserve">de la información contenida en </w:t>
      </w:r>
      <w:r w:rsidR="00A57F5B" w:rsidRPr="00A57F5B">
        <w:rPr>
          <w:rFonts w:cstheme="minorHAnsi"/>
          <w:szCs w:val="24"/>
        </w:rPr>
        <w:t>el Portal.</w:t>
      </w:r>
    </w:p>
    <w:p w:rsidR="00A57F5B" w:rsidRPr="00A57F5B" w:rsidRDefault="00A57F5B" w:rsidP="00A57F5B">
      <w:pPr>
        <w:pBdr>
          <w:top w:val="single" w:sz="8" w:space="1" w:color="226860"/>
          <w:left w:val="single" w:sz="8" w:space="4" w:color="226860"/>
          <w:bottom w:val="single" w:sz="8" w:space="1" w:color="226860"/>
          <w:right w:val="single" w:sz="8" w:space="4" w:color="226860"/>
        </w:pBdr>
        <w:tabs>
          <w:tab w:val="left" w:pos="284"/>
        </w:tabs>
        <w:spacing w:before="120" w:after="120" w:line="312" w:lineRule="auto"/>
        <w:rPr>
          <w:rFonts w:cstheme="minorHAnsi"/>
          <w:szCs w:val="24"/>
        </w:rPr>
      </w:pPr>
      <w:r>
        <w:rPr>
          <w:rFonts w:cstheme="minorHAnsi"/>
          <w:szCs w:val="24"/>
        </w:rPr>
        <w:t xml:space="preserve">Y respecto de la segunda cuestión, </w:t>
      </w:r>
      <w:r w:rsidR="00E26834">
        <w:rPr>
          <w:rFonts w:cstheme="minorHAnsi"/>
          <w:szCs w:val="24"/>
        </w:rPr>
        <w:t>publicación de información económica a ejercicio vencido, e</w:t>
      </w:r>
      <w:r w:rsidRPr="00A57F5B">
        <w:rPr>
          <w:rFonts w:cstheme="minorHAnsi"/>
          <w:szCs w:val="24"/>
        </w:rPr>
        <w:t xml:space="preserve">l problema es que este criterio de publicación implica que la información se encuentre desactualizada. Por esta razón este Consejo recomienda </w:t>
      </w:r>
      <w:r w:rsidR="00E26834">
        <w:rPr>
          <w:rFonts w:cstheme="minorHAnsi"/>
          <w:szCs w:val="24"/>
        </w:rPr>
        <w:t xml:space="preserve">que aquellas informaciones que son conocidas a inicio del año – por ejemplo las retribuciones de altos cargos y máximos responsables – o que se refieren a </w:t>
      </w:r>
      <w:r w:rsidR="00E26834">
        <w:rPr>
          <w:rFonts w:cstheme="minorHAnsi"/>
          <w:szCs w:val="24"/>
        </w:rPr>
        <w:lastRenderedPageBreak/>
        <w:t>actividades que pueden producirse en cualquier momento del año – por ejemplo, las indemnizaciones al cese de altos cargos – o</w:t>
      </w:r>
      <w:r w:rsidR="00317852">
        <w:rPr>
          <w:rFonts w:cstheme="minorHAnsi"/>
          <w:szCs w:val="24"/>
        </w:rPr>
        <w:t xml:space="preserve"> que</w:t>
      </w:r>
      <w:r w:rsidR="00E26834">
        <w:rPr>
          <w:rFonts w:cstheme="minorHAnsi"/>
          <w:szCs w:val="24"/>
        </w:rPr>
        <w:t xml:space="preserve"> se desarrollan de manera continua – por ejemplo, la información estadística sobre contratación o la ejecución presupuestaria – se publiquen </w:t>
      </w:r>
      <w:r w:rsidRPr="00A57F5B">
        <w:rPr>
          <w:rFonts w:cstheme="minorHAnsi"/>
          <w:szCs w:val="24"/>
        </w:rPr>
        <w:t xml:space="preserve">con una periodicidad inferior a la anual, dado que </w:t>
      </w:r>
      <w:r w:rsidR="00E26834">
        <w:rPr>
          <w:rFonts w:cstheme="minorHAnsi"/>
          <w:szCs w:val="24"/>
        </w:rPr>
        <w:t xml:space="preserve">además, se refieren a obligaciones individuales y diferentes de la publicación del presupuesto o de las cuentas anuales. </w:t>
      </w:r>
    </w:p>
    <w:p w:rsidR="004612EB" w:rsidRDefault="004612EB">
      <w:pPr>
        <w:jc w:val="left"/>
      </w:pPr>
    </w:p>
    <w:p w:rsidR="004612EB" w:rsidRDefault="004612EB" w:rsidP="004612EB">
      <w:pPr>
        <w:rPr>
          <w:b/>
          <w:color w:val="325F64" w:themeColor="accent2" w:themeShade="BF"/>
        </w:rPr>
      </w:pPr>
      <w:r w:rsidRPr="004612EB">
        <w:rPr>
          <w:b/>
          <w:color w:val="325F64" w:themeColor="accent2" w:themeShade="BF"/>
        </w:rPr>
        <w:t>E</w:t>
      </w:r>
      <w:r>
        <w:rPr>
          <w:b/>
          <w:color w:val="325F64" w:themeColor="accent2" w:themeShade="BF"/>
        </w:rPr>
        <w:t>n promedio e</w:t>
      </w:r>
      <w:r w:rsidRPr="004612EB">
        <w:rPr>
          <w:b/>
          <w:color w:val="325F64" w:themeColor="accent2" w:themeShade="BF"/>
        </w:rPr>
        <w:t>l índice de Cumplimiento de</w:t>
      </w:r>
      <w:r>
        <w:rPr>
          <w:b/>
          <w:color w:val="325F64" w:themeColor="accent2" w:themeShade="BF"/>
        </w:rPr>
        <w:t xml:space="preserve"> </w:t>
      </w:r>
      <w:r w:rsidRPr="004612EB">
        <w:rPr>
          <w:b/>
          <w:color w:val="325F64" w:themeColor="accent2" w:themeShade="BF"/>
        </w:rPr>
        <w:t>la Información Obligatoria (ICIO)</w:t>
      </w:r>
      <w:r>
        <w:rPr>
          <w:b/>
          <w:color w:val="325F64" w:themeColor="accent2" w:themeShade="BF"/>
        </w:rPr>
        <w:t xml:space="preserve"> alcanza un valor elevado, un </w:t>
      </w:r>
      <w:r w:rsidR="00CA21DE">
        <w:rPr>
          <w:b/>
          <w:color w:val="325F64" w:themeColor="accent2" w:themeShade="BF"/>
        </w:rPr>
        <w:t>94</w:t>
      </w:r>
      <w:r>
        <w:rPr>
          <w:b/>
          <w:color w:val="325F64" w:themeColor="accent2" w:themeShade="BF"/>
        </w:rPr>
        <w:t>%</w:t>
      </w:r>
      <w:r w:rsidR="00BD5EA0">
        <w:rPr>
          <w:b/>
          <w:color w:val="325F64" w:themeColor="accent2" w:themeShade="BF"/>
        </w:rPr>
        <w:t>. B</w:t>
      </w:r>
      <w:r>
        <w:rPr>
          <w:b/>
          <w:color w:val="325F64" w:themeColor="accent2" w:themeShade="BF"/>
        </w:rPr>
        <w:t xml:space="preserve">astaría con </w:t>
      </w:r>
      <w:r w:rsidR="00BD5EA0">
        <w:rPr>
          <w:b/>
          <w:color w:val="325F64" w:themeColor="accent2" w:themeShade="BF"/>
        </w:rPr>
        <w:t>aplicar</w:t>
      </w:r>
      <w:r>
        <w:rPr>
          <w:b/>
          <w:color w:val="325F64" w:themeColor="accent2" w:themeShade="BF"/>
        </w:rPr>
        <w:t xml:space="preserve"> algunas de las recomendaciones efectuad</w:t>
      </w:r>
      <w:r w:rsidR="009400C9">
        <w:rPr>
          <w:b/>
          <w:color w:val="325F64" w:themeColor="accent2" w:themeShade="BF"/>
        </w:rPr>
        <w:t>as</w:t>
      </w:r>
      <w:r>
        <w:rPr>
          <w:b/>
          <w:color w:val="325F64" w:themeColor="accent2" w:themeShade="BF"/>
        </w:rPr>
        <w:t xml:space="preserve"> para obtener una notable mejora. Por otra parte, existe una gran variabilidad entre las instituciones evaluadas.</w:t>
      </w:r>
    </w:p>
    <w:p w:rsidR="00E30EFD" w:rsidRDefault="009400C9" w:rsidP="004612EB">
      <w:pPr>
        <w:rPr>
          <w:rFonts w:cstheme="minorHAnsi"/>
          <w:szCs w:val="24"/>
        </w:rPr>
      </w:pPr>
      <w:r w:rsidRPr="009400C9">
        <w:rPr>
          <w:rFonts w:cstheme="minorHAnsi"/>
          <w:szCs w:val="24"/>
        </w:rPr>
        <w:t>Respecto de esta última cuesti</w:t>
      </w:r>
      <w:r>
        <w:rPr>
          <w:rFonts w:cstheme="minorHAnsi"/>
          <w:szCs w:val="24"/>
        </w:rPr>
        <w:t xml:space="preserve">ón, </w:t>
      </w:r>
      <w:r w:rsidR="00CA21DE">
        <w:rPr>
          <w:rFonts w:cstheme="minorHAnsi"/>
          <w:szCs w:val="24"/>
        </w:rPr>
        <w:t>ocho</w:t>
      </w:r>
      <w:r>
        <w:rPr>
          <w:rFonts w:cstheme="minorHAnsi"/>
          <w:szCs w:val="24"/>
        </w:rPr>
        <w:t xml:space="preserve"> de las </w:t>
      </w:r>
      <w:r w:rsidR="002A35CD">
        <w:rPr>
          <w:rFonts w:cstheme="minorHAnsi"/>
          <w:szCs w:val="24"/>
        </w:rPr>
        <w:t>diez</w:t>
      </w:r>
      <w:r>
        <w:rPr>
          <w:rFonts w:cstheme="minorHAnsi"/>
          <w:szCs w:val="24"/>
        </w:rPr>
        <w:t xml:space="preserve"> instituciones evaluadas presentan niveles de cumplimiento iguales o superiores al índice de cumplimiento medio</w:t>
      </w:r>
      <w:r w:rsidR="00CE4882">
        <w:rPr>
          <w:rFonts w:cstheme="minorHAnsi"/>
          <w:szCs w:val="24"/>
        </w:rPr>
        <w:t>,</w:t>
      </w:r>
      <w:r w:rsidR="00E30EFD">
        <w:rPr>
          <w:rFonts w:cstheme="minorHAnsi"/>
          <w:szCs w:val="24"/>
        </w:rPr>
        <w:t xml:space="preserve"> </w:t>
      </w:r>
      <w:r w:rsidR="00CA21DE">
        <w:rPr>
          <w:rFonts w:cstheme="minorHAnsi"/>
          <w:szCs w:val="24"/>
        </w:rPr>
        <w:t>tres</w:t>
      </w:r>
      <w:r w:rsidR="00E30EFD">
        <w:rPr>
          <w:rFonts w:cstheme="minorHAnsi"/>
          <w:szCs w:val="24"/>
        </w:rPr>
        <w:t xml:space="preserve"> instituciones alcanzan un 100% de cumplimiento y otras </w:t>
      </w:r>
      <w:r w:rsidR="00CA21DE">
        <w:rPr>
          <w:rFonts w:cstheme="minorHAnsi"/>
          <w:szCs w:val="24"/>
        </w:rPr>
        <w:t>tres</w:t>
      </w:r>
      <w:r w:rsidR="00E30EFD">
        <w:rPr>
          <w:rFonts w:cstheme="minorHAnsi"/>
          <w:szCs w:val="24"/>
        </w:rPr>
        <w:t xml:space="preserve"> se sitúan en valores que oscilan entre el </w:t>
      </w:r>
      <w:r w:rsidR="00CA21DE">
        <w:rPr>
          <w:rFonts w:cstheme="minorHAnsi"/>
          <w:szCs w:val="24"/>
        </w:rPr>
        <w:t>97</w:t>
      </w:r>
      <w:r w:rsidR="00E30EFD">
        <w:rPr>
          <w:rFonts w:cstheme="minorHAnsi"/>
          <w:szCs w:val="24"/>
        </w:rPr>
        <w:t xml:space="preserve"> y el 99%. </w:t>
      </w:r>
    </w:p>
    <w:p w:rsidR="002C07EB" w:rsidRDefault="002C07EB" w:rsidP="00E213C5">
      <w:pPr>
        <w:spacing w:before="120" w:after="120"/>
        <w:ind w:left="142"/>
        <w:rPr>
          <w:rFonts w:eastAsia="Times New Roman" w:cs="Times New Roman"/>
          <w:bCs/>
          <w:szCs w:val="22"/>
          <w:lang w:bidi="es-ES"/>
        </w:rPr>
      </w:pPr>
    </w:p>
    <w:p w:rsidR="00E30EFD" w:rsidRDefault="00E30EFD" w:rsidP="00E213C5">
      <w:pPr>
        <w:spacing w:before="120" w:after="120"/>
        <w:ind w:left="142"/>
        <w:rPr>
          <w:rFonts w:eastAsia="Times New Roman" w:cs="Times New Roman"/>
          <w:bCs/>
          <w:szCs w:val="22"/>
          <w:lang w:bidi="es-ES"/>
        </w:rPr>
      </w:pPr>
    </w:p>
    <w:p w:rsidR="00E30EFD" w:rsidRDefault="00E30EFD" w:rsidP="00E213C5">
      <w:pPr>
        <w:spacing w:before="120" w:after="120"/>
        <w:ind w:left="142"/>
        <w:rPr>
          <w:rFonts w:eastAsia="Times New Roman" w:cs="Times New Roman"/>
          <w:bCs/>
          <w:szCs w:val="22"/>
          <w:lang w:bidi="es-ES"/>
        </w:rPr>
      </w:pPr>
    </w:p>
    <w:p w:rsidR="00E30EFD" w:rsidRDefault="00E30EFD" w:rsidP="00E213C5">
      <w:pPr>
        <w:spacing w:before="120" w:after="120"/>
        <w:ind w:left="142"/>
        <w:rPr>
          <w:rFonts w:eastAsia="Times New Roman" w:cs="Times New Roman"/>
          <w:bCs/>
          <w:szCs w:val="22"/>
          <w:lang w:bidi="es-ES"/>
        </w:rPr>
      </w:pPr>
    </w:p>
    <w:p w:rsidR="00E30EFD" w:rsidRDefault="00E30EFD" w:rsidP="00E213C5">
      <w:pPr>
        <w:spacing w:before="120" w:after="120"/>
        <w:ind w:left="142"/>
        <w:rPr>
          <w:rFonts w:eastAsia="Times New Roman" w:cs="Times New Roman"/>
          <w:bCs/>
          <w:szCs w:val="22"/>
          <w:lang w:bidi="es-ES"/>
        </w:rPr>
      </w:pPr>
    </w:p>
    <w:p w:rsidR="00E30EFD" w:rsidRDefault="00E30EFD" w:rsidP="00E213C5">
      <w:pPr>
        <w:spacing w:before="120" w:after="120"/>
        <w:ind w:left="142"/>
        <w:rPr>
          <w:rFonts w:eastAsia="Times New Roman" w:cs="Times New Roman"/>
          <w:bCs/>
          <w:szCs w:val="22"/>
          <w:lang w:bidi="es-ES"/>
        </w:rPr>
      </w:pPr>
    </w:p>
    <w:p w:rsidR="00E30EFD" w:rsidRDefault="00E30EFD" w:rsidP="00E213C5">
      <w:pPr>
        <w:spacing w:before="120" w:after="120"/>
        <w:ind w:left="142"/>
        <w:rPr>
          <w:rFonts w:eastAsia="Times New Roman" w:cs="Times New Roman"/>
          <w:bCs/>
          <w:szCs w:val="22"/>
          <w:lang w:bidi="es-ES"/>
        </w:rPr>
      </w:pPr>
    </w:p>
    <w:p w:rsidR="00E30EFD" w:rsidRDefault="00E30EFD" w:rsidP="00E213C5">
      <w:pPr>
        <w:spacing w:before="120" w:after="120"/>
        <w:ind w:left="142"/>
        <w:rPr>
          <w:rFonts w:eastAsia="Times New Roman" w:cs="Times New Roman"/>
          <w:bCs/>
          <w:szCs w:val="22"/>
          <w:lang w:bidi="es-ES"/>
        </w:rPr>
      </w:pPr>
    </w:p>
    <w:p w:rsidR="00E30EFD" w:rsidRDefault="00E30EFD" w:rsidP="00E213C5">
      <w:pPr>
        <w:spacing w:before="120" w:after="120"/>
        <w:ind w:left="142"/>
        <w:rPr>
          <w:rFonts w:eastAsia="Times New Roman" w:cs="Times New Roman"/>
          <w:bCs/>
          <w:szCs w:val="22"/>
          <w:lang w:bidi="es-ES"/>
        </w:rPr>
      </w:pPr>
    </w:p>
    <w:p w:rsidR="00E30EFD" w:rsidRDefault="00E30EFD" w:rsidP="00E213C5">
      <w:pPr>
        <w:spacing w:before="120" w:after="120"/>
        <w:ind w:left="142"/>
        <w:rPr>
          <w:rFonts w:eastAsia="Times New Roman" w:cs="Times New Roman"/>
          <w:bCs/>
          <w:szCs w:val="22"/>
          <w:lang w:bidi="es-ES"/>
        </w:rPr>
      </w:pPr>
    </w:p>
    <w:p w:rsidR="00E30EFD" w:rsidRDefault="00E30EFD" w:rsidP="00E213C5">
      <w:pPr>
        <w:spacing w:before="120" w:after="120"/>
        <w:ind w:left="142"/>
        <w:rPr>
          <w:rFonts w:eastAsia="Times New Roman" w:cs="Times New Roman"/>
          <w:bCs/>
          <w:szCs w:val="22"/>
          <w:lang w:bidi="es-ES"/>
        </w:rPr>
      </w:pPr>
    </w:p>
    <w:p w:rsidR="00E30EFD" w:rsidRDefault="00E30EFD" w:rsidP="00E213C5">
      <w:pPr>
        <w:spacing w:before="120" w:after="120"/>
        <w:ind w:left="142"/>
        <w:rPr>
          <w:rFonts w:eastAsia="Times New Roman" w:cs="Times New Roman"/>
          <w:bCs/>
          <w:szCs w:val="22"/>
          <w:lang w:bidi="es-ES"/>
        </w:rPr>
      </w:pPr>
    </w:p>
    <w:p w:rsidR="00E30EFD" w:rsidRDefault="00E30EFD" w:rsidP="00E213C5">
      <w:pPr>
        <w:spacing w:before="120" w:after="120"/>
        <w:ind w:left="142"/>
        <w:rPr>
          <w:rFonts w:eastAsia="Times New Roman" w:cs="Times New Roman"/>
          <w:bCs/>
          <w:szCs w:val="22"/>
          <w:lang w:bidi="es-ES"/>
        </w:rPr>
      </w:pPr>
    </w:p>
    <w:p w:rsidR="00E30EFD" w:rsidRDefault="00E30EFD" w:rsidP="00E213C5">
      <w:pPr>
        <w:spacing w:before="120" w:after="120"/>
        <w:ind w:left="142"/>
        <w:rPr>
          <w:rFonts w:eastAsia="Times New Roman" w:cs="Times New Roman"/>
          <w:bCs/>
          <w:szCs w:val="22"/>
          <w:lang w:bidi="es-ES"/>
        </w:rPr>
      </w:pPr>
    </w:p>
    <w:p w:rsidR="0078130A" w:rsidRDefault="0078130A" w:rsidP="00E213C5">
      <w:pPr>
        <w:spacing w:before="120" w:after="120"/>
        <w:ind w:left="142"/>
        <w:rPr>
          <w:rFonts w:eastAsia="Times New Roman" w:cs="Times New Roman"/>
          <w:bCs/>
          <w:szCs w:val="22"/>
          <w:lang w:bidi="es-ES"/>
        </w:rPr>
      </w:pPr>
    </w:p>
    <w:p w:rsidR="0078130A" w:rsidRDefault="0078130A" w:rsidP="00E213C5">
      <w:pPr>
        <w:spacing w:before="120" w:after="120"/>
        <w:ind w:left="142"/>
        <w:rPr>
          <w:rFonts w:eastAsia="Times New Roman" w:cs="Times New Roman"/>
          <w:bCs/>
          <w:szCs w:val="22"/>
          <w:lang w:bidi="es-ES"/>
        </w:rPr>
      </w:pPr>
    </w:p>
    <w:p w:rsidR="0078130A" w:rsidRDefault="0078130A" w:rsidP="00E213C5">
      <w:pPr>
        <w:spacing w:before="120" w:after="120"/>
        <w:ind w:left="142"/>
        <w:rPr>
          <w:rFonts w:eastAsia="Times New Roman" w:cs="Times New Roman"/>
          <w:bCs/>
          <w:szCs w:val="22"/>
          <w:lang w:bidi="es-ES"/>
        </w:rPr>
      </w:pPr>
    </w:p>
    <w:p w:rsidR="0078130A" w:rsidRDefault="0078130A" w:rsidP="00E213C5">
      <w:pPr>
        <w:spacing w:before="120" w:after="120"/>
        <w:ind w:left="142"/>
        <w:rPr>
          <w:rFonts w:eastAsia="Times New Roman" w:cs="Times New Roman"/>
          <w:bCs/>
          <w:szCs w:val="22"/>
          <w:lang w:bidi="es-ES"/>
        </w:rPr>
      </w:pPr>
    </w:p>
    <w:p w:rsidR="0078130A" w:rsidRDefault="0078130A" w:rsidP="00E213C5">
      <w:pPr>
        <w:spacing w:before="120" w:after="120"/>
        <w:ind w:left="142"/>
        <w:rPr>
          <w:rFonts w:eastAsia="Times New Roman" w:cs="Times New Roman"/>
          <w:bCs/>
          <w:szCs w:val="22"/>
          <w:lang w:bidi="es-ES"/>
        </w:rPr>
      </w:pPr>
    </w:p>
    <w:p w:rsidR="0078130A" w:rsidRDefault="0078130A" w:rsidP="00E213C5">
      <w:pPr>
        <w:spacing w:before="120" w:after="120"/>
        <w:ind w:left="142"/>
        <w:rPr>
          <w:rFonts w:eastAsia="Times New Roman" w:cs="Times New Roman"/>
          <w:bCs/>
          <w:szCs w:val="22"/>
          <w:lang w:bidi="es-ES"/>
        </w:rPr>
      </w:pPr>
    </w:p>
    <w:p w:rsidR="0078130A" w:rsidRDefault="0078130A" w:rsidP="00E213C5">
      <w:pPr>
        <w:spacing w:before="120" w:after="120"/>
        <w:ind w:left="142"/>
        <w:rPr>
          <w:rFonts w:eastAsia="Times New Roman" w:cs="Times New Roman"/>
          <w:bCs/>
          <w:szCs w:val="22"/>
          <w:lang w:bidi="es-ES"/>
        </w:rPr>
      </w:pPr>
    </w:p>
    <w:p w:rsidR="002C07EB" w:rsidRDefault="002C07EB" w:rsidP="00E213C5">
      <w:pPr>
        <w:spacing w:before="120" w:after="120"/>
        <w:ind w:left="142"/>
        <w:rPr>
          <w:rFonts w:eastAsia="Times New Roman" w:cs="Times New Roman"/>
          <w:bCs/>
          <w:szCs w:val="22"/>
          <w:lang w:bidi="es-ES"/>
        </w:rPr>
      </w:pPr>
    </w:p>
    <w:p w:rsidR="00794A50" w:rsidRPr="00794A50" w:rsidRDefault="00D0408A" w:rsidP="00794A50">
      <w:pPr>
        <w:spacing w:line="240" w:lineRule="auto"/>
        <w:jc w:val="center"/>
        <w:rPr>
          <w:rFonts w:eastAsia="Times New Roman" w:cs="Times New Roman"/>
          <w:b/>
          <w:color w:val="000000"/>
          <w:sz w:val="30"/>
          <w:szCs w:val="30"/>
          <w:lang w:eastAsia="en-US"/>
        </w:rPr>
      </w:pPr>
      <w:sdt>
        <w:sdtPr>
          <w:rPr>
            <w:rFonts w:eastAsia="Times New Roman" w:cs="Times New Roman"/>
            <w:b/>
            <w:color w:val="438086" w:themeColor="accent2"/>
            <w:sz w:val="30"/>
            <w:szCs w:val="30"/>
            <w:lang w:eastAsia="en-US"/>
          </w:rPr>
          <w:id w:val="1557966967"/>
        </w:sdtPr>
        <w:sdtEndPr>
          <w:rPr>
            <w:color w:val="auto"/>
          </w:rPr>
        </w:sdtEndPr>
        <w:sdtContent>
          <w:r w:rsidR="00794A50" w:rsidRPr="00FF20A2">
            <w:rPr>
              <w:rFonts w:eastAsia="Times New Roman" w:cs="Times New Roman"/>
              <w:b/>
              <w:color w:val="438086" w:themeColor="accent2"/>
              <w:sz w:val="30"/>
              <w:szCs w:val="30"/>
              <w:lang w:eastAsia="en-US"/>
            </w:rPr>
            <w:t xml:space="preserve">Anexo: Criterios de medición de los atributos de la </w:t>
          </w:r>
          <w:r w:rsidR="00384774">
            <w:rPr>
              <w:rFonts w:eastAsia="Times New Roman" w:cs="Times New Roman"/>
              <w:b/>
              <w:color w:val="438086" w:themeColor="accent2"/>
              <w:sz w:val="30"/>
              <w:szCs w:val="30"/>
              <w:lang w:eastAsia="en-US"/>
            </w:rPr>
            <w:t>i</w:t>
          </w:r>
          <w:r w:rsidR="00794A50" w:rsidRPr="00FF20A2">
            <w:rPr>
              <w:rFonts w:eastAsia="Times New Roman" w:cs="Times New Roman"/>
              <w:b/>
              <w:color w:val="438086" w:themeColor="accent2"/>
              <w:sz w:val="30"/>
              <w:szCs w:val="30"/>
              <w:lang w:eastAsia="en-US"/>
            </w:rPr>
            <w:t>nformación</w:t>
          </w:r>
        </w:sdtContent>
      </w:sdt>
    </w:p>
    <w:tbl>
      <w:tblPr>
        <w:tblW w:w="5694" w:type="pct"/>
        <w:tblInd w:w="-497" w:type="dxa"/>
        <w:tblCellMar>
          <w:left w:w="70" w:type="dxa"/>
          <w:right w:w="70" w:type="dxa"/>
        </w:tblCellMar>
        <w:tblLook w:val="04A0" w:firstRow="1" w:lastRow="0" w:firstColumn="1" w:lastColumn="0" w:noHBand="0" w:noVBand="1"/>
      </w:tblPr>
      <w:tblGrid>
        <w:gridCol w:w="1929"/>
        <w:gridCol w:w="1519"/>
        <w:gridCol w:w="2381"/>
        <w:gridCol w:w="668"/>
        <w:gridCol w:w="3992"/>
      </w:tblGrid>
      <w:tr w:rsidR="00794A50" w:rsidRPr="00794A50" w:rsidTr="00384774">
        <w:trPr>
          <w:trHeight w:val="300"/>
        </w:trPr>
        <w:tc>
          <w:tcPr>
            <w:tcW w:w="919" w:type="pct"/>
            <w:tcBorders>
              <w:top w:val="single" w:sz="4" w:space="0" w:color="auto"/>
              <w:left w:val="single" w:sz="4" w:space="0" w:color="auto"/>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PRINCIPIOS GENERALES</w:t>
            </w:r>
          </w:p>
        </w:tc>
        <w:tc>
          <w:tcPr>
            <w:tcW w:w="724"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CRITERIO</w:t>
            </w:r>
          </w:p>
        </w:tc>
        <w:tc>
          <w:tcPr>
            <w:tcW w:w="1135"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DESCRIPCION</w:t>
            </w:r>
          </w:p>
        </w:tc>
        <w:tc>
          <w:tcPr>
            <w:tcW w:w="318"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VALOR</w:t>
            </w:r>
          </w:p>
        </w:tc>
        <w:tc>
          <w:tcPr>
            <w:tcW w:w="1903" w:type="pct"/>
            <w:tcBorders>
              <w:top w:val="single" w:sz="4" w:space="0" w:color="auto"/>
              <w:left w:val="nil"/>
              <w:bottom w:val="single" w:sz="4" w:space="0" w:color="auto"/>
              <w:right w:val="single" w:sz="4" w:space="0" w:color="auto"/>
            </w:tcBorders>
            <w:shd w:val="clear" w:color="000000" w:fill="438086" w:themeFill="accent2"/>
            <w:noWrap/>
            <w:vAlign w:val="bottom"/>
            <w:hideMark/>
          </w:tcPr>
          <w:p w:rsidR="00794A50" w:rsidRPr="00794A50" w:rsidRDefault="00794A50" w:rsidP="00794A50">
            <w:pPr>
              <w:spacing w:after="0" w:line="240" w:lineRule="auto"/>
              <w:jc w:val="center"/>
              <w:rPr>
                <w:rFonts w:eastAsia="Times New Roman" w:cs="Calibri"/>
                <w:b/>
                <w:bCs/>
                <w:color w:val="FFFFFF"/>
                <w:sz w:val="16"/>
                <w:szCs w:val="16"/>
              </w:rPr>
            </w:pPr>
            <w:r w:rsidRPr="00794A50">
              <w:rPr>
                <w:rFonts w:eastAsia="Times New Roman" w:cs="Calibri"/>
                <w:b/>
                <w:bCs/>
                <w:color w:val="FFFFFF"/>
                <w:sz w:val="16"/>
                <w:szCs w:val="16"/>
              </w:rPr>
              <w:t>SIGNIFICADO</w:t>
            </w:r>
          </w:p>
        </w:tc>
      </w:tr>
      <w:tr w:rsidR="00794A50" w:rsidRPr="00794A50" w:rsidTr="00384774">
        <w:trPr>
          <w:trHeight w:val="514"/>
        </w:trPr>
        <w:tc>
          <w:tcPr>
            <w:tcW w:w="9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PUBLICACIÓN</w:t>
            </w: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CONTENIDO</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Se obliga su publicación por la Ley19/21013</w:t>
            </w: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SI se publica el contenido de la obligación exigida</w:t>
            </w:r>
          </w:p>
        </w:tc>
      </w:tr>
      <w:tr w:rsidR="00794A50" w:rsidRPr="00794A50" w:rsidTr="00384774">
        <w:trPr>
          <w:trHeight w:val="323"/>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se publica el contenido de la obligación exigida</w:t>
            </w:r>
          </w:p>
        </w:tc>
      </w:tr>
      <w:tr w:rsidR="00794A50" w:rsidRPr="00794A50" w:rsidTr="00384774">
        <w:trPr>
          <w:trHeight w:val="427"/>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FORMA</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Modo de presentar la información</w:t>
            </w: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De forma DIRECTA en la misma web o con enlace directo a la información</w:t>
            </w:r>
          </w:p>
        </w:tc>
      </w:tr>
      <w:tr w:rsidR="00794A50" w:rsidRPr="00794A50" w:rsidTr="00384774">
        <w:trPr>
          <w:trHeight w:val="419"/>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De forma INDIRECTA pero sin dirigir a la información a la que se refiere</w:t>
            </w:r>
          </w:p>
        </w:tc>
      </w:tr>
      <w:tr w:rsidR="00794A50" w:rsidRPr="00794A50" w:rsidTr="00384774">
        <w:trPr>
          <w:trHeight w:val="411"/>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ACTUALIZACIÓN</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Se identifica la fecha de datación de la información</w:t>
            </w: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Tiene FECHA y está dentro de los TRES meses previos a la fecha de consulta</w:t>
            </w:r>
          </w:p>
        </w:tc>
      </w:tr>
      <w:tr w:rsidR="00794A50" w:rsidRPr="00794A50" w:rsidTr="00384774">
        <w:trPr>
          <w:trHeight w:val="416"/>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Tiene FECHA  pero NO ESTA ACTUALIZADO dentro de los tres meses</w:t>
            </w:r>
          </w:p>
        </w:tc>
      </w:tr>
      <w:tr w:rsidR="00794A50" w:rsidRPr="00794A50" w:rsidTr="00384774">
        <w:trPr>
          <w:trHeight w:val="422"/>
        </w:trPr>
        <w:tc>
          <w:tcPr>
            <w:tcW w:w="919"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noWrap/>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SE CONOCE la fecha de publicación de la información</w:t>
            </w:r>
          </w:p>
        </w:tc>
      </w:tr>
      <w:tr w:rsidR="00794A50" w:rsidRPr="00794A50" w:rsidTr="00384774">
        <w:trPr>
          <w:trHeight w:val="300"/>
        </w:trPr>
        <w:tc>
          <w:tcPr>
            <w:tcW w:w="919"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ATRIBUTOS</w:t>
            </w: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ACCESIBILIDAD</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Número de clics para acceder a la información desde la página principal de transparencia</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3 clics como máximo</w:t>
            </w:r>
          </w:p>
        </w:tc>
      </w:tr>
      <w:tr w:rsidR="00794A50" w:rsidRPr="00794A50" w:rsidTr="00384774">
        <w:trPr>
          <w:trHeight w:val="17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9</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4</w:t>
            </w:r>
          </w:p>
        </w:tc>
      </w:tr>
      <w:tr w:rsidR="00794A50" w:rsidRPr="00794A50" w:rsidTr="00384774">
        <w:trPr>
          <w:trHeight w:val="245"/>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8</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5</w:t>
            </w:r>
          </w:p>
        </w:tc>
      </w:tr>
      <w:tr w:rsidR="00794A50" w:rsidRPr="00794A50" w:rsidTr="00384774">
        <w:trPr>
          <w:trHeight w:val="26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7</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6</w:t>
            </w:r>
          </w:p>
        </w:tc>
      </w:tr>
      <w:tr w:rsidR="00794A50" w:rsidRPr="00794A50" w:rsidTr="00384774">
        <w:trPr>
          <w:trHeight w:val="28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6</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7</w:t>
            </w:r>
          </w:p>
        </w:tc>
      </w:tr>
      <w:tr w:rsidR="00794A50" w:rsidRPr="00794A50" w:rsidTr="00384774">
        <w:trPr>
          <w:trHeight w:val="27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8</w:t>
            </w:r>
          </w:p>
        </w:tc>
      </w:tr>
      <w:tr w:rsidR="00794A50" w:rsidRPr="00794A50" w:rsidTr="00384774">
        <w:trPr>
          <w:trHeight w:val="13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4</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9</w:t>
            </w:r>
          </w:p>
        </w:tc>
      </w:tr>
      <w:tr w:rsidR="00794A50" w:rsidRPr="00794A50" w:rsidTr="00384774">
        <w:trPr>
          <w:trHeight w:val="207"/>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3</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10</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2</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11</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12</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Más de 12 clics</w:t>
            </w:r>
          </w:p>
        </w:tc>
      </w:tr>
      <w:tr w:rsidR="00794A50" w:rsidRPr="00794A50" w:rsidTr="00384774">
        <w:trPr>
          <w:trHeight w:val="265"/>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CLARIDAD</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Lenguaje fácil de entender por el público general. La información compleja se acompaña de comentarios, glosarios, textos introductorios o similares</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MUY comprensible o con ayudas, en su caso</w:t>
            </w:r>
          </w:p>
        </w:tc>
      </w:tr>
      <w:tr w:rsidR="00794A50" w:rsidRPr="00794A50" w:rsidTr="00384774">
        <w:trPr>
          <w:trHeight w:val="27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9</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8</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Comprensible</w:t>
            </w:r>
          </w:p>
        </w:tc>
      </w:tr>
      <w:tr w:rsidR="00794A50" w:rsidRPr="00794A50" w:rsidTr="00384774">
        <w:trPr>
          <w:trHeight w:val="251"/>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7</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6</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Normal</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4</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Poco comprensible</w:t>
            </w:r>
          </w:p>
        </w:tc>
      </w:tr>
      <w:tr w:rsidR="00794A50" w:rsidRPr="00794A50" w:rsidTr="00384774">
        <w:trPr>
          <w:trHeight w:val="18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3</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2</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Difícilmente comprensible</w:t>
            </w:r>
          </w:p>
        </w:tc>
      </w:tr>
      <w:tr w:rsidR="00794A50" w:rsidRPr="00794A50" w:rsidTr="00384774">
        <w:trPr>
          <w:trHeight w:val="247"/>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 </w:t>
            </w:r>
          </w:p>
        </w:tc>
      </w:tr>
      <w:tr w:rsidR="00794A50" w:rsidRPr="00794A50" w:rsidTr="00384774">
        <w:trPr>
          <w:trHeight w:val="123"/>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NADA comprensible</w:t>
            </w:r>
          </w:p>
        </w:tc>
      </w:tr>
      <w:tr w:rsidR="00794A50" w:rsidRPr="00794A50" w:rsidTr="00384774">
        <w:trPr>
          <w:trHeight w:val="57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ESTRUCTURACIÓN</w:t>
            </w:r>
          </w:p>
        </w:tc>
        <w:tc>
          <w:tcPr>
            <w:tcW w:w="1135"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sz w:val="16"/>
                <w:szCs w:val="16"/>
              </w:rPr>
            </w:pPr>
            <w:r w:rsidRPr="00794A50">
              <w:rPr>
                <w:rFonts w:eastAsia="Times New Roman" w:cs="Calibri"/>
                <w:sz w:val="16"/>
                <w:szCs w:val="16"/>
              </w:rPr>
              <w:t>Información organizada siguiendo una lógica clara</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sz w:val="16"/>
                <w:szCs w:val="16"/>
              </w:rPr>
            </w:pPr>
            <w:r w:rsidRPr="00794A50">
              <w:rPr>
                <w:rFonts w:eastAsia="Times New Roman" w:cs="Calibri"/>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sz w:val="16"/>
                <w:szCs w:val="16"/>
              </w:rPr>
            </w:pPr>
            <w:r w:rsidRPr="00794A50">
              <w:rPr>
                <w:rFonts w:eastAsia="Times New Roman" w:cs="Calibri"/>
                <w:sz w:val="16"/>
                <w:szCs w:val="16"/>
              </w:rPr>
              <w:t>la información se encuentra ordenada en grupos de materias, temáticas o de acuerdo con los bloques o grupos de información de la ley</w:t>
            </w:r>
          </w:p>
        </w:tc>
      </w:tr>
      <w:tr w:rsidR="00794A50" w:rsidRPr="00794A50" w:rsidTr="00384774">
        <w:trPr>
          <w:trHeight w:val="427"/>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sz w:val="16"/>
                <w:szCs w:val="16"/>
              </w:rPr>
            </w:pPr>
            <w:r w:rsidRPr="00794A50">
              <w:rPr>
                <w:rFonts w:eastAsia="Times New Roman" w:cs="Calibri"/>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sz w:val="16"/>
                <w:szCs w:val="16"/>
              </w:rPr>
            </w:pPr>
            <w:r w:rsidRPr="00794A50">
              <w:rPr>
                <w:rFonts w:eastAsia="Times New Roman" w:cs="Calibri"/>
                <w:sz w:val="16"/>
                <w:szCs w:val="16"/>
              </w:rPr>
              <w:t>la información se presenta dispersa sin agrupación ni ordenación alguna</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Reutilización</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Formatos según Ley 37/2007</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Es un formato reutilizable establecido</w:t>
            </w:r>
          </w:p>
        </w:tc>
      </w:tr>
      <w:tr w:rsidR="00794A50" w:rsidRPr="00794A50" w:rsidTr="00384774">
        <w:trPr>
          <w:trHeight w:val="3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es un formato reutilizable</w:t>
            </w:r>
          </w:p>
        </w:tc>
      </w:tr>
      <w:tr w:rsidR="00794A50" w:rsidRPr="00794A50" w:rsidTr="00384774">
        <w:trPr>
          <w:trHeight w:val="343"/>
        </w:trPr>
        <w:tc>
          <w:tcPr>
            <w:tcW w:w="919" w:type="pct"/>
            <w:vMerge w:val="restart"/>
            <w:tcBorders>
              <w:top w:val="nil"/>
              <w:left w:val="single" w:sz="4" w:space="0" w:color="auto"/>
              <w:bottom w:val="single" w:sz="4" w:space="0" w:color="000000"/>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WEB</w:t>
            </w:r>
          </w:p>
        </w:tc>
        <w:tc>
          <w:tcPr>
            <w:tcW w:w="724"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LUGAR PUBLICACION</w:t>
            </w:r>
          </w:p>
        </w:tc>
        <w:tc>
          <w:tcPr>
            <w:tcW w:w="1135" w:type="pct"/>
            <w:vMerge w:val="restart"/>
            <w:tcBorders>
              <w:top w:val="nil"/>
              <w:left w:val="single" w:sz="4" w:space="0" w:color="auto"/>
              <w:bottom w:val="single" w:sz="4" w:space="0" w:color="auto"/>
              <w:right w:val="single" w:sz="4" w:space="0" w:color="auto"/>
            </w:tcBorders>
            <w:shd w:val="clear" w:color="auto" w:fill="auto"/>
            <w:vAlign w:val="center"/>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Dónde quedan publicadas las obligaciones de publicidad activa</w:t>
            </w: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10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Apartado específico o banner en la página inicial del sitio</w:t>
            </w:r>
          </w:p>
        </w:tc>
      </w:tr>
      <w:tr w:rsidR="00794A50" w:rsidRPr="00794A50" w:rsidTr="00384774">
        <w:trPr>
          <w:trHeight w:val="362"/>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5</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Apartado específico pero NO en la página de inicio</w:t>
            </w:r>
          </w:p>
        </w:tc>
      </w:tr>
      <w:tr w:rsidR="00794A50" w:rsidRPr="00794A50" w:rsidTr="00384774">
        <w:trPr>
          <w:trHeight w:val="600"/>
        </w:trPr>
        <w:tc>
          <w:tcPr>
            <w:tcW w:w="919" w:type="pct"/>
            <w:vMerge/>
            <w:tcBorders>
              <w:top w:val="nil"/>
              <w:left w:val="single" w:sz="4" w:space="0" w:color="auto"/>
              <w:bottom w:val="single" w:sz="4" w:space="0" w:color="000000"/>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724"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1135" w:type="pct"/>
            <w:vMerge/>
            <w:tcBorders>
              <w:top w:val="nil"/>
              <w:left w:val="single" w:sz="4" w:space="0" w:color="auto"/>
              <w:bottom w:val="single" w:sz="4" w:space="0" w:color="auto"/>
              <w:right w:val="single" w:sz="4" w:space="0" w:color="auto"/>
            </w:tcBorders>
            <w:vAlign w:val="center"/>
            <w:hideMark/>
          </w:tcPr>
          <w:p w:rsidR="00794A50" w:rsidRPr="00794A50" w:rsidRDefault="00794A50" w:rsidP="00794A50">
            <w:pPr>
              <w:spacing w:after="0" w:line="240" w:lineRule="auto"/>
              <w:jc w:val="left"/>
              <w:rPr>
                <w:rFonts w:eastAsia="Times New Roman" w:cs="Calibri"/>
                <w:color w:val="000000"/>
                <w:sz w:val="16"/>
                <w:szCs w:val="16"/>
              </w:rPr>
            </w:pPr>
          </w:p>
        </w:tc>
        <w:tc>
          <w:tcPr>
            <w:tcW w:w="318"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center"/>
              <w:rPr>
                <w:rFonts w:eastAsia="Times New Roman" w:cs="Calibri"/>
                <w:color w:val="000000"/>
                <w:sz w:val="16"/>
                <w:szCs w:val="16"/>
              </w:rPr>
            </w:pPr>
            <w:r w:rsidRPr="00794A50">
              <w:rPr>
                <w:rFonts w:eastAsia="Times New Roman" w:cs="Calibri"/>
                <w:color w:val="000000"/>
                <w:sz w:val="16"/>
                <w:szCs w:val="16"/>
              </w:rPr>
              <w:t>0</w:t>
            </w:r>
          </w:p>
        </w:tc>
        <w:tc>
          <w:tcPr>
            <w:tcW w:w="1903" w:type="pct"/>
            <w:tcBorders>
              <w:top w:val="nil"/>
              <w:left w:val="nil"/>
              <w:bottom w:val="single" w:sz="4" w:space="0" w:color="auto"/>
              <w:right w:val="single" w:sz="4" w:space="0" w:color="auto"/>
            </w:tcBorders>
            <w:shd w:val="clear" w:color="auto" w:fill="auto"/>
            <w:vAlign w:val="bottom"/>
            <w:hideMark/>
          </w:tcPr>
          <w:p w:rsidR="00794A50" w:rsidRPr="00794A50" w:rsidRDefault="00794A50" w:rsidP="00794A50">
            <w:pPr>
              <w:spacing w:after="0" w:line="240" w:lineRule="auto"/>
              <w:jc w:val="left"/>
              <w:rPr>
                <w:rFonts w:eastAsia="Times New Roman" w:cs="Calibri"/>
                <w:color w:val="000000"/>
                <w:sz w:val="16"/>
                <w:szCs w:val="16"/>
              </w:rPr>
            </w:pPr>
            <w:r w:rsidRPr="00794A50">
              <w:rPr>
                <w:rFonts w:eastAsia="Times New Roman" w:cs="Calibri"/>
                <w:color w:val="000000"/>
                <w:sz w:val="16"/>
                <w:szCs w:val="16"/>
              </w:rPr>
              <w:t>No existe un apartado específico de transparencia</w:t>
            </w:r>
          </w:p>
        </w:tc>
      </w:tr>
    </w:tbl>
    <w:p w:rsidR="00794A50" w:rsidRPr="00596EDD" w:rsidRDefault="00794A50" w:rsidP="00596EDD"/>
    <w:sectPr w:rsidR="00794A50" w:rsidRPr="00596EDD">
      <w:headerReference w:type="even" r:id="rId16"/>
      <w:headerReference w:type="default" r:id="rId17"/>
      <w:footerReference w:type="even" r:id="rId18"/>
      <w:footerReference w:type="default" r:id="rId19"/>
      <w:pgSz w:w="11907" w:h="16839"/>
      <w:pgMar w:top="1440" w:right="1418" w:bottom="1440" w:left="1418"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0E4" w:rsidRDefault="00E440E4">
      <w:pPr>
        <w:spacing w:after="0" w:line="240" w:lineRule="auto"/>
      </w:pPr>
      <w:r>
        <w:separator/>
      </w:r>
    </w:p>
  </w:endnote>
  <w:endnote w:type="continuationSeparator" w:id="0">
    <w:p w:rsidR="00E440E4" w:rsidRDefault="00E4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E4" w:rsidRDefault="00E440E4">
    <w:r>
      <w:fldChar w:fldCharType="begin"/>
    </w:r>
    <w:r>
      <w:instrText>PAGE   \* MERGEFORMAT</w:instrText>
    </w:r>
    <w:r>
      <w:fldChar w:fldCharType="separate"/>
    </w:r>
    <w:r w:rsidR="00D0408A">
      <w:rPr>
        <w:noProof/>
      </w:rPr>
      <w:t>14</w:t>
    </w:r>
    <w:r>
      <w:fldChar w:fldCharType="end"/>
    </w:r>
    <w:r>
      <w:t xml:space="preserve"> </w:t>
    </w:r>
    <w:r>
      <w:rPr>
        <w:color w:val="A04DA3" w:themeColor="accent3"/>
      </w:rPr>
      <w:sym w:font="Wingdings 2" w:char="F097"/>
    </w:r>
    <w:r>
      <w:t xml:space="preserve"> </w:t>
    </w:r>
  </w:p>
  <w:tbl>
    <w:tblPr>
      <w:tblW w:w="1950" w:type="pct"/>
      <w:tblLook w:val="04A0" w:firstRow="1" w:lastRow="0" w:firstColumn="1" w:lastColumn="0" w:noHBand="0" w:noVBand="1"/>
    </w:tblPr>
    <w:tblGrid>
      <w:gridCol w:w="2632"/>
      <w:gridCol w:w="990"/>
    </w:tblGrid>
    <w:tr w:rsidR="00E440E4">
      <w:trPr>
        <w:trHeight w:hRule="exact" w:val="72"/>
      </w:trPr>
      <w:tc>
        <w:tcPr>
          <w:tcW w:w="2718" w:type="dxa"/>
          <w:tcBorders>
            <w:top w:val="single" w:sz="12" w:space="0" w:color="438086" w:themeColor="accent2"/>
            <w:bottom w:val="single" w:sz="2" w:space="0" w:color="438086" w:themeColor="accent2"/>
          </w:tcBorders>
        </w:tcPr>
        <w:p w:rsidR="00E440E4" w:rsidRDefault="00E440E4">
          <w:pPr>
            <w:pStyle w:val="Sinespaciado"/>
          </w:pPr>
        </w:p>
      </w:tc>
      <w:tc>
        <w:tcPr>
          <w:tcW w:w="1017" w:type="dxa"/>
          <w:tcBorders>
            <w:bottom w:val="single" w:sz="2" w:space="0" w:color="438086" w:themeColor="accent2"/>
          </w:tcBorders>
        </w:tcPr>
        <w:p w:rsidR="00E440E4" w:rsidRDefault="00E440E4">
          <w:pPr>
            <w:pStyle w:val="Sinespaciado"/>
          </w:pPr>
        </w:p>
      </w:tc>
    </w:tr>
  </w:tbl>
  <w:p w:rsidR="00E440E4" w:rsidRDefault="00E440E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E4" w:rsidRPr="008876B2" w:rsidRDefault="00E440E4">
    <w:pPr>
      <w:jc w:val="right"/>
    </w:pPr>
    <w:r>
      <w:t>CTBG. Subdirección General de Transparencia y Buen Gobierno</w:t>
    </w:r>
    <w:r w:rsidRPr="008876B2">
      <w:t xml:space="preserve">.  </w:t>
    </w:r>
    <w:r w:rsidRPr="008876B2">
      <w:fldChar w:fldCharType="begin"/>
    </w:r>
    <w:r w:rsidRPr="008876B2">
      <w:instrText>PAGE   \* MERGEFORMAT</w:instrText>
    </w:r>
    <w:r w:rsidRPr="008876B2">
      <w:fldChar w:fldCharType="separate"/>
    </w:r>
    <w:r w:rsidR="00D0408A">
      <w:rPr>
        <w:noProof/>
      </w:rPr>
      <w:t>9</w:t>
    </w:r>
    <w:r w:rsidRPr="008876B2">
      <w:fldChar w:fldCharType="end"/>
    </w:r>
    <w:r w:rsidRPr="008876B2">
      <w:t xml:space="preserve"> </w:t>
    </w:r>
    <w:r w:rsidRPr="008876B2">
      <w:rPr>
        <w:color w:val="A04DA3" w:themeColor="accent3"/>
      </w:rPr>
      <w:sym w:font="Wingdings 2" w:char="F097"/>
    </w:r>
    <w:r w:rsidRPr="008876B2">
      <w:t xml:space="preserve"> </w:t>
    </w:r>
  </w:p>
  <w:tbl>
    <w:tblPr>
      <w:tblW w:w="1950" w:type="pct"/>
      <w:jc w:val="right"/>
      <w:tblLook w:val="04A0" w:firstRow="1" w:lastRow="0" w:firstColumn="1" w:lastColumn="0" w:noHBand="0" w:noVBand="1"/>
    </w:tblPr>
    <w:tblGrid>
      <w:gridCol w:w="1044"/>
      <w:gridCol w:w="2578"/>
    </w:tblGrid>
    <w:tr w:rsidR="00E440E4">
      <w:trPr>
        <w:trHeight w:hRule="exact" w:val="72"/>
        <w:jc w:val="right"/>
      </w:trPr>
      <w:tc>
        <w:tcPr>
          <w:tcW w:w="1098" w:type="dxa"/>
          <w:tcBorders>
            <w:bottom w:val="single" w:sz="2" w:space="0" w:color="438086" w:themeColor="accent2"/>
          </w:tcBorders>
        </w:tcPr>
        <w:p w:rsidR="00E440E4" w:rsidRDefault="00E440E4">
          <w:pPr>
            <w:pStyle w:val="Sinespaciado"/>
          </w:pPr>
        </w:p>
      </w:tc>
      <w:tc>
        <w:tcPr>
          <w:tcW w:w="2732" w:type="dxa"/>
          <w:tcBorders>
            <w:top w:val="single" w:sz="12" w:space="0" w:color="438086" w:themeColor="accent2"/>
            <w:bottom w:val="single" w:sz="2" w:space="0" w:color="438086" w:themeColor="accent2"/>
          </w:tcBorders>
        </w:tcPr>
        <w:p w:rsidR="00E440E4" w:rsidRDefault="00E440E4">
          <w:pPr>
            <w:pStyle w:val="Sinespaciado"/>
          </w:pPr>
        </w:p>
      </w:tc>
    </w:tr>
  </w:tbl>
  <w:p w:rsidR="00E440E4" w:rsidRDefault="00E440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0E4" w:rsidRDefault="00E440E4">
      <w:pPr>
        <w:spacing w:after="0" w:line="240" w:lineRule="auto"/>
      </w:pPr>
      <w:r>
        <w:separator/>
      </w:r>
    </w:p>
  </w:footnote>
  <w:footnote w:type="continuationSeparator" w:id="0">
    <w:p w:rsidR="00E440E4" w:rsidRDefault="00E440E4">
      <w:pPr>
        <w:spacing w:after="0" w:line="240" w:lineRule="auto"/>
      </w:pPr>
      <w:r>
        <w:continuationSeparator/>
      </w:r>
    </w:p>
  </w:footnote>
  <w:footnote w:id="1">
    <w:p w:rsidR="00E440E4" w:rsidRPr="009150E1" w:rsidRDefault="00E440E4">
      <w:pPr>
        <w:pStyle w:val="Textonotapie"/>
        <w:rPr>
          <w:sz w:val="18"/>
          <w:szCs w:val="18"/>
        </w:rPr>
      </w:pPr>
      <w:r>
        <w:rPr>
          <w:rStyle w:val="Refdenotaalpie"/>
        </w:rPr>
        <w:footnoteRef/>
      </w:r>
      <w:r>
        <w:t xml:space="preserve"> </w:t>
      </w:r>
      <w:r w:rsidRPr="009150E1">
        <w:rPr>
          <w:sz w:val="18"/>
          <w:szCs w:val="18"/>
        </w:rPr>
        <w:t>La referencia Órganos Constitucionales incluye tanto a éstos como a los órgan</w:t>
      </w:r>
      <w:r>
        <w:rPr>
          <w:sz w:val="18"/>
          <w:szCs w:val="18"/>
        </w:rPr>
        <w:t>os de relevancia constitucional.</w:t>
      </w:r>
    </w:p>
  </w:footnote>
  <w:footnote w:id="2">
    <w:p w:rsidR="00E440E4" w:rsidRPr="00832773" w:rsidRDefault="00E440E4">
      <w:pPr>
        <w:pStyle w:val="Textonotapie"/>
        <w:rPr>
          <w:sz w:val="18"/>
          <w:szCs w:val="18"/>
        </w:rPr>
      </w:pPr>
      <w:r>
        <w:rPr>
          <w:rStyle w:val="Refdenotaalpie"/>
        </w:rPr>
        <w:footnoteRef/>
      </w:r>
      <w:r>
        <w:t xml:space="preserve"> </w:t>
      </w:r>
      <w:r w:rsidRPr="00832773">
        <w:rPr>
          <w:sz w:val="18"/>
          <w:szCs w:val="18"/>
        </w:rPr>
        <w:t xml:space="preserve">La gestión </w:t>
      </w:r>
      <w:r>
        <w:rPr>
          <w:sz w:val="18"/>
          <w:szCs w:val="18"/>
        </w:rPr>
        <w:t xml:space="preserve">de gran parte de las actividades vinculadas a este grupo de obligaciones se efectúa en el caso de </w:t>
      </w:r>
      <w:r w:rsidRPr="00832773">
        <w:rPr>
          <w:sz w:val="18"/>
          <w:szCs w:val="18"/>
        </w:rPr>
        <w:t xml:space="preserve"> la Fiscalía General del Estado por el Ministerio de Justicia</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7790"/>
      <w:dataBinding w:prefixMappings="xmlns:ns0='http://schemas.openxmlformats.org/package/2006/metadata/core-properties' xmlns:ns1='http://purl.org/dc/elements/1.1/'" w:xpath="/ns0:coreProperties[1]/ns1:creator[1]" w:storeItemID="{6C3C8BC8-F283-45AE-878A-BAB7291924A1}"/>
      <w:text/>
    </w:sdtPr>
    <w:sdtEndPr/>
    <w:sdtContent>
      <w:p w:rsidR="00E440E4" w:rsidRDefault="00E440E4" w:rsidP="006219DA">
        <w:pPr>
          <w:pStyle w:val="Encabezado"/>
          <w:pBdr>
            <w:bottom w:val="single" w:sz="4" w:space="0" w:color="auto"/>
          </w:pBdr>
          <w:jc w:val="right"/>
        </w:pPr>
        <w:r>
          <w:t xml:space="preserve">CTBG. Subdirección General de Transparencia y Buen Gobierno.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E4" w:rsidRPr="008876B2" w:rsidRDefault="00E440E4">
    <w:pPr>
      <w:pStyle w:val="Encabezado"/>
      <w:pBdr>
        <w:bottom w:val="single" w:sz="4" w:space="0" w:color="auto"/>
      </w:pBdr>
      <w:jc w:val="right"/>
    </w:pPr>
    <w:r w:rsidRPr="008876B2">
      <w:t>Plan de evaluación 202</w:t>
    </w:r>
    <w:r>
      <w:t>2</w:t>
    </w:r>
    <w:r w:rsidRPr="008876B2">
      <w:t xml:space="preserve">. Evaluación de los </w:t>
    </w:r>
    <w:r>
      <w:t>Ó</w:t>
    </w:r>
    <w:r w:rsidRPr="008876B2">
      <w:t xml:space="preserve">rganos Constitucionales </w:t>
    </w:r>
    <w:r>
      <w:t xml:space="preserve"> </w:t>
    </w:r>
    <w:r w:rsidRPr="008876B2">
      <w:t xml:space="preserve">y de </w:t>
    </w:r>
    <w:r>
      <w:t>relevancia constitucional.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9.2pt;height:9.2pt" o:bullet="t">
        <v:imagedata r:id="rId1" o:title="BD14533_"/>
      </v:shape>
    </w:pict>
  </w:numPicBullet>
  <w:numPicBullet w:numPicBulletId="1">
    <w:pict>
      <v:shape id="_x0000_i1203" type="#_x0000_t75" style="width:9.2pt;height:9.2pt" o:bullet="t">
        <v:imagedata r:id="rId2" o:title="BD10268_"/>
      </v:shape>
    </w:pict>
  </w:numPicBullet>
  <w:numPicBullet w:numPicBulletId="2">
    <w:pict>
      <v:shape id="_x0000_i1204" type="#_x0000_t75" style="width:10.9pt;height:10.9pt" o:bullet="t">
        <v:imagedata r:id="rId3" o:title="BD14529_"/>
      </v:shape>
    </w:pict>
  </w:numPicBullet>
  <w:abstractNum w:abstractNumId="0">
    <w:nsid w:val="FFFFFF7C"/>
    <w:multiLevelType w:val="singleLevel"/>
    <w:tmpl w:val="C2A6D920"/>
    <w:lvl w:ilvl="0">
      <w:start w:val="1"/>
      <w:numFmt w:val="decimal"/>
      <w:lvlText w:val="%1."/>
      <w:lvlJc w:val="left"/>
      <w:pPr>
        <w:tabs>
          <w:tab w:val="num" w:pos="1800"/>
        </w:tabs>
        <w:ind w:left="1800" w:hanging="360"/>
      </w:pPr>
    </w:lvl>
  </w:abstractNum>
  <w:abstractNum w:abstractNumId="1">
    <w:nsid w:val="FFFFFF7D"/>
    <w:multiLevelType w:val="singleLevel"/>
    <w:tmpl w:val="AA46E614"/>
    <w:lvl w:ilvl="0">
      <w:start w:val="1"/>
      <w:numFmt w:val="decimal"/>
      <w:lvlText w:val="%1."/>
      <w:lvlJc w:val="left"/>
      <w:pPr>
        <w:tabs>
          <w:tab w:val="num" w:pos="1440"/>
        </w:tabs>
        <w:ind w:left="1440" w:hanging="360"/>
      </w:pPr>
    </w:lvl>
  </w:abstractNum>
  <w:abstractNum w:abstractNumId="2">
    <w:nsid w:val="FFFFFF7E"/>
    <w:multiLevelType w:val="singleLevel"/>
    <w:tmpl w:val="1B5E526C"/>
    <w:lvl w:ilvl="0">
      <w:start w:val="1"/>
      <w:numFmt w:val="decimal"/>
      <w:lvlText w:val="%1."/>
      <w:lvlJc w:val="left"/>
      <w:pPr>
        <w:tabs>
          <w:tab w:val="num" w:pos="1080"/>
        </w:tabs>
        <w:ind w:left="1080" w:hanging="360"/>
      </w:pPr>
    </w:lvl>
  </w:abstractNum>
  <w:abstractNum w:abstractNumId="3">
    <w:nsid w:val="FFFFFF7F"/>
    <w:multiLevelType w:val="singleLevel"/>
    <w:tmpl w:val="BBA64556"/>
    <w:lvl w:ilvl="0">
      <w:start w:val="1"/>
      <w:numFmt w:val="decimal"/>
      <w:lvlText w:val="%1."/>
      <w:lvlJc w:val="left"/>
      <w:pPr>
        <w:tabs>
          <w:tab w:val="num" w:pos="720"/>
        </w:tabs>
        <w:ind w:left="720" w:hanging="360"/>
      </w:pPr>
    </w:lvl>
  </w:abstractNum>
  <w:abstractNum w:abstractNumId="4">
    <w:nsid w:val="FFFFFF80"/>
    <w:multiLevelType w:val="singleLevel"/>
    <w:tmpl w:val="55EA7C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326D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3A6B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0E3E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EF4EB12"/>
    <w:lvl w:ilvl="0">
      <w:start w:val="1"/>
      <w:numFmt w:val="decimal"/>
      <w:lvlText w:val="%1."/>
      <w:lvlJc w:val="left"/>
      <w:pPr>
        <w:tabs>
          <w:tab w:val="num" w:pos="360"/>
        </w:tabs>
        <w:ind w:left="360" w:hanging="360"/>
      </w:pPr>
    </w:lvl>
  </w:abstractNum>
  <w:abstractNum w:abstractNumId="9">
    <w:nsid w:val="FFFFFF89"/>
    <w:multiLevelType w:val="singleLevel"/>
    <w:tmpl w:val="F68872E2"/>
    <w:lvl w:ilvl="0">
      <w:start w:val="1"/>
      <w:numFmt w:val="bullet"/>
      <w:lvlText w:val=""/>
      <w:lvlJc w:val="left"/>
      <w:pPr>
        <w:tabs>
          <w:tab w:val="num" w:pos="360"/>
        </w:tabs>
        <w:ind w:left="360" w:hanging="360"/>
      </w:pPr>
      <w:rPr>
        <w:rFonts w:ascii="Symbol" w:hAnsi="Symbol" w:hint="default"/>
      </w:rPr>
    </w:lvl>
  </w:abstractNum>
  <w:abstractNum w:abstractNumId="10">
    <w:nsid w:val="005D11A9"/>
    <w:multiLevelType w:val="multilevel"/>
    <w:tmpl w:val="33B056D0"/>
    <w:numStyleLink w:val="Listaconvietasurbana"/>
  </w:abstractNum>
  <w:abstractNum w:abstractNumId="11">
    <w:nsid w:val="0482200E"/>
    <w:multiLevelType w:val="hybridMultilevel"/>
    <w:tmpl w:val="E6C6F8CE"/>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52E71E7"/>
    <w:multiLevelType w:val="hybridMultilevel"/>
    <w:tmpl w:val="FDCADDE0"/>
    <w:lvl w:ilvl="0" w:tplc="AA644D84">
      <w:start w:val="1"/>
      <w:numFmt w:val="bullet"/>
      <w:lvlText w:val=""/>
      <w:lvlPicBulletId w:val="2"/>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0EDC38E4"/>
    <w:multiLevelType w:val="multilevel"/>
    <w:tmpl w:val="33B056D0"/>
    <w:numStyleLink w:val="Listaconvietasurbana"/>
  </w:abstractNum>
  <w:abstractNum w:abstractNumId="14">
    <w:nsid w:val="124B7CF1"/>
    <w:multiLevelType w:val="multilevel"/>
    <w:tmpl w:val="7AC6A14E"/>
    <w:styleLink w:val="Listanumeradaurbana"/>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15">
    <w:nsid w:val="12796372"/>
    <w:multiLevelType w:val="hybridMultilevel"/>
    <w:tmpl w:val="D1821594"/>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9550593"/>
    <w:multiLevelType w:val="hybridMultilevel"/>
    <w:tmpl w:val="1E423E76"/>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9BE3A5C"/>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18">
    <w:nsid w:val="1A6C5517"/>
    <w:multiLevelType w:val="multilevel"/>
    <w:tmpl w:val="7AC6A14E"/>
    <w:numStyleLink w:val="Listanumeradaurbana"/>
  </w:abstractNum>
  <w:abstractNum w:abstractNumId="19">
    <w:nsid w:val="1DDE73E0"/>
    <w:multiLevelType w:val="multilevel"/>
    <w:tmpl w:val="33B056D0"/>
    <w:numStyleLink w:val="Listaconvietasurbana"/>
  </w:abstractNum>
  <w:abstractNum w:abstractNumId="20">
    <w:nsid w:val="251A0F72"/>
    <w:multiLevelType w:val="multilevel"/>
    <w:tmpl w:val="7AC6A14E"/>
    <w:lvl w:ilvl="0">
      <w:start w:val="1"/>
      <w:numFmt w:val="decimal"/>
      <w:lvlText w:val="%1."/>
      <w:lvlJc w:val="left"/>
      <w:pPr>
        <w:ind w:left="288" w:hanging="288"/>
      </w:pPr>
      <w:rPr>
        <w:rFonts w:asciiTheme="minorHAnsi" w:hAnsiTheme="minorHAnsi" w:hint="default"/>
        <w:i w:val="0"/>
        <w:color w:val="A04DA3" w:themeColor="accent3"/>
        <w:sz w:val="20"/>
      </w:rPr>
    </w:lvl>
    <w:lvl w:ilvl="1">
      <w:start w:val="1"/>
      <w:numFmt w:val="upperLetter"/>
      <w:lvlText w:val="%2."/>
      <w:lvlJc w:val="left"/>
      <w:pPr>
        <w:ind w:left="792" w:hanging="288"/>
      </w:pPr>
      <w:rPr>
        <w:rFonts w:asciiTheme="minorHAnsi" w:hAnsiTheme="minorHAnsi" w:hint="default"/>
        <w:b w:val="0"/>
        <w:i w:val="0"/>
        <w:color w:val="438086" w:themeColor="accent2"/>
        <w:sz w:val="20"/>
      </w:rPr>
    </w:lvl>
    <w:lvl w:ilvl="2">
      <w:start w:val="1"/>
      <w:numFmt w:val="lowerRoman"/>
      <w:lvlText w:val="%3."/>
      <w:lvlJc w:val="right"/>
      <w:pPr>
        <w:ind w:left="1296" w:hanging="288"/>
      </w:pPr>
      <w:rPr>
        <w:rFonts w:asciiTheme="minorHAnsi" w:hAnsiTheme="minorHAnsi" w:hint="default"/>
        <w:b w:val="0"/>
        <w:i w:val="0"/>
        <w:color w:val="53548A" w:themeColor="accent1"/>
        <w:sz w:val="20"/>
      </w:rPr>
    </w:lvl>
    <w:lvl w:ilvl="3">
      <w:start w:val="1"/>
      <w:numFmt w:val="decimal"/>
      <w:lvlText w:val="%4."/>
      <w:lvlJc w:val="left"/>
      <w:pPr>
        <w:ind w:left="1800" w:hanging="288"/>
      </w:pPr>
      <w:rPr>
        <w:rFonts w:asciiTheme="minorHAnsi" w:hAnsiTheme="minorHAnsi" w:hint="default"/>
        <w:b w:val="0"/>
        <w:i w:val="0"/>
        <w:color w:val="53548A" w:themeColor="accent1"/>
        <w:sz w:val="20"/>
      </w:rPr>
    </w:lvl>
    <w:lvl w:ilvl="4">
      <w:start w:val="1"/>
      <w:numFmt w:val="lowerLetter"/>
      <w:lvlText w:val="%5."/>
      <w:lvlJc w:val="left"/>
      <w:pPr>
        <w:ind w:left="2304" w:hanging="288"/>
      </w:pPr>
      <w:rPr>
        <w:rFonts w:asciiTheme="minorHAnsi" w:hAnsiTheme="minorHAnsi" w:hint="default"/>
        <w:b w:val="0"/>
        <w:i w:val="0"/>
        <w:color w:val="53548A" w:themeColor="accent1"/>
        <w:sz w:val="20"/>
      </w:rPr>
    </w:lvl>
    <w:lvl w:ilvl="5">
      <w:start w:val="1"/>
      <w:numFmt w:val="lowerRoman"/>
      <w:lvlText w:val="%6."/>
      <w:lvlJc w:val="right"/>
      <w:pPr>
        <w:ind w:left="2808" w:hanging="288"/>
      </w:pPr>
      <w:rPr>
        <w:rFonts w:asciiTheme="minorHAnsi" w:hAnsiTheme="minorHAnsi" w:hint="default"/>
        <w:b w:val="0"/>
        <w:i w:val="0"/>
        <w:color w:val="53548A" w:themeColor="accent1"/>
        <w:sz w:val="20"/>
      </w:rPr>
    </w:lvl>
    <w:lvl w:ilvl="6">
      <w:start w:val="1"/>
      <w:numFmt w:val="decimal"/>
      <w:lvlText w:val="%7."/>
      <w:lvlJc w:val="left"/>
      <w:pPr>
        <w:ind w:left="3312" w:hanging="288"/>
      </w:pPr>
      <w:rPr>
        <w:rFonts w:asciiTheme="minorHAnsi" w:hAnsiTheme="minorHAnsi" w:hint="default"/>
        <w:b w:val="0"/>
        <w:i w:val="0"/>
        <w:color w:val="53548A" w:themeColor="accent1"/>
        <w:sz w:val="20"/>
      </w:rPr>
    </w:lvl>
    <w:lvl w:ilvl="7">
      <w:start w:val="1"/>
      <w:numFmt w:val="lowerLetter"/>
      <w:lvlText w:val="%8."/>
      <w:lvlJc w:val="left"/>
      <w:pPr>
        <w:ind w:left="3816" w:hanging="288"/>
      </w:pPr>
      <w:rPr>
        <w:rFonts w:asciiTheme="minorHAnsi" w:hAnsiTheme="minorHAnsi" w:hint="default"/>
        <w:b w:val="0"/>
        <w:i w:val="0"/>
        <w:color w:val="53548A" w:themeColor="accent1"/>
        <w:sz w:val="20"/>
      </w:rPr>
    </w:lvl>
    <w:lvl w:ilvl="8">
      <w:start w:val="1"/>
      <w:numFmt w:val="lowerRoman"/>
      <w:lvlText w:val="%9."/>
      <w:lvlJc w:val="right"/>
      <w:pPr>
        <w:ind w:left="4320" w:hanging="288"/>
      </w:pPr>
      <w:rPr>
        <w:rFonts w:asciiTheme="minorHAnsi" w:hAnsiTheme="minorHAnsi" w:hint="default"/>
        <w:b w:val="0"/>
        <w:i w:val="0"/>
        <w:color w:val="53548A" w:themeColor="accent1"/>
        <w:sz w:val="20"/>
      </w:rPr>
    </w:lvl>
  </w:abstractNum>
  <w:abstractNum w:abstractNumId="21">
    <w:nsid w:val="308C1F36"/>
    <w:multiLevelType w:val="hybridMultilevel"/>
    <w:tmpl w:val="3AE83DDC"/>
    <w:lvl w:ilvl="0" w:tplc="0409000F">
      <w:start w:val="1"/>
      <w:numFmt w:val="decimal"/>
      <w:lvlText w:val="%1."/>
      <w:lvlJc w:val="left"/>
      <w:pPr>
        <w:ind w:left="1440" w:hanging="360"/>
      </w:pPr>
    </w:lvl>
    <w:lvl w:ilvl="1" w:tplc="84D2ED82">
      <w:start w:val="1"/>
      <w:numFmt w:val="lowerLetter"/>
      <w:lvlText w:val="%2."/>
      <w:lvlJc w:val="left"/>
      <w:pPr>
        <w:ind w:left="2160" w:hanging="360"/>
      </w:pPr>
      <w:rPr>
        <w:color w:val="424456" w:themeColor="text2"/>
      </w:rPr>
    </w:lvl>
    <w:lvl w:ilvl="2" w:tplc="553E7D70">
      <w:start w:val="1"/>
      <w:numFmt w:val="lowerRoman"/>
      <w:lvlText w:val="%3."/>
      <w:lvlJc w:val="right"/>
      <w:pPr>
        <w:ind w:left="2880" w:hanging="180"/>
      </w:pPr>
      <w:rPr>
        <w:color w:val="424456" w:themeColor="text2"/>
      </w:rPr>
    </w:lvl>
    <w:lvl w:ilvl="3" w:tplc="DEE48288">
      <w:start w:val="1"/>
      <w:numFmt w:val="decimal"/>
      <w:lvlText w:val="%4."/>
      <w:lvlJc w:val="left"/>
      <w:pPr>
        <w:ind w:left="3600" w:hanging="360"/>
      </w:pPr>
      <w:rPr>
        <w:color w:val="424456" w:themeColor="text2"/>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35E71CD9"/>
    <w:multiLevelType w:val="hybridMultilevel"/>
    <w:tmpl w:val="39D65854"/>
    <w:lvl w:ilvl="0" w:tplc="07525450">
      <w:start w:val="1"/>
      <w:numFmt w:val="bullet"/>
      <w:lvlText w:val=""/>
      <w:lvlJc w:val="left"/>
      <w:pPr>
        <w:ind w:left="1440" w:hanging="360"/>
      </w:pPr>
      <w:rPr>
        <w:rFonts w:ascii="Symbol" w:hAnsi="Symbol" w:cs="Symbol" w:hint="default"/>
        <w:color w:val="A04DA3" w:themeColor="accent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3">
    <w:nsid w:val="36A80E22"/>
    <w:multiLevelType w:val="hybridMultilevel"/>
    <w:tmpl w:val="CF765A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3D9C46A3"/>
    <w:multiLevelType w:val="multilevel"/>
    <w:tmpl w:val="33B056D0"/>
    <w:styleLink w:val="Listaconvietasurbana"/>
    <w:lvl w:ilvl="0">
      <w:start w:val="1"/>
      <w:numFmt w:val="bullet"/>
      <w:pStyle w:val="Vieta1"/>
      <w:lvlText w:val=""/>
      <w:lvlJc w:val="left"/>
      <w:pPr>
        <w:ind w:left="216" w:hanging="216"/>
      </w:pPr>
      <w:rPr>
        <w:rFonts w:ascii="Symbol" w:hAnsi="Symbol" w:hint="default"/>
        <w:b w:val="0"/>
        <w:i w:val="0"/>
        <w:color w:val="A04DA3" w:themeColor="accent3"/>
        <w:sz w:val="18"/>
      </w:rPr>
    </w:lvl>
    <w:lvl w:ilvl="1">
      <w:start w:val="1"/>
      <w:numFmt w:val="bullet"/>
      <w:pStyle w:val="Vieta2"/>
      <w:lvlText w:val=""/>
      <w:lvlJc w:val="left"/>
      <w:pPr>
        <w:ind w:left="461" w:hanging="216"/>
      </w:pPr>
      <w:rPr>
        <w:rFonts w:ascii="Wingdings" w:hAnsi="Wingdings" w:hint="default"/>
        <w:b w:val="0"/>
        <w:i w:val="0"/>
        <w:color w:val="438086" w:themeColor="accent2"/>
        <w:sz w:val="12"/>
      </w:rPr>
    </w:lvl>
    <w:lvl w:ilvl="2">
      <w:start w:val="1"/>
      <w:numFmt w:val="bullet"/>
      <w:pStyle w:val="Vieta3"/>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5">
    <w:nsid w:val="40B17DB9"/>
    <w:multiLevelType w:val="hybridMultilevel"/>
    <w:tmpl w:val="A0BE2AD0"/>
    <w:lvl w:ilvl="0" w:tplc="C4045840">
      <w:start w:val="1"/>
      <w:numFmt w:val="decimal"/>
      <w:lvlText w:val="%1."/>
      <w:lvlJc w:val="left"/>
      <w:pPr>
        <w:ind w:left="720" w:hanging="360"/>
      </w:pPr>
      <w:rPr>
        <w:rFonts w:asciiTheme="majorHAnsi" w:hAnsiTheme="majorHAnsi" w:hint="default"/>
        <w:color w:val="325F64" w:themeColor="accent2" w:themeShade="BF"/>
        <w:sz w:val="18"/>
        <w:szCs w:val="18"/>
        <w:u w:val="none"/>
      </w:rPr>
    </w:lvl>
    <w:lvl w:ilvl="1" w:tplc="098C87B0">
      <w:start w:val="1"/>
      <w:numFmt w:val="lowerLetter"/>
      <w:lvlText w:val="%2."/>
      <w:lvlJc w:val="left"/>
      <w:pPr>
        <w:ind w:left="1440" w:hanging="360"/>
      </w:pPr>
      <w:rPr>
        <w:color w:val="438086" w:themeColor="accent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C57BC7"/>
    <w:multiLevelType w:val="hybridMultilevel"/>
    <w:tmpl w:val="5064A2F4"/>
    <w:lvl w:ilvl="0" w:tplc="BDC83ACC">
      <w:start w:val="1"/>
      <w:numFmt w:val="bullet"/>
      <w:lvlText w:val=""/>
      <w:lvlJc w:val="left"/>
      <w:pPr>
        <w:ind w:left="720" w:hanging="360"/>
      </w:pPr>
      <w:rPr>
        <w:rFonts w:ascii="Wingdings" w:hAnsi="Wingdings" w:cs="Wingdings" w:hint="default"/>
        <w:color w:val="325F64" w:themeColor="accent2" w:themeShade="BF"/>
        <w:sz w:val="16"/>
        <w:szCs w:val="16"/>
      </w:rPr>
    </w:lvl>
    <w:lvl w:ilvl="1" w:tplc="E896886C">
      <w:start w:val="1"/>
      <w:numFmt w:val="bullet"/>
      <w:lvlText w:val=""/>
      <w:lvlJc w:val="left"/>
      <w:pPr>
        <w:ind w:left="1440" w:hanging="360"/>
      </w:pPr>
      <w:rPr>
        <w:rFonts w:ascii="Wingdings" w:hAnsi="Wingdings" w:cs="Wingdings" w:hint="default"/>
        <w:color w:val="438086" w:themeColor="accent2"/>
        <w:sz w:val="16"/>
        <w:szCs w:val="16"/>
      </w:rPr>
    </w:lvl>
    <w:lvl w:ilvl="2" w:tplc="13C0FDF8">
      <w:start w:val="1"/>
      <w:numFmt w:val="bullet"/>
      <w:lvlText w:val=""/>
      <w:lvlJc w:val="left"/>
      <w:pPr>
        <w:ind w:left="2160" w:hanging="360"/>
      </w:pPr>
      <w:rPr>
        <w:rFonts w:ascii="Wingdings" w:hAnsi="Wingdings" w:cs="Wingdings" w:hint="default"/>
        <w:color w:val="83BBC1" w:themeColor="accent2" w:themeTint="99"/>
        <w:sz w:val="16"/>
        <w:szCs w:val="16"/>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nsid w:val="48785B94"/>
    <w:multiLevelType w:val="multilevel"/>
    <w:tmpl w:val="33B056D0"/>
    <w:lvl w:ilvl="0">
      <w:start w:val="1"/>
      <w:numFmt w:val="bullet"/>
      <w:lvlText w:val=""/>
      <w:lvlJc w:val="left"/>
      <w:pPr>
        <w:ind w:left="216" w:hanging="216"/>
      </w:pPr>
      <w:rPr>
        <w:rFonts w:ascii="Symbol" w:hAnsi="Symbol" w:hint="default"/>
        <w:b w:val="0"/>
        <w:i w:val="0"/>
        <w:color w:val="A04DA3" w:themeColor="accent3"/>
        <w:sz w:val="18"/>
      </w:rPr>
    </w:lvl>
    <w:lvl w:ilvl="1">
      <w:start w:val="1"/>
      <w:numFmt w:val="bullet"/>
      <w:lvlText w:val=""/>
      <w:lvlJc w:val="left"/>
      <w:pPr>
        <w:ind w:left="461" w:hanging="216"/>
      </w:pPr>
      <w:rPr>
        <w:rFonts w:ascii="Wingdings" w:hAnsi="Wingdings" w:hint="default"/>
        <w:b w:val="0"/>
        <w:i w:val="0"/>
        <w:color w:val="438086" w:themeColor="accent2"/>
        <w:sz w:val="12"/>
      </w:rPr>
    </w:lvl>
    <w:lvl w:ilvl="2">
      <w:start w:val="1"/>
      <w:numFmt w:val="bullet"/>
      <w:lvlText w:val=""/>
      <w:lvlJc w:val="left"/>
      <w:pPr>
        <w:ind w:left="706" w:hanging="216"/>
      </w:pPr>
      <w:rPr>
        <w:rFonts w:ascii="Symbol" w:hAnsi="Symbol" w:hint="default"/>
        <w:b w:val="0"/>
        <w:i w:val="0"/>
        <w:color w:val="53548A" w:themeColor="accent1"/>
        <w:sz w:val="16"/>
      </w:rPr>
    </w:lvl>
    <w:lvl w:ilvl="3">
      <w:start w:val="1"/>
      <w:numFmt w:val="bullet"/>
      <w:lvlText w:val=""/>
      <w:lvlJc w:val="left"/>
      <w:pPr>
        <w:ind w:left="951" w:hanging="216"/>
      </w:pPr>
      <w:rPr>
        <w:rFonts w:ascii="Symbol" w:hAnsi="Symbol" w:hint="default"/>
        <w:b w:val="0"/>
        <w:i w:val="0"/>
        <w:color w:val="53548A" w:themeColor="accent1"/>
        <w:sz w:val="16"/>
      </w:rPr>
    </w:lvl>
    <w:lvl w:ilvl="4">
      <w:start w:val="1"/>
      <w:numFmt w:val="bullet"/>
      <w:lvlText w:val=""/>
      <w:lvlJc w:val="left"/>
      <w:pPr>
        <w:ind w:left="1196" w:hanging="216"/>
      </w:pPr>
      <w:rPr>
        <w:rFonts w:ascii="Symbol" w:hAnsi="Symbol" w:hint="default"/>
        <w:color w:val="53548A" w:themeColor="accent1"/>
        <w:sz w:val="16"/>
      </w:rPr>
    </w:lvl>
    <w:lvl w:ilvl="5">
      <w:start w:val="1"/>
      <w:numFmt w:val="bullet"/>
      <w:lvlText w:val=""/>
      <w:lvlJc w:val="left"/>
      <w:pPr>
        <w:ind w:left="1441" w:hanging="216"/>
      </w:pPr>
      <w:rPr>
        <w:rFonts w:ascii="Symbol" w:hAnsi="Symbol" w:hint="default"/>
        <w:color w:val="53548A" w:themeColor="accent1"/>
        <w:sz w:val="16"/>
      </w:rPr>
    </w:lvl>
    <w:lvl w:ilvl="6">
      <w:start w:val="1"/>
      <w:numFmt w:val="bullet"/>
      <w:lvlText w:val=""/>
      <w:lvlJc w:val="left"/>
      <w:pPr>
        <w:ind w:left="1686" w:hanging="216"/>
      </w:pPr>
      <w:rPr>
        <w:rFonts w:ascii="Symbol" w:hAnsi="Symbol" w:hint="default"/>
        <w:color w:val="53548A" w:themeColor="accent1"/>
        <w:sz w:val="16"/>
      </w:rPr>
    </w:lvl>
    <w:lvl w:ilvl="7">
      <w:start w:val="1"/>
      <w:numFmt w:val="bullet"/>
      <w:lvlText w:val=""/>
      <w:lvlJc w:val="left"/>
      <w:pPr>
        <w:ind w:left="1931" w:hanging="216"/>
      </w:pPr>
      <w:rPr>
        <w:rFonts w:ascii="Symbol" w:hAnsi="Symbol" w:hint="default"/>
        <w:color w:val="53548A" w:themeColor="accent1"/>
        <w:sz w:val="16"/>
      </w:rPr>
    </w:lvl>
    <w:lvl w:ilvl="8">
      <w:start w:val="1"/>
      <w:numFmt w:val="bullet"/>
      <w:lvlText w:val=""/>
      <w:lvlJc w:val="left"/>
      <w:pPr>
        <w:ind w:left="2176" w:hanging="216"/>
      </w:pPr>
      <w:rPr>
        <w:rFonts w:ascii="Symbol" w:hAnsi="Symbol" w:hint="default"/>
        <w:color w:val="53548A" w:themeColor="accent1"/>
        <w:sz w:val="16"/>
      </w:rPr>
    </w:lvl>
  </w:abstractNum>
  <w:abstractNum w:abstractNumId="28">
    <w:nsid w:val="57911FB4"/>
    <w:multiLevelType w:val="hybridMultilevel"/>
    <w:tmpl w:val="D6B69FD2"/>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ECA42F2"/>
    <w:multiLevelType w:val="hybridMultilevel"/>
    <w:tmpl w:val="F60CC51C"/>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1751600"/>
    <w:multiLevelType w:val="hybridMultilevel"/>
    <w:tmpl w:val="38F8EBC4"/>
    <w:lvl w:ilvl="0" w:tplc="5C1E6DF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3E8022B"/>
    <w:multiLevelType w:val="multilevel"/>
    <w:tmpl w:val="33B056D0"/>
    <w:numStyleLink w:val="Listaconvietasurbana"/>
  </w:abstractNum>
  <w:abstractNum w:abstractNumId="32">
    <w:nsid w:val="6F0D0B31"/>
    <w:multiLevelType w:val="multilevel"/>
    <w:tmpl w:val="7AC6A14E"/>
    <w:numStyleLink w:val="Listanumeradaurbana"/>
  </w:abstractNum>
  <w:abstractNum w:abstractNumId="33">
    <w:nsid w:val="72817FF1"/>
    <w:multiLevelType w:val="hybridMultilevel"/>
    <w:tmpl w:val="702CD21C"/>
    <w:lvl w:ilvl="0" w:tplc="07525450">
      <w:start w:val="1"/>
      <w:numFmt w:val="bullet"/>
      <w:lvlText w:val=""/>
      <w:lvlJc w:val="left"/>
      <w:pPr>
        <w:ind w:left="1440" w:hanging="360"/>
      </w:pPr>
      <w:rPr>
        <w:rFonts w:ascii="Symbol" w:hAnsi="Symbol" w:cs="Symbol" w:hint="default"/>
        <w:color w:val="A04DA3" w:themeColor="accent3"/>
      </w:rPr>
    </w:lvl>
    <w:lvl w:ilvl="1" w:tplc="F4389890">
      <w:start w:val="1"/>
      <w:numFmt w:val="bullet"/>
      <w:lvlText w:val=""/>
      <w:lvlJc w:val="left"/>
      <w:pPr>
        <w:ind w:left="2160" w:hanging="360"/>
      </w:pPr>
      <w:rPr>
        <w:rFonts w:ascii="Wingdings" w:hAnsi="Wingdings" w:cs="Wingdings" w:hint="default"/>
        <w:color w:val="438086" w:themeColor="accent2"/>
        <w:sz w:val="12"/>
        <w:szCs w:val="12"/>
      </w:rPr>
    </w:lvl>
    <w:lvl w:ilvl="2" w:tplc="9A9E4A9C">
      <w:start w:val="1"/>
      <w:numFmt w:val="bullet"/>
      <w:lvlText w:val=""/>
      <w:lvlJc w:val="left"/>
      <w:pPr>
        <w:ind w:left="2880" w:hanging="360"/>
      </w:pPr>
      <w:rPr>
        <w:rFonts w:ascii="Symbol" w:hAnsi="Symbol" w:cs="Symbol" w:hint="default"/>
        <w:color w:val="53548A" w:themeColor="accent1"/>
        <w:sz w:val="16"/>
        <w:szCs w:val="16"/>
      </w:rPr>
    </w:lvl>
    <w:lvl w:ilvl="3" w:tplc="96863BBE">
      <w:start w:val="1"/>
      <w:numFmt w:val="bullet"/>
      <w:lvlText w:val=""/>
      <w:lvlJc w:val="left"/>
      <w:pPr>
        <w:ind w:left="3600" w:hanging="360"/>
      </w:pPr>
      <w:rPr>
        <w:rFonts w:ascii="Symbol" w:hAnsi="Symbol" w:cs="Symbol" w:hint="default"/>
        <w:sz w:val="16"/>
        <w:szCs w:val="16"/>
      </w:rPr>
    </w:lvl>
    <w:lvl w:ilvl="4" w:tplc="98987F98">
      <w:start w:val="1"/>
      <w:numFmt w:val="bullet"/>
      <w:lvlText w:val=""/>
      <w:lvlJc w:val="left"/>
      <w:pPr>
        <w:ind w:left="4320" w:hanging="360"/>
      </w:pPr>
      <w:rPr>
        <w:rFonts w:ascii="Symbol" w:hAnsi="Symbol" w:cs="Symbol" w:hint="default"/>
        <w:sz w:val="16"/>
        <w:szCs w:val="16"/>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4">
    <w:nsid w:val="733505FE"/>
    <w:multiLevelType w:val="hybridMultilevel"/>
    <w:tmpl w:val="41F4AC88"/>
    <w:lvl w:ilvl="0" w:tplc="AA644D84">
      <w:start w:val="1"/>
      <w:numFmt w:val="bullet"/>
      <w:lvlText w:val=""/>
      <w:lvlPicBulletId w:val="2"/>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6740294"/>
    <w:multiLevelType w:val="multilevel"/>
    <w:tmpl w:val="33B056D0"/>
    <w:numStyleLink w:val="Listaconvietasurbana"/>
  </w:abstractNum>
  <w:abstractNum w:abstractNumId="36">
    <w:nsid w:val="76921C5B"/>
    <w:multiLevelType w:val="multilevel"/>
    <w:tmpl w:val="33B056D0"/>
    <w:numStyleLink w:val="Listaconvietasurbana"/>
  </w:abstractNum>
  <w:abstractNum w:abstractNumId="37">
    <w:nsid w:val="7E025C09"/>
    <w:multiLevelType w:val="multilevel"/>
    <w:tmpl w:val="33B056D0"/>
    <w:numStyleLink w:val="Listaconvietasurbana"/>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6"/>
  </w:num>
  <w:num w:numId="14">
    <w:abstractNumId w:val="22"/>
  </w:num>
  <w:num w:numId="15">
    <w:abstractNumId w:val="33"/>
  </w:num>
  <w:num w:numId="16">
    <w:abstractNumId w:val="21"/>
  </w:num>
  <w:num w:numId="17">
    <w:abstractNumId w:val="24"/>
  </w:num>
  <w:num w:numId="18">
    <w:abstractNumId w:val="13"/>
  </w:num>
  <w:num w:numId="19">
    <w:abstractNumId w:val="35"/>
  </w:num>
  <w:num w:numId="20">
    <w:abstractNumId w:val="36"/>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bullet"/>
        <w:lvlText w:val=""/>
        <w:lvlJc w:val="left"/>
        <w:pPr>
          <w:ind w:left="1196" w:hanging="216"/>
        </w:pPr>
        <w:rPr>
          <w:rFonts w:ascii="Symbol" w:hAnsi="Symbol" w:hint="default"/>
          <w:color w:val="53548A" w:themeColor="accent1"/>
          <w:sz w:val="18"/>
          <w:szCs w:val="18"/>
        </w:rPr>
      </w:lvl>
    </w:lvlOverride>
  </w:num>
  <w:num w:numId="21">
    <w:abstractNumId w:val="31"/>
    <w:lvlOverride w:ilvl="0">
      <w:lvl w:ilvl="0">
        <w:start w:val="1"/>
        <w:numFmt w:val="bullet"/>
        <w:lvlText w:val=""/>
        <w:lvlJc w:val="left"/>
        <w:pPr>
          <w:ind w:left="216" w:hanging="216"/>
        </w:pPr>
        <w:rPr>
          <w:rFonts w:ascii="Symbol" w:hAnsi="Symbol" w:hint="default"/>
          <w:b w:val="0"/>
          <w:i w:val="0"/>
          <w:color w:val="A04DA3" w:themeColor="accent3"/>
          <w:sz w:val="18"/>
          <w:szCs w:val="18"/>
        </w:rPr>
      </w:lvl>
    </w:lvlOverride>
  </w:num>
  <w:num w:numId="22">
    <w:abstractNumId w:val="14"/>
  </w:num>
  <w:num w:numId="23">
    <w:abstractNumId w:val="32"/>
  </w:num>
  <w:num w:numId="24">
    <w:abstractNumId w:val="18"/>
  </w:num>
  <w:num w:numId="25">
    <w:abstractNumId w:val="17"/>
  </w:num>
  <w:num w:numId="26">
    <w:abstractNumId w:val="10"/>
  </w:num>
  <w:num w:numId="27">
    <w:abstractNumId w:val="37"/>
  </w:num>
  <w:num w:numId="28">
    <w:abstractNumId w:val="27"/>
  </w:num>
  <w:num w:numId="29">
    <w:abstractNumId w:val="20"/>
  </w:num>
  <w:num w:numId="30">
    <w:abstractNumId w:val="19"/>
  </w:num>
  <w:num w:numId="31">
    <w:abstractNumId w:val="19"/>
  </w:num>
  <w:num w:numId="32">
    <w:abstractNumId w:val="19"/>
  </w:num>
  <w:num w:numId="33">
    <w:abstractNumId w:val="24"/>
  </w:num>
  <w:num w:numId="34">
    <w:abstractNumId w:val="14"/>
  </w:num>
  <w:num w:numId="35">
    <w:abstractNumId w:val="24"/>
  </w:num>
  <w:num w:numId="36">
    <w:abstractNumId w:val="24"/>
  </w:num>
  <w:num w:numId="37">
    <w:abstractNumId w:val="24"/>
  </w:num>
  <w:num w:numId="38">
    <w:abstractNumId w:val="24"/>
  </w:num>
  <w:num w:numId="39">
    <w:abstractNumId w:val="14"/>
  </w:num>
  <w:num w:numId="40">
    <w:abstractNumId w:val="30"/>
  </w:num>
  <w:num w:numId="41">
    <w:abstractNumId w:val="28"/>
  </w:num>
  <w:num w:numId="42">
    <w:abstractNumId w:val="11"/>
  </w:num>
  <w:num w:numId="43">
    <w:abstractNumId w:val="29"/>
  </w:num>
  <w:num w:numId="44">
    <w:abstractNumId w:val="16"/>
  </w:num>
  <w:num w:numId="45">
    <w:abstractNumId w:val="15"/>
  </w:num>
  <w:num w:numId="46">
    <w:abstractNumId w:val="1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drawingGridHorizontalSpacing w:val="100"/>
  <w:displayHorizontalDrawingGridEvery w:val="2"/>
  <w:characterSpacingControl w:val="doNotCompress"/>
  <w:hdrShapeDefaults>
    <o:shapedefaults v:ext="edit" spidmax="2049" fillcolor="white">
      <v:fill color="white"/>
      <o:colormru v:ext="edit" colors="#334c4f,#79b5b0,#b77851,#d1e1e3,#066,#7ea8ac,#4e767a,#293d3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B2"/>
    <w:rsid w:val="00004C5D"/>
    <w:rsid w:val="00052CDD"/>
    <w:rsid w:val="00053BF4"/>
    <w:rsid w:val="000572FC"/>
    <w:rsid w:val="00064F49"/>
    <w:rsid w:val="0008061C"/>
    <w:rsid w:val="00090A3E"/>
    <w:rsid w:val="000B25CE"/>
    <w:rsid w:val="000B5590"/>
    <w:rsid w:val="000B5A54"/>
    <w:rsid w:val="000D23D4"/>
    <w:rsid w:val="000D2839"/>
    <w:rsid w:val="000E0645"/>
    <w:rsid w:val="000E1511"/>
    <w:rsid w:val="000E303D"/>
    <w:rsid w:val="000F5663"/>
    <w:rsid w:val="000F6396"/>
    <w:rsid w:val="000F6C27"/>
    <w:rsid w:val="0010212B"/>
    <w:rsid w:val="00103B9F"/>
    <w:rsid w:val="00106BCC"/>
    <w:rsid w:val="00115E70"/>
    <w:rsid w:val="0012501B"/>
    <w:rsid w:val="001257FB"/>
    <w:rsid w:val="00131645"/>
    <w:rsid w:val="00141128"/>
    <w:rsid w:val="00146232"/>
    <w:rsid w:val="00152FBA"/>
    <w:rsid w:val="001572F5"/>
    <w:rsid w:val="00174861"/>
    <w:rsid w:val="001836F5"/>
    <w:rsid w:val="00183A18"/>
    <w:rsid w:val="0019120F"/>
    <w:rsid w:val="00195B99"/>
    <w:rsid w:val="001A7FD3"/>
    <w:rsid w:val="001D364C"/>
    <w:rsid w:val="001D5F91"/>
    <w:rsid w:val="001E6796"/>
    <w:rsid w:val="001F5549"/>
    <w:rsid w:val="00205084"/>
    <w:rsid w:val="002136D7"/>
    <w:rsid w:val="002248F4"/>
    <w:rsid w:val="002313A7"/>
    <w:rsid w:val="00235A5B"/>
    <w:rsid w:val="00243981"/>
    <w:rsid w:val="00276705"/>
    <w:rsid w:val="00285713"/>
    <w:rsid w:val="00285FD2"/>
    <w:rsid w:val="002A35CD"/>
    <w:rsid w:val="002C07EB"/>
    <w:rsid w:val="002D19D0"/>
    <w:rsid w:val="002D79EE"/>
    <w:rsid w:val="002F2CAA"/>
    <w:rsid w:val="002F46D6"/>
    <w:rsid w:val="00317852"/>
    <w:rsid w:val="003211D0"/>
    <w:rsid w:val="003220BF"/>
    <w:rsid w:val="00334037"/>
    <w:rsid w:val="00336A93"/>
    <w:rsid w:val="003713E6"/>
    <w:rsid w:val="003774D5"/>
    <w:rsid w:val="00384774"/>
    <w:rsid w:val="00395F26"/>
    <w:rsid w:val="003A0D0E"/>
    <w:rsid w:val="003B00A2"/>
    <w:rsid w:val="003C4162"/>
    <w:rsid w:val="003C77F3"/>
    <w:rsid w:val="003D5691"/>
    <w:rsid w:val="003F10D6"/>
    <w:rsid w:val="003F1FE9"/>
    <w:rsid w:val="004016D1"/>
    <w:rsid w:val="0040196E"/>
    <w:rsid w:val="00406C3D"/>
    <w:rsid w:val="00406DDA"/>
    <w:rsid w:val="00413611"/>
    <w:rsid w:val="00413C4E"/>
    <w:rsid w:val="00415CDA"/>
    <w:rsid w:val="00417966"/>
    <w:rsid w:val="00430EDA"/>
    <w:rsid w:val="004538B9"/>
    <w:rsid w:val="004612EB"/>
    <w:rsid w:val="00471BEF"/>
    <w:rsid w:val="0047212C"/>
    <w:rsid w:val="00472C0E"/>
    <w:rsid w:val="00497839"/>
    <w:rsid w:val="004A60E2"/>
    <w:rsid w:val="004B5A06"/>
    <w:rsid w:val="004B627A"/>
    <w:rsid w:val="004C21D3"/>
    <w:rsid w:val="004D12E5"/>
    <w:rsid w:val="004D161A"/>
    <w:rsid w:val="004D1D09"/>
    <w:rsid w:val="004D777E"/>
    <w:rsid w:val="004E4E8E"/>
    <w:rsid w:val="004F3D6E"/>
    <w:rsid w:val="004F7D22"/>
    <w:rsid w:val="00500E35"/>
    <w:rsid w:val="00500F92"/>
    <w:rsid w:val="00501D1D"/>
    <w:rsid w:val="0050450D"/>
    <w:rsid w:val="00504935"/>
    <w:rsid w:val="00506ABD"/>
    <w:rsid w:val="00513EC7"/>
    <w:rsid w:val="00520912"/>
    <w:rsid w:val="00521377"/>
    <w:rsid w:val="00521A02"/>
    <w:rsid w:val="0052237C"/>
    <w:rsid w:val="00524F99"/>
    <w:rsid w:val="00535CD6"/>
    <w:rsid w:val="005372D2"/>
    <w:rsid w:val="00543A4A"/>
    <w:rsid w:val="00550FCC"/>
    <w:rsid w:val="005624F1"/>
    <w:rsid w:val="00563729"/>
    <w:rsid w:val="00565D36"/>
    <w:rsid w:val="005718D7"/>
    <w:rsid w:val="005915F6"/>
    <w:rsid w:val="00592D1D"/>
    <w:rsid w:val="00594CB7"/>
    <w:rsid w:val="00596EDD"/>
    <w:rsid w:val="005A1B1B"/>
    <w:rsid w:val="005B5DEF"/>
    <w:rsid w:val="005B63D1"/>
    <w:rsid w:val="005B7C64"/>
    <w:rsid w:val="005C658E"/>
    <w:rsid w:val="005E1BC9"/>
    <w:rsid w:val="005F0168"/>
    <w:rsid w:val="005F586A"/>
    <w:rsid w:val="005F5D78"/>
    <w:rsid w:val="00612662"/>
    <w:rsid w:val="00621956"/>
    <w:rsid w:val="006219DA"/>
    <w:rsid w:val="00631760"/>
    <w:rsid w:val="006350B7"/>
    <w:rsid w:val="006469F3"/>
    <w:rsid w:val="0065420F"/>
    <w:rsid w:val="00672872"/>
    <w:rsid w:val="006818C2"/>
    <w:rsid w:val="00683852"/>
    <w:rsid w:val="00685466"/>
    <w:rsid w:val="006A2316"/>
    <w:rsid w:val="006A529F"/>
    <w:rsid w:val="006A7B1F"/>
    <w:rsid w:val="006B7A84"/>
    <w:rsid w:val="006B7BE2"/>
    <w:rsid w:val="006C0613"/>
    <w:rsid w:val="006C3BE2"/>
    <w:rsid w:val="006D0307"/>
    <w:rsid w:val="006F1D40"/>
    <w:rsid w:val="00705B9D"/>
    <w:rsid w:val="007134CF"/>
    <w:rsid w:val="00715370"/>
    <w:rsid w:val="00734470"/>
    <w:rsid w:val="00741E5A"/>
    <w:rsid w:val="00743995"/>
    <w:rsid w:val="00762A13"/>
    <w:rsid w:val="00770643"/>
    <w:rsid w:val="0078130A"/>
    <w:rsid w:val="00794A50"/>
    <w:rsid w:val="007A2C04"/>
    <w:rsid w:val="007B269C"/>
    <w:rsid w:val="007B67FD"/>
    <w:rsid w:val="007D671A"/>
    <w:rsid w:val="007E1A7A"/>
    <w:rsid w:val="00811B08"/>
    <w:rsid w:val="00813F12"/>
    <w:rsid w:val="008176A6"/>
    <w:rsid w:val="008220D7"/>
    <w:rsid w:val="00832773"/>
    <w:rsid w:val="008367DC"/>
    <w:rsid w:val="00841A00"/>
    <w:rsid w:val="008726DA"/>
    <w:rsid w:val="008762AA"/>
    <w:rsid w:val="008847F2"/>
    <w:rsid w:val="008876B2"/>
    <w:rsid w:val="00890225"/>
    <w:rsid w:val="008A2400"/>
    <w:rsid w:val="008A4271"/>
    <w:rsid w:val="008A74FD"/>
    <w:rsid w:val="008B6F84"/>
    <w:rsid w:val="008E5FF1"/>
    <w:rsid w:val="00902A11"/>
    <w:rsid w:val="009150E1"/>
    <w:rsid w:val="00915F66"/>
    <w:rsid w:val="00925B4F"/>
    <w:rsid w:val="009400C9"/>
    <w:rsid w:val="00954BE4"/>
    <w:rsid w:val="009768D7"/>
    <w:rsid w:val="00990975"/>
    <w:rsid w:val="009A7BE1"/>
    <w:rsid w:val="009C3B02"/>
    <w:rsid w:val="009E3455"/>
    <w:rsid w:val="009E5841"/>
    <w:rsid w:val="009F4CCF"/>
    <w:rsid w:val="009F5AAA"/>
    <w:rsid w:val="00A06568"/>
    <w:rsid w:val="00A1325F"/>
    <w:rsid w:val="00A32599"/>
    <w:rsid w:val="00A41982"/>
    <w:rsid w:val="00A57F5B"/>
    <w:rsid w:val="00A61B8E"/>
    <w:rsid w:val="00AA2D83"/>
    <w:rsid w:val="00AB121D"/>
    <w:rsid w:val="00AB1458"/>
    <w:rsid w:val="00B057CB"/>
    <w:rsid w:val="00B15A6E"/>
    <w:rsid w:val="00B27464"/>
    <w:rsid w:val="00B305DD"/>
    <w:rsid w:val="00B529FF"/>
    <w:rsid w:val="00B77F9F"/>
    <w:rsid w:val="00B80AB2"/>
    <w:rsid w:val="00B86CD2"/>
    <w:rsid w:val="00BA7E64"/>
    <w:rsid w:val="00BB4D6D"/>
    <w:rsid w:val="00BC4003"/>
    <w:rsid w:val="00BC6A56"/>
    <w:rsid w:val="00BD3DF5"/>
    <w:rsid w:val="00BD5EA0"/>
    <w:rsid w:val="00C05C6E"/>
    <w:rsid w:val="00C0625A"/>
    <w:rsid w:val="00C1081A"/>
    <w:rsid w:val="00C12FE5"/>
    <w:rsid w:val="00C21A1E"/>
    <w:rsid w:val="00C22A89"/>
    <w:rsid w:val="00C258FB"/>
    <w:rsid w:val="00C31F9B"/>
    <w:rsid w:val="00C34DD2"/>
    <w:rsid w:val="00C5466E"/>
    <w:rsid w:val="00C658AB"/>
    <w:rsid w:val="00C95495"/>
    <w:rsid w:val="00CA081B"/>
    <w:rsid w:val="00CA21DE"/>
    <w:rsid w:val="00CA722F"/>
    <w:rsid w:val="00CB41F1"/>
    <w:rsid w:val="00CB65E7"/>
    <w:rsid w:val="00CB6D6C"/>
    <w:rsid w:val="00CD171E"/>
    <w:rsid w:val="00CD2637"/>
    <w:rsid w:val="00CD6DDF"/>
    <w:rsid w:val="00CE43A8"/>
    <w:rsid w:val="00CE4882"/>
    <w:rsid w:val="00CE4A3B"/>
    <w:rsid w:val="00D0408A"/>
    <w:rsid w:val="00D438E9"/>
    <w:rsid w:val="00D631CC"/>
    <w:rsid w:val="00D7706E"/>
    <w:rsid w:val="00D874DB"/>
    <w:rsid w:val="00D974D1"/>
    <w:rsid w:val="00DB5874"/>
    <w:rsid w:val="00DD3A07"/>
    <w:rsid w:val="00DD555A"/>
    <w:rsid w:val="00DF2B08"/>
    <w:rsid w:val="00DF7C00"/>
    <w:rsid w:val="00E1322B"/>
    <w:rsid w:val="00E165D2"/>
    <w:rsid w:val="00E168E3"/>
    <w:rsid w:val="00E20D63"/>
    <w:rsid w:val="00E213C5"/>
    <w:rsid w:val="00E26087"/>
    <w:rsid w:val="00E26834"/>
    <w:rsid w:val="00E2701E"/>
    <w:rsid w:val="00E30EFD"/>
    <w:rsid w:val="00E440E4"/>
    <w:rsid w:val="00E4699B"/>
    <w:rsid w:val="00E62C56"/>
    <w:rsid w:val="00E632A2"/>
    <w:rsid w:val="00E64EFF"/>
    <w:rsid w:val="00E924EF"/>
    <w:rsid w:val="00E93B9C"/>
    <w:rsid w:val="00EA0274"/>
    <w:rsid w:val="00EC674E"/>
    <w:rsid w:val="00EF2D69"/>
    <w:rsid w:val="00F032C0"/>
    <w:rsid w:val="00F23B80"/>
    <w:rsid w:val="00F23BD7"/>
    <w:rsid w:val="00F245CD"/>
    <w:rsid w:val="00F279CA"/>
    <w:rsid w:val="00F358D1"/>
    <w:rsid w:val="00F52B23"/>
    <w:rsid w:val="00F53FF2"/>
    <w:rsid w:val="00F6070C"/>
    <w:rsid w:val="00F710DF"/>
    <w:rsid w:val="00F7229B"/>
    <w:rsid w:val="00F73DA5"/>
    <w:rsid w:val="00F753C6"/>
    <w:rsid w:val="00F75B78"/>
    <w:rsid w:val="00F931F3"/>
    <w:rsid w:val="00FA5D07"/>
    <w:rsid w:val="00FB32A8"/>
    <w:rsid w:val="00FC3BD8"/>
    <w:rsid w:val="00FF14EC"/>
    <w:rsid w:val="00FF20A2"/>
    <w:rsid w:val="00FF5F43"/>
  </w:rsids>
  <m:mathPr>
    <m:mathFont m:val="Cambria Math"/>
    <m:brkBin m:val="before"/>
    <m:brkBinSub m:val="--"/>
    <m:smallFrac m:val="0"/>
    <m:dispDef/>
    <m:lMargin m:val="1440"/>
    <m:rMargin m:val="144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colormru v:ext="edit" colors="#334c4f,#79b5b0,#b77851,#d1e1e3,#066,#7ea8ac,#4e767a,#293d3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CC"/>
    <w:pPr>
      <w:jc w:val="both"/>
    </w:pPr>
    <w:rPr>
      <w:rFonts w:ascii="Century Gothic" w:hAnsi="Century Gothic"/>
      <w:szCs w:val="20"/>
    </w:rPr>
  </w:style>
  <w:style w:type="paragraph" w:styleId="Ttulo1">
    <w:name w:val="heading 1"/>
    <w:basedOn w:val="Normal"/>
    <w:next w:val="Normal"/>
    <w:link w:val="Ttulo1Car"/>
    <w:uiPriority w:val="9"/>
    <w:qFormat/>
    <w:rsid w:val="00AA2D83"/>
    <w:pPr>
      <w:pBdr>
        <w:bottom w:val="single" w:sz="4" w:space="1" w:color="438086" w:themeColor="accent2"/>
      </w:pBdr>
      <w:spacing w:before="360" w:after="80"/>
      <w:outlineLvl w:val="0"/>
    </w:pPr>
    <w:rPr>
      <w:rFonts w:asciiTheme="majorHAnsi" w:hAnsiTheme="majorHAnsi"/>
      <w:b/>
      <w:color w:val="438086" w:themeColor="accent2"/>
      <w:sz w:val="32"/>
      <w:szCs w:val="32"/>
    </w:rPr>
  </w:style>
  <w:style w:type="paragraph" w:styleId="Ttulo2">
    <w:name w:val="heading 2"/>
    <w:basedOn w:val="Normal"/>
    <w:next w:val="Normal"/>
    <w:link w:val="Ttulo2Car"/>
    <w:uiPriority w:val="9"/>
    <w:qFormat/>
    <w:rsid w:val="00AA2D83"/>
    <w:pPr>
      <w:spacing w:after="0"/>
      <w:outlineLvl w:val="1"/>
    </w:pPr>
    <w:rPr>
      <w:rFonts w:asciiTheme="majorHAnsi" w:hAnsiTheme="majorHAnsi"/>
      <w:b/>
      <w:color w:val="438086" w:themeColor="accent2"/>
      <w:sz w:val="28"/>
      <w:szCs w:val="28"/>
    </w:rPr>
  </w:style>
  <w:style w:type="paragraph" w:styleId="Ttulo3">
    <w:name w:val="heading 3"/>
    <w:basedOn w:val="Normal"/>
    <w:next w:val="Normal"/>
    <w:link w:val="Ttulo3Car"/>
    <w:uiPriority w:val="9"/>
    <w:qFormat/>
    <w:rsid w:val="00AA2D83"/>
    <w:pPr>
      <w:spacing w:after="0"/>
      <w:outlineLvl w:val="2"/>
    </w:pPr>
    <w:rPr>
      <w:rFonts w:asciiTheme="majorHAnsi" w:hAnsiTheme="majorHAnsi"/>
      <w:b/>
      <w:color w:val="438086" w:themeColor="accent2"/>
      <w:szCs w:val="24"/>
    </w:rPr>
  </w:style>
  <w:style w:type="paragraph" w:styleId="Ttulo4">
    <w:name w:val="heading 4"/>
    <w:basedOn w:val="Normal"/>
    <w:next w:val="Normal"/>
    <w:link w:val="Ttulo4Car"/>
    <w:uiPriority w:val="9"/>
    <w:unhideWhenUsed/>
    <w:qFormat/>
    <w:rsid w:val="00AA2D83"/>
    <w:pPr>
      <w:spacing w:after="0"/>
      <w:outlineLvl w:val="3"/>
    </w:pPr>
    <w:rPr>
      <w:rFonts w:asciiTheme="majorHAnsi" w:hAnsiTheme="majorHAnsi"/>
      <w:b/>
      <w:i/>
      <w:color w:val="438086" w:themeColor="accent2"/>
      <w:szCs w:val="22"/>
    </w:rPr>
  </w:style>
  <w:style w:type="paragraph" w:styleId="Ttulo5">
    <w:name w:val="heading 5"/>
    <w:basedOn w:val="Normal"/>
    <w:next w:val="Normal"/>
    <w:link w:val="Ttulo5Car"/>
    <w:uiPriority w:val="9"/>
    <w:semiHidden/>
    <w:unhideWhenUsed/>
    <w:qFormat/>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qFormat/>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qFormat/>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qFormat/>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qFormat/>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link w:val="TtuloCar"/>
    <w:uiPriority w:val="10"/>
    <w:qFormat/>
    <w:pPr>
      <w:spacing w:before="400"/>
    </w:pPr>
    <w:rPr>
      <w:rFonts w:asciiTheme="majorHAnsi" w:hAnsiTheme="majorHAnsi"/>
      <w:color w:val="3E3E67" w:themeColor="accent1" w:themeShade="BF"/>
      <w:sz w:val="56"/>
      <w:szCs w:val="56"/>
    </w:rPr>
  </w:style>
  <w:style w:type="character" w:customStyle="1" w:styleId="TtuloCar">
    <w:name w:val="Título Car"/>
    <w:basedOn w:val="Fuentedeprrafopredeter"/>
    <w:link w:val="Ttulo"/>
    <w:uiPriority w:val="10"/>
    <w:rPr>
      <w:rFonts w:asciiTheme="majorHAnsi" w:hAnsiTheme="majorHAnsi"/>
      <w:color w:val="3E3E67" w:themeColor="accent1" w:themeShade="BF"/>
      <w:sz w:val="56"/>
      <w:szCs w:val="56"/>
    </w:rPr>
  </w:style>
  <w:style w:type="paragraph" w:styleId="Subttulo">
    <w:name w:val="Subtitle"/>
    <w:basedOn w:val="Normal"/>
    <w:link w:val="SubttuloCar"/>
    <w:uiPriority w:val="11"/>
    <w:qFormat/>
    <w:pPr>
      <w:spacing w:after="480"/>
    </w:pPr>
    <w:rPr>
      <w:i/>
      <w:color w:val="424456" w:themeColor="text2"/>
      <w:szCs w:val="24"/>
    </w:rPr>
  </w:style>
  <w:style w:type="character" w:customStyle="1" w:styleId="SubttuloCar">
    <w:name w:val="Subtítulo Car"/>
    <w:basedOn w:val="Fuentedeprrafopredeter"/>
    <w:link w:val="Subttulo"/>
    <w:uiPriority w:val="11"/>
    <w:rPr>
      <w:i/>
      <w:color w:val="424456" w:themeColor="text2"/>
      <w:sz w:val="24"/>
      <w:szCs w:val="24"/>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character" w:customStyle="1" w:styleId="Ttulo1Car">
    <w:name w:val="Título 1 Car"/>
    <w:basedOn w:val="Fuentedeprrafopredeter"/>
    <w:link w:val="Ttulo1"/>
    <w:uiPriority w:val="9"/>
    <w:rsid w:val="00AA2D83"/>
    <w:rPr>
      <w:rFonts w:asciiTheme="majorHAnsi" w:hAnsiTheme="majorHAnsi"/>
      <w:b/>
      <w:color w:val="438086" w:themeColor="accent2"/>
      <w:sz w:val="32"/>
      <w:szCs w:val="32"/>
    </w:rPr>
  </w:style>
  <w:style w:type="character" w:customStyle="1" w:styleId="Ttulo2Car">
    <w:name w:val="Título 2 Car"/>
    <w:basedOn w:val="Fuentedeprrafopredeter"/>
    <w:link w:val="Ttulo2"/>
    <w:uiPriority w:val="9"/>
    <w:rsid w:val="00AA2D83"/>
    <w:rPr>
      <w:rFonts w:asciiTheme="majorHAnsi" w:hAnsiTheme="majorHAnsi"/>
      <w:b/>
      <w:color w:val="438086" w:themeColor="accent2"/>
      <w:sz w:val="28"/>
      <w:szCs w:val="28"/>
    </w:rPr>
  </w:style>
  <w:style w:type="character" w:customStyle="1" w:styleId="Ttulo3Car">
    <w:name w:val="Título 3 Car"/>
    <w:basedOn w:val="Fuentedeprrafopredeter"/>
    <w:link w:val="Ttulo3"/>
    <w:uiPriority w:val="9"/>
    <w:rsid w:val="00AA2D83"/>
    <w:rPr>
      <w:rFonts w:asciiTheme="majorHAnsi" w:hAnsiTheme="majorHAnsi"/>
      <w:b/>
      <w:color w:val="438086" w:themeColor="accent2"/>
      <w:sz w:val="24"/>
      <w:szCs w:val="24"/>
    </w:rPr>
  </w:style>
  <w:style w:type="character" w:customStyle="1" w:styleId="Ttulo4Car">
    <w:name w:val="Título 4 Car"/>
    <w:basedOn w:val="Fuentedeprrafopredeter"/>
    <w:link w:val="Ttulo4"/>
    <w:uiPriority w:val="9"/>
    <w:rsid w:val="00AA2D83"/>
    <w:rPr>
      <w:rFonts w:asciiTheme="majorHAnsi" w:hAnsiTheme="majorHAnsi"/>
      <w:b/>
      <w:i/>
      <w:color w:val="438086" w:themeColor="accent2"/>
    </w:rPr>
  </w:style>
  <w:style w:type="character" w:customStyle="1" w:styleId="Ttulo5Car">
    <w:name w:val="Título 5 Car"/>
    <w:basedOn w:val="Fuentedeprrafopredeter"/>
    <w:link w:val="Ttulo5"/>
    <w:uiPriority w:val="9"/>
    <w:semiHidden/>
    <w:rPr>
      <w:rFonts w:asciiTheme="majorHAnsi" w:hAnsiTheme="majorHAnsi"/>
      <w:b/>
      <w:color w:val="325F64" w:themeColor="accent2" w:themeShade="BF"/>
      <w:sz w:val="20"/>
      <w:szCs w:val="20"/>
    </w:rPr>
  </w:style>
  <w:style w:type="character" w:customStyle="1" w:styleId="Ttulo6Car">
    <w:name w:val="Título 6 Car"/>
    <w:basedOn w:val="Fuentedeprrafopredeter"/>
    <w:link w:val="Ttulo6"/>
    <w:uiPriority w:val="9"/>
    <w:semiHidden/>
    <w:rPr>
      <w:rFonts w:asciiTheme="majorHAnsi" w:hAnsiTheme="majorHAnsi"/>
      <w:b/>
      <w:i/>
      <w:color w:val="325F64" w:themeColor="accent2" w:themeShade="BF"/>
      <w:sz w:val="20"/>
      <w:szCs w:val="20"/>
    </w:rPr>
  </w:style>
  <w:style w:type="character" w:customStyle="1" w:styleId="Ttulo7Car">
    <w:name w:val="Título 7 Car"/>
    <w:basedOn w:val="Fuentedeprrafopredeter"/>
    <w:link w:val="Ttulo7"/>
    <w:uiPriority w:val="9"/>
    <w:semiHidden/>
    <w:rPr>
      <w:rFonts w:asciiTheme="majorHAnsi" w:hAnsiTheme="majorHAnsi"/>
      <w:b/>
      <w:color w:val="53548A" w:themeColor="accent1"/>
      <w:sz w:val="20"/>
      <w:szCs w:val="20"/>
    </w:rPr>
  </w:style>
  <w:style w:type="character" w:customStyle="1" w:styleId="Ttulo8Car">
    <w:name w:val="Título 8 Car"/>
    <w:basedOn w:val="Fuentedeprrafopredeter"/>
    <w:link w:val="Ttulo8"/>
    <w:uiPriority w:val="9"/>
    <w:semiHidden/>
    <w:rPr>
      <w:rFonts w:asciiTheme="majorHAnsi" w:hAnsiTheme="majorHAnsi"/>
      <w:b/>
      <w:i/>
      <w:color w:val="53548A" w:themeColor="accent1"/>
      <w:sz w:val="20"/>
      <w:szCs w:val="20"/>
    </w:rPr>
  </w:style>
  <w:style w:type="character" w:customStyle="1" w:styleId="Ttulo9Car">
    <w:name w:val="Título 9 Car"/>
    <w:basedOn w:val="Fuentedeprrafopredeter"/>
    <w:link w:val="Ttulo9"/>
    <w:uiPriority w:val="9"/>
    <w:semiHidden/>
    <w:rPr>
      <w:rFonts w:asciiTheme="majorHAnsi" w:hAnsiTheme="majorHAnsi"/>
      <w:b/>
      <w:color w:val="313240" w:themeColor="text2" w:themeShade="BF"/>
      <w:sz w:val="20"/>
      <w:szCs w:val="20"/>
    </w:rPr>
  </w:style>
  <w:style w:type="character" w:styleId="Textoennegrita">
    <w:name w:val="Strong"/>
    <w:basedOn w:val="Fuentedeprrafopredeter"/>
    <w:uiPriority w:val="22"/>
    <w:qFormat/>
    <w:rPr>
      <w:b/>
      <w:bCs/>
    </w:rPr>
  </w:style>
  <w:style w:type="paragraph" w:styleId="Textodebloque">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nfasissutil">
    <w:name w:val="Subtle Emphasis"/>
    <w:basedOn w:val="Fuentedeprrafopredeter"/>
    <w:uiPriority w:val="19"/>
    <w:qFormat/>
    <w:rPr>
      <w:rFonts w:asciiTheme="minorHAnsi" w:hAnsiTheme="minorHAnsi"/>
      <w:i/>
      <w:color w:val="006666"/>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character" w:styleId="Referenciasutil">
    <w:name w:val="Subtle Reference"/>
    <w:basedOn w:val="Fuentedeprrafopredeter"/>
    <w:uiPriority w:val="31"/>
    <w:qFormat/>
    <w:rPr>
      <w:rFonts w:cs="Times New Roman"/>
      <w:i/>
      <w:color w:val="4E4F89"/>
    </w:rPr>
  </w:style>
  <w:style w:type="character" w:styleId="nfasis">
    <w:name w:val="Emphasis"/>
    <w:uiPriority w:val="20"/>
    <w:qFormat/>
    <w:rPr>
      <w:rFonts w:asciiTheme="minorHAnsi" w:hAnsiTheme="minorHAnsi"/>
      <w:b/>
      <w:color w:val="438086" w:themeColor="accent2"/>
      <w:spacing w:val="10"/>
    </w:rPr>
  </w:style>
  <w:style w:type="character" w:styleId="Ttulodellibro">
    <w:name w:val="Book Title"/>
    <w:basedOn w:val="Fuentedeprrafopredeter"/>
    <w:uiPriority w:val="33"/>
    <w:qFormat/>
    <w:rPr>
      <w:rFonts w:ascii="Cambria" w:hAnsi="Cambria" w:cs="Times New Roman"/>
      <w:i/>
      <w:color w:val="000000"/>
      <w:sz w:val="20"/>
      <w:szCs w:val="2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sz w:val="20"/>
      <w:szCs w:val="2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sz w:val="20"/>
      <w:szCs w:val="20"/>
    </w:rPr>
  </w:style>
  <w:style w:type="paragraph" w:styleId="Sangranormal">
    <w:name w:val="Normal Indent"/>
    <w:basedOn w:val="Normal"/>
    <w:uiPriority w:val="99"/>
    <w:unhideWhenUsed/>
    <w:pPr>
      <w:ind w:left="720"/>
      <w:contextualSpacing/>
    </w:pPr>
  </w:style>
  <w:style w:type="paragraph" w:styleId="Citadestacada">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numbering" w:customStyle="1" w:styleId="Listaconvietasurbana">
    <w:name w:val="Lista con viñetas urbana"/>
    <w:uiPriority w:val="99"/>
    <w:pPr>
      <w:numPr>
        <w:numId w:val="17"/>
      </w:numPr>
    </w:pPr>
  </w:style>
  <w:style w:type="numbering" w:customStyle="1" w:styleId="Listanumeradaurbana">
    <w:name w:val="Lista numerada urbana"/>
    <w:uiPriority w:val="99"/>
    <w:pPr>
      <w:numPr>
        <w:numId w:val="22"/>
      </w:numPr>
    </w:pPr>
  </w:style>
  <w:style w:type="paragraph" w:styleId="Prrafodelista">
    <w:name w:val="List Paragraph"/>
    <w:basedOn w:val="Normal"/>
    <w:uiPriority w:val="34"/>
    <w:unhideWhenUsed/>
    <w:qFormat/>
    <w:pPr>
      <w:ind w:left="720"/>
      <w:contextualSpacing/>
    </w:pPr>
  </w:style>
  <w:style w:type="paragraph" w:styleId="Sinespaciado">
    <w:name w:val="No Spacing"/>
    <w:basedOn w:val="Normal"/>
    <w:uiPriority w:val="1"/>
    <w:qFormat/>
    <w:pPr>
      <w:spacing w:after="0" w:line="240" w:lineRule="auto"/>
    </w:pPr>
    <w:rPr>
      <w:szCs w:val="32"/>
    </w:rPr>
  </w:style>
  <w:style w:type="character" w:styleId="Textodelmarcadordeposicin">
    <w:name w:val="Placeholder Text"/>
    <w:basedOn w:val="Fuentedeprrafopredeter"/>
    <w:uiPriority w:val="99"/>
    <w:unhideWhenUsed/>
    <w:rPr>
      <w:color w:val="80808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Vieta1">
    <w:name w:val="Viñeta 1"/>
    <w:basedOn w:val="Prrafodelista"/>
    <w:uiPriority w:val="38"/>
    <w:qFormat/>
    <w:pPr>
      <w:numPr>
        <w:numId w:val="38"/>
      </w:numPr>
      <w:spacing w:after="0"/>
    </w:pPr>
  </w:style>
  <w:style w:type="paragraph" w:customStyle="1" w:styleId="Vieta2">
    <w:name w:val="Viñeta 2"/>
    <w:basedOn w:val="Prrafodelista"/>
    <w:uiPriority w:val="38"/>
    <w:qFormat/>
    <w:pPr>
      <w:numPr>
        <w:ilvl w:val="1"/>
        <w:numId w:val="38"/>
      </w:numPr>
      <w:spacing w:after="0"/>
    </w:pPr>
  </w:style>
  <w:style w:type="paragraph" w:customStyle="1" w:styleId="Vieta3">
    <w:name w:val="Viñeta 3"/>
    <w:basedOn w:val="Prrafodelista"/>
    <w:uiPriority w:val="38"/>
    <w:qFormat/>
    <w:pPr>
      <w:numPr>
        <w:ilvl w:val="2"/>
        <w:numId w:val="38"/>
      </w:numPr>
      <w:spacing w:after="0"/>
    </w:pPr>
  </w:style>
  <w:style w:type="paragraph" w:customStyle="1" w:styleId="MarcadorDePosicinPredeterminadoAsunto10">
    <w:name w:val="MarcadorDePosiciónPredeterminado_Asunto10"/>
    <w:uiPriority w:val="39"/>
    <w:rPr>
      <w:i/>
      <w:color w:val="424456" w:themeColor="text2"/>
      <w:sz w:val="24"/>
      <w:szCs w:val="24"/>
    </w:rPr>
  </w:style>
  <w:style w:type="paragraph" w:customStyle="1" w:styleId="Encabezadopar">
    <w:name w:val="Encabezado par"/>
    <w:basedOn w:val="Encabezado"/>
    <w:uiPriority w:val="39"/>
    <w:pPr>
      <w:pBdr>
        <w:bottom w:val="single" w:sz="4" w:space="1" w:color="auto"/>
      </w:pBdr>
    </w:pPr>
  </w:style>
  <w:style w:type="paragraph" w:customStyle="1" w:styleId="Encabezadoimpar">
    <w:name w:val="Encabezado impar"/>
    <w:basedOn w:val="Encabezado"/>
    <w:uiPriority w:val="39"/>
    <w:pPr>
      <w:pBdr>
        <w:bottom w:val="single" w:sz="4" w:space="1" w:color="auto"/>
      </w:pBdr>
      <w:jc w:val="right"/>
    </w:pPr>
  </w:style>
  <w:style w:type="paragraph" w:customStyle="1" w:styleId="Categora">
    <w:name w:val="Categoría"/>
    <w:basedOn w:val="Normal"/>
    <w:uiPriority w:val="39"/>
    <w:qFormat/>
    <w:pPr>
      <w:framePr w:hSpace="187" w:wrap="around" w:hAnchor="margin" w:xAlign="center" w:y="721"/>
      <w:spacing w:after="0" w:line="240" w:lineRule="auto"/>
    </w:pPr>
    <w:rPr>
      <w:caps/>
      <w:szCs w:val="22"/>
    </w:rPr>
  </w:style>
  <w:style w:type="paragraph" w:customStyle="1" w:styleId="Comentarios">
    <w:name w:val="Comentarios"/>
    <w:basedOn w:val="Normal"/>
    <w:uiPriority w:val="39"/>
    <w:qFormat/>
    <w:pPr>
      <w:spacing w:after="120" w:line="240" w:lineRule="auto"/>
    </w:pPr>
    <w:rPr>
      <w:b/>
      <w:szCs w:val="22"/>
    </w:rPr>
  </w:style>
  <w:style w:type="paragraph" w:customStyle="1" w:styleId="Textodecomentarios">
    <w:name w:val="Texto de comentarios"/>
    <w:basedOn w:val="Normal"/>
    <w:uiPriority w:val="39"/>
    <w:qFormat/>
    <w:pPr>
      <w:spacing w:after="120" w:line="288" w:lineRule="auto"/>
    </w:pPr>
    <w:rPr>
      <w:szCs w:val="22"/>
    </w:rPr>
  </w:style>
  <w:style w:type="character" w:styleId="Hipervnculo">
    <w:name w:val="Hyperlink"/>
    <w:basedOn w:val="Fuentedeprrafopredeter"/>
    <w:uiPriority w:val="99"/>
    <w:unhideWhenUsed/>
    <w:rPr>
      <w:color w:val="67AFBD" w:themeColor="hyperlink"/>
      <w:u w:val="single"/>
    </w:rPr>
  </w:style>
  <w:style w:type="paragraph" w:styleId="TDC1">
    <w:name w:val="toc 1"/>
    <w:basedOn w:val="Normal"/>
    <w:next w:val="Normal"/>
    <w:autoRedefine/>
    <w:uiPriority w:val="39"/>
    <w:unhideWhenUsed/>
    <w:qFormat/>
    <w:rPr>
      <w:rFonts w:eastAsiaTheme="minorEastAsia"/>
      <w:szCs w:val="24"/>
    </w:rPr>
  </w:style>
  <w:style w:type="paragraph" w:styleId="TDC2">
    <w:name w:val="toc 2"/>
    <w:basedOn w:val="Normal"/>
    <w:next w:val="Normal"/>
    <w:autoRedefine/>
    <w:uiPriority w:val="39"/>
    <w:unhideWhenUsed/>
    <w:qFormat/>
    <w:pPr>
      <w:ind w:left="240"/>
    </w:pPr>
    <w:rPr>
      <w:rFonts w:eastAsiaTheme="minorEastAsia"/>
      <w:szCs w:val="24"/>
    </w:rPr>
  </w:style>
  <w:style w:type="paragraph" w:styleId="TDC3">
    <w:name w:val="toc 3"/>
    <w:basedOn w:val="Normal"/>
    <w:next w:val="Normal"/>
    <w:autoRedefine/>
    <w:uiPriority w:val="39"/>
    <w:unhideWhenUsed/>
    <w:qFormat/>
    <w:pPr>
      <w:spacing w:after="100"/>
      <w:ind w:left="400"/>
    </w:pPr>
  </w:style>
  <w:style w:type="paragraph" w:styleId="Epgrafe">
    <w:name w:val="caption"/>
    <w:basedOn w:val="Normal"/>
    <w:next w:val="Normal"/>
    <w:uiPriority w:val="35"/>
    <w:unhideWhenUsed/>
    <w:qFormat/>
    <w:pPr>
      <w:spacing w:line="240" w:lineRule="auto"/>
    </w:pPr>
    <w:rPr>
      <w:b/>
      <w:bCs/>
      <w:color w:val="53548A" w:themeColor="accent1"/>
      <w:sz w:val="18"/>
      <w:szCs w:val="18"/>
    </w:rPr>
  </w:style>
  <w:style w:type="paragraph" w:styleId="Textonotapie">
    <w:name w:val="footnote text"/>
    <w:basedOn w:val="Normal"/>
    <w:link w:val="TextonotapieCar"/>
    <w:uiPriority w:val="99"/>
    <w:semiHidden/>
    <w:unhideWhenUsed/>
    <w:rsid w:val="00E1322B"/>
    <w:pPr>
      <w:spacing w:after="0" w:line="240" w:lineRule="auto"/>
    </w:pPr>
    <w:rPr>
      <w:sz w:val="20"/>
    </w:rPr>
  </w:style>
  <w:style w:type="character" w:customStyle="1" w:styleId="TextonotapieCar">
    <w:name w:val="Texto nota pie Car"/>
    <w:basedOn w:val="Fuentedeprrafopredeter"/>
    <w:link w:val="Textonotapie"/>
    <w:uiPriority w:val="99"/>
    <w:semiHidden/>
    <w:rsid w:val="00E1322B"/>
    <w:rPr>
      <w:rFonts w:ascii="Century Gothic" w:hAnsi="Century Gothic"/>
      <w:sz w:val="20"/>
      <w:szCs w:val="20"/>
    </w:rPr>
  </w:style>
  <w:style w:type="character" w:styleId="Refdenotaalpie">
    <w:name w:val="footnote reference"/>
    <w:basedOn w:val="Fuentedeprrafopredeter"/>
    <w:uiPriority w:val="99"/>
    <w:semiHidden/>
    <w:unhideWhenUsed/>
    <w:rsid w:val="00E1322B"/>
    <w:rPr>
      <w:vertAlign w:val="superscript"/>
    </w:rPr>
  </w:style>
  <w:style w:type="paragraph" w:styleId="TtulodeTDC">
    <w:name w:val="TOC Heading"/>
    <w:basedOn w:val="Ttulo1"/>
    <w:next w:val="Normal"/>
    <w:uiPriority w:val="39"/>
    <w:semiHidden/>
    <w:unhideWhenUsed/>
    <w:qFormat/>
    <w:rsid w:val="00E924EF"/>
    <w:pPr>
      <w:keepNext/>
      <w:keepLines/>
      <w:pBdr>
        <w:bottom w:val="none" w:sz="0" w:space="0" w:color="auto"/>
      </w:pBdr>
      <w:spacing w:before="480" w:after="0"/>
      <w:jc w:val="left"/>
      <w:outlineLvl w:val="9"/>
    </w:pPr>
    <w:rPr>
      <w:rFonts w:eastAsiaTheme="majorEastAsia" w:cstheme="majorBidi"/>
      <w:bCs/>
      <w:color w:val="3E3E67" w:themeColor="accent1" w:themeShade="BF"/>
      <w:sz w:val="28"/>
      <w:szCs w:val="28"/>
    </w:rPr>
  </w:style>
  <w:style w:type="paragraph" w:styleId="Tabladeilustraciones">
    <w:name w:val="table of figures"/>
    <w:basedOn w:val="Normal"/>
    <w:next w:val="Normal"/>
    <w:uiPriority w:val="99"/>
    <w:unhideWhenUsed/>
    <w:rsid w:val="00E924EF"/>
    <w:pPr>
      <w:spacing w:after="0"/>
      <w:ind w:left="440" w:hanging="440"/>
      <w:jc w:val="left"/>
    </w:pPr>
    <w:rPr>
      <w:rFonts w:asciiTheme="minorHAnsi" w:hAnsiTheme="minorHAnsi"/>
      <w:b/>
      <w:bCs/>
      <w:sz w:val="20"/>
    </w:rPr>
  </w:style>
  <w:style w:type="table" w:styleId="Listavistosa-nfasis2">
    <w:name w:val="Colorful List Accent 2"/>
    <w:basedOn w:val="Tablanormal"/>
    <w:uiPriority w:val="42"/>
    <w:rsid w:val="0008061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4F5" w:themeFill="accent2"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3E5" w:themeFill="accent2" w:themeFillTint="3F"/>
      </w:tcPr>
    </w:tblStylePr>
    <w:tblStylePr w:type="band1Horz">
      <w:tblPr/>
      <w:tcPr>
        <w:shd w:val="clear" w:color="auto" w:fill="D5E8EA" w:themeFill="accent2" w:themeFillTint="33"/>
      </w:tcPr>
    </w:tblStylePr>
  </w:style>
  <w:style w:type="table" w:customStyle="1" w:styleId="Tablaconcuadrcula1">
    <w:name w:val="Tabla con cuadrícula1"/>
    <w:basedOn w:val="Tablanormal"/>
    <w:next w:val="Tablaconcuadrcula"/>
    <w:uiPriority w:val="59"/>
    <w:rsid w:val="00F931F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D364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35CD6"/>
    <w:rPr>
      <w:sz w:val="16"/>
      <w:szCs w:val="16"/>
    </w:rPr>
  </w:style>
  <w:style w:type="paragraph" w:styleId="Textocomentario">
    <w:name w:val="annotation text"/>
    <w:basedOn w:val="Normal"/>
    <w:link w:val="TextocomentarioCar"/>
    <w:uiPriority w:val="99"/>
    <w:semiHidden/>
    <w:unhideWhenUsed/>
    <w:rsid w:val="00535CD6"/>
    <w:pPr>
      <w:spacing w:line="240" w:lineRule="auto"/>
    </w:pPr>
    <w:rPr>
      <w:sz w:val="20"/>
    </w:rPr>
  </w:style>
  <w:style w:type="character" w:customStyle="1" w:styleId="TextocomentarioCar">
    <w:name w:val="Texto comentario Car"/>
    <w:basedOn w:val="Fuentedeprrafopredeter"/>
    <w:link w:val="Textocomentario"/>
    <w:uiPriority w:val="99"/>
    <w:semiHidden/>
    <w:rsid w:val="00535CD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5CD6"/>
    <w:rPr>
      <w:b/>
      <w:bCs/>
    </w:rPr>
  </w:style>
  <w:style w:type="character" w:customStyle="1" w:styleId="AsuntodelcomentarioCar">
    <w:name w:val="Asunto del comentario Car"/>
    <w:basedOn w:val="TextocomentarioCar"/>
    <w:link w:val="Asuntodelcomentario"/>
    <w:uiPriority w:val="99"/>
    <w:semiHidden/>
    <w:rsid w:val="00535CD6"/>
    <w:rPr>
      <w:rFonts w:ascii="Century Gothic" w:hAnsi="Century Gothic"/>
      <w:b/>
      <w:bCs/>
      <w:sz w:val="20"/>
      <w:szCs w:val="20"/>
    </w:rPr>
  </w:style>
  <w:style w:type="table" w:styleId="Cuadrculamedia3-nfasis2">
    <w:name w:val="Medium Grid 3 Accent 2"/>
    <w:basedOn w:val="Tablanormal"/>
    <w:uiPriority w:val="42"/>
    <w:rsid w:val="006818C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BE3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380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380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7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7CB" w:themeFill="accent2"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semiHidden="0" w:uiPriority="3" w:unhideWhenUsed="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Revision" w:uiPriority="0"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FCC"/>
    <w:pPr>
      <w:jc w:val="both"/>
    </w:pPr>
    <w:rPr>
      <w:rFonts w:ascii="Century Gothic" w:hAnsi="Century Gothic"/>
      <w:szCs w:val="20"/>
    </w:rPr>
  </w:style>
  <w:style w:type="paragraph" w:styleId="Ttulo1">
    <w:name w:val="heading 1"/>
    <w:basedOn w:val="Normal"/>
    <w:next w:val="Normal"/>
    <w:link w:val="Ttulo1Car"/>
    <w:uiPriority w:val="9"/>
    <w:qFormat/>
    <w:rsid w:val="00AA2D83"/>
    <w:pPr>
      <w:pBdr>
        <w:bottom w:val="single" w:sz="4" w:space="1" w:color="438086" w:themeColor="accent2"/>
      </w:pBdr>
      <w:spacing w:before="360" w:after="80"/>
      <w:outlineLvl w:val="0"/>
    </w:pPr>
    <w:rPr>
      <w:rFonts w:asciiTheme="majorHAnsi" w:hAnsiTheme="majorHAnsi"/>
      <w:b/>
      <w:color w:val="438086" w:themeColor="accent2"/>
      <w:sz w:val="32"/>
      <w:szCs w:val="32"/>
    </w:rPr>
  </w:style>
  <w:style w:type="paragraph" w:styleId="Ttulo2">
    <w:name w:val="heading 2"/>
    <w:basedOn w:val="Normal"/>
    <w:next w:val="Normal"/>
    <w:link w:val="Ttulo2Car"/>
    <w:uiPriority w:val="9"/>
    <w:qFormat/>
    <w:rsid w:val="00AA2D83"/>
    <w:pPr>
      <w:spacing w:after="0"/>
      <w:outlineLvl w:val="1"/>
    </w:pPr>
    <w:rPr>
      <w:rFonts w:asciiTheme="majorHAnsi" w:hAnsiTheme="majorHAnsi"/>
      <w:b/>
      <w:color w:val="438086" w:themeColor="accent2"/>
      <w:sz w:val="28"/>
      <w:szCs w:val="28"/>
    </w:rPr>
  </w:style>
  <w:style w:type="paragraph" w:styleId="Ttulo3">
    <w:name w:val="heading 3"/>
    <w:basedOn w:val="Normal"/>
    <w:next w:val="Normal"/>
    <w:link w:val="Ttulo3Car"/>
    <w:uiPriority w:val="9"/>
    <w:qFormat/>
    <w:rsid w:val="00AA2D83"/>
    <w:pPr>
      <w:spacing w:after="0"/>
      <w:outlineLvl w:val="2"/>
    </w:pPr>
    <w:rPr>
      <w:rFonts w:asciiTheme="majorHAnsi" w:hAnsiTheme="majorHAnsi"/>
      <w:b/>
      <w:color w:val="438086" w:themeColor="accent2"/>
      <w:szCs w:val="24"/>
    </w:rPr>
  </w:style>
  <w:style w:type="paragraph" w:styleId="Ttulo4">
    <w:name w:val="heading 4"/>
    <w:basedOn w:val="Normal"/>
    <w:next w:val="Normal"/>
    <w:link w:val="Ttulo4Car"/>
    <w:uiPriority w:val="9"/>
    <w:unhideWhenUsed/>
    <w:qFormat/>
    <w:rsid w:val="00AA2D83"/>
    <w:pPr>
      <w:spacing w:after="0"/>
      <w:outlineLvl w:val="3"/>
    </w:pPr>
    <w:rPr>
      <w:rFonts w:asciiTheme="majorHAnsi" w:hAnsiTheme="majorHAnsi"/>
      <w:b/>
      <w:i/>
      <w:color w:val="438086" w:themeColor="accent2"/>
      <w:szCs w:val="22"/>
    </w:rPr>
  </w:style>
  <w:style w:type="paragraph" w:styleId="Ttulo5">
    <w:name w:val="heading 5"/>
    <w:basedOn w:val="Normal"/>
    <w:next w:val="Normal"/>
    <w:link w:val="Ttulo5Car"/>
    <w:uiPriority w:val="9"/>
    <w:semiHidden/>
    <w:unhideWhenUsed/>
    <w:qFormat/>
    <w:pPr>
      <w:spacing w:after="0"/>
      <w:outlineLvl w:val="4"/>
    </w:pPr>
    <w:rPr>
      <w:rFonts w:asciiTheme="majorHAnsi" w:hAnsiTheme="majorHAnsi"/>
      <w:b/>
      <w:color w:val="325F64" w:themeColor="accent2" w:themeShade="BF"/>
    </w:rPr>
  </w:style>
  <w:style w:type="paragraph" w:styleId="Ttulo6">
    <w:name w:val="heading 6"/>
    <w:basedOn w:val="Normal"/>
    <w:next w:val="Normal"/>
    <w:link w:val="Ttulo6Car"/>
    <w:uiPriority w:val="9"/>
    <w:semiHidden/>
    <w:unhideWhenUsed/>
    <w:qFormat/>
    <w:pPr>
      <w:spacing w:after="0"/>
      <w:outlineLvl w:val="5"/>
    </w:pPr>
    <w:rPr>
      <w:rFonts w:asciiTheme="majorHAnsi" w:hAnsiTheme="majorHAnsi"/>
      <w:b/>
      <w:i/>
      <w:color w:val="325F64" w:themeColor="accent2" w:themeShade="BF"/>
    </w:rPr>
  </w:style>
  <w:style w:type="paragraph" w:styleId="Ttulo7">
    <w:name w:val="heading 7"/>
    <w:basedOn w:val="Normal"/>
    <w:next w:val="Normal"/>
    <w:link w:val="Ttulo7Car"/>
    <w:uiPriority w:val="9"/>
    <w:semiHidden/>
    <w:unhideWhenUsed/>
    <w:qFormat/>
    <w:pPr>
      <w:spacing w:after="0"/>
      <w:outlineLvl w:val="6"/>
    </w:pPr>
    <w:rPr>
      <w:rFonts w:asciiTheme="majorHAnsi" w:hAnsiTheme="majorHAnsi"/>
      <w:b/>
      <w:color w:val="53548A" w:themeColor="accent1"/>
    </w:rPr>
  </w:style>
  <w:style w:type="paragraph" w:styleId="Ttulo8">
    <w:name w:val="heading 8"/>
    <w:basedOn w:val="Normal"/>
    <w:next w:val="Normal"/>
    <w:link w:val="Ttulo8Car"/>
    <w:uiPriority w:val="9"/>
    <w:semiHidden/>
    <w:unhideWhenUsed/>
    <w:qFormat/>
    <w:pPr>
      <w:spacing w:after="0"/>
      <w:outlineLvl w:val="7"/>
    </w:pPr>
    <w:rPr>
      <w:rFonts w:asciiTheme="majorHAnsi" w:hAnsiTheme="majorHAnsi"/>
      <w:b/>
      <w:i/>
      <w:color w:val="53548A" w:themeColor="accent1"/>
    </w:rPr>
  </w:style>
  <w:style w:type="paragraph" w:styleId="Ttulo9">
    <w:name w:val="heading 9"/>
    <w:basedOn w:val="Normal"/>
    <w:next w:val="Normal"/>
    <w:link w:val="Ttulo9Car"/>
    <w:uiPriority w:val="9"/>
    <w:semiHidden/>
    <w:unhideWhenUsed/>
    <w:qFormat/>
    <w:pPr>
      <w:spacing w:after="0"/>
      <w:outlineLvl w:val="8"/>
    </w:pPr>
    <w:rPr>
      <w:rFonts w:asciiTheme="majorHAnsi" w:hAnsiTheme="majorHAnsi"/>
      <w:b/>
      <w:color w:val="313240" w:themeColor="tex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link w:val="TtuloCar"/>
    <w:uiPriority w:val="10"/>
    <w:qFormat/>
    <w:pPr>
      <w:spacing w:before="400"/>
    </w:pPr>
    <w:rPr>
      <w:rFonts w:asciiTheme="majorHAnsi" w:hAnsiTheme="majorHAnsi"/>
      <w:color w:val="3E3E67" w:themeColor="accent1" w:themeShade="BF"/>
      <w:sz w:val="56"/>
      <w:szCs w:val="56"/>
    </w:rPr>
  </w:style>
  <w:style w:type="character" w:customStyle="1" w:styleId="TtuloCar">
    <w:name w:val="Título Car"/>
    <w:basedOn w:val="Fuentedeprrafopredeter"/>
    <w:link w:val="Ttulo"/>
    <w:uiPriority w:val="10"/>
    <w:rPr>
      <w:rFonts w:asciiTheme="majorHAnsi" w:hAnsiTheme="majorHAnsi"/>
      <w:color w:val="3E3E67" w:themeColor="accent1" w:themeShade="BF"/>
      <w:sz w:val="56"/>
      <w:szCs w:val="56"/>
    </w:rPr>
  </w:style>
  <w:style w:type="paragraph" w:styleId="Subttulo">
    <w:name w:val="Subtitle"/>
    <w:basedOn w:val="Normal"/>
    <w:link w:val="SubttuloCar"/>
    <w:uiPriority w:val="11"/>
    <w:qFormat/>
    <w:pPr>
      <w:spacing w:after="480"/>
    </w:pPr>
    <w:rPr>
      <w:i/>
      <w:color w:val="424456" w:themeColor="text2"/>
      <w:szCs w:val="24"/>
    </w:rPr>
  </w:style>
  <w:style w:type="character" w:customStyle="1" w:styleId="SubttuloCar">
    <w:name w:val="Subtítulo Car"/>
    <w:basedOn w:val="Fuentedeprrafopredeter"/>
    <w:link w:val="Subttulo"/>
    <w:uiPriority w:val="11"/>
    <w:rPr>
      <w:i/>
      <w:color w:val="424456" w:themeColor="text2"/>
      <w:sz w:val="24"/>
      <w:szCs w:val="24"/>
    </w:rPr>
  </w:style>
  <w:style w:type="character" w:styleId="nfasisintenso">
    <w:name w:val="Intense Emphasis"/>
    <w:basedOn w:val="Fuentedeprrafopredeter"/>
    <w:uiPriority w:val="21"/>
    <w:qFormat/>
    <w:rPr>
      <w:rFonts w:asciiTheme="minorHAnsi" w:hAnsiTheme="minorHAnsi" w:cstheme="minorBidi"/>
      <w:b/>
      <w:i/>
      <w:caps/>
      <w:color w:val="438086"/>
      <w:spacing w:val="5"/>
    </w:rPr>
  </w:style>
  <w:style w:type="character" w:customStyle="1" w:styleId="Ttulo1Car">
    <w:name w:val="Título 1 Car"/>
    <w:basedOn w:val="Fuentedeprrafopredeter"/>
    <w:link w:val="Ttulo1"/>
    <w:uiPriority w:val="9"/>
    <w:rsid w:val="00AA2D83"/>
    <w:rPr>
      <w:rFonts w:asciiTheme="majorHAnsi" w:hAnsiTheme="majorHAnsi"/>
      <w:b/>
      <w:color w:val="438086" w:themeColor="accent2"/>
      <w:sz w:val="32"/>
      <w:szCs w:val="32"/>
    </w:rPr>
  </w:style>
  <w:style w:type="character" w:customStyle="1" w:styleId="Ttulo2Car">
    <w:name w:val="Título 2 Car"/>
    <w:basedOn w:val="Fuentedeprrafopredeter"/>
    <w:link w:val="Ttulo2"/>
    <w:uiPriority w:val="9"/>
    <w:rsid w:val="00AA2D83"/>
    <w:rPr>
      <w:rFonts w:asciiTheme="majorHAnsi" w:hAnsiTheme="majorHAnsi"/>
      <w:b/>
      <w:color w:val="438086" w:themeColor="accent2"/>
      <w:sz w:val="28"/>
      <w:szCs w:val="28"/>
    </w:rPr>
  </w:style>
  <w:style w:type="character" w:customStyle="1" w:styleId="Ttulo3Car">
    <w:name w:val="Título 3 Car"/>
    <w:basedOn w:val="Fuentedeprrafopredeter"/>
    <w:link w:val="Ttulo3"/>
    <w:uiPriority w:val="9"/>
    <w:rsid w:val="00AA2D83"/>
    <w:rPr>
      <w:rFonts w:asciiTheme="majorHAnsi" w:hAnsiTheme="majorHAnsi"/>
      <w:b/>
      <w:color w:val="438086" w:themeColor="accent2"/>
      <w:sz w:val="24"/>
      <w:szCs w:val="24"/>
    </w:rPr>
  </w:style>
  <w:style w:type="character" w:customStyle="1" w:styleId="Ttulo4Car">
    <w:name w:val="Título 4 Car"/>
    <w:basedOn w:val="Fuentedeprrafopredeter"/>
    <w:link w:val="Ttulo4"/>
    <w:uiPriority w:val="9"/>
    <w:rsid w:val="00AA2D83"/>
    <w:rPr>
      <w:rFonts w:asciiTheme="majorHAnsi" w:hAnsiTheme="majorHAnsi"/>
      <w:b/>
      <w:i/>
      <w:color w:val="438086" w:themeColor="accent2"/>
    </w:rPr>
  </w:style>
  <w:style w:type="character" w:customStyle="1" w:styleId="Ttulo5Car">
    <w:name w:val="Título 5 Car"/>
    <w:basedOn w:val="Fuentedeprrafopredeter"/>
    <w:link w:val="Ttulo5"/>
    <w:uiPriority w:val="9"/>
    <w:semiHidden/>
    <w:rPr>
      <w:rFonts w:asciiTheme="majorHAnsi" w:hAnsiTheme="majorHAnsi"/>
      <w:b/>
      <w:color w:val="325F64" w:themeColor="accent2" w:themeShade="BF"/>
      <w:sz w:val="20"/>
      <w:szCs w:val="20"/>
    </w:rPr>
  </w:style>
  <w:style w:type="character" w:customStyle="1" w:styleId="Ttulo6Car">
    <w:name w:val="Título 6 Car"/>
    <w:basedOn w:val="Fuentedeprrafopredeter"/>
    <w:link w:val="Ttulo6"/>
    <w:uiPriority w:val="9"/>
    <w:semiHidden/>
    <w:rPr>
      <w:rFonts w:asciiTheme="majorHAnsi" w:hAnsiTheme="majorHAnsi"/>
      <w:b/>
      <w:i/>
      <w:color w:val="325F64" w:themeColor="accent2" w:themeShade="BF"/>
      <w:sz w:val="20"/>
      <w:szCs w:val="20"/>
    </w:rPr>
  </w:style>
  <w:style w:type="character" w:customStyle="1" w:styleId="Ttulo7Car">
    <w:name w:val="Título 7 Car"/>
    <w:basedOn w:val="Fuentedeprrafopredeter"/>
    <w:link w:val="Ttulo7"/>
    <w:uiPriority w:val="9"/>
    <w:semiHidden/>
    <w:rPr>
      <w:rFonts w:asciiTheme="majorHAnsi" w:hAnsiTheme="majorHAnsi"/>
      <w:b/>
      <w:color w:val="53548A" w:themeColor="accent1"/>
      <w:sz w:val="20"/>
      <w:szCs w:val="20"/>
    </w:rPr>
  </w:style>
  <w:style w:type="character" w:customStyle="1" w:styleId="Ttulo8Car">
    <w:name w:val="Título 8 Car"/>
    <w:basedOn w:val="Fuentedeprrafopredeter"/>
    <w:link w:val="Ttulo8"/>
    <w:uiPriority w:val="9"/>
    <w:semiHidden/>
    <w:rPr>
      <w:rFonts w:asciiTheme="majorHAnsi" w:hAnsiTheme="majorHAnsi"/>
      <w:b/>
      <w:i/>
      <w:color w:val="53548A" w:themeColor="accent1"/>
      <w:sz w:val="20"/>
      <w:szCs w:val="20"/>
    </w:rPr>
  </w:style>
  <w:style w:type="character" w:customStyle="1" w:styleId="Ttulo9Car">
    <w:name w:val="Título 9 Car"/>
    <w:basedOn w:val="Fuentedeprrafopredeter"/>
    <w:link w:val="Ttulo9"/>
    <w:uiPriority w:val="9"/>
    <w:semiHidden/>
    <w:rPr>
      <w:rFonts w:asciiTheme="majorHAnsi" w:hAnsiTheme="majorHAnsi"/>
      <w:b/>
      <w:color w:val="313240" w:themeColor="text2" w:themeShade="BF"/>
      <w:sz w:val="20"/>
      <w:szCs w:val="20"/>
    </w:rPr>
  </w:style>
  <w:style w:type="character" w:styleId="Textoennegrita">
    <w:name w:val="Strong"/>
    <w:basedOn w:val="Fuentedeprrafopredeter"/>
    <w:uiPriority w:val="22"/>
    <w:qFormat/>
    <w:rPr>
      <w:b/>
      <w:bCs/>
    </w:rPr>
  </w:style>
  <w:style w:type="paragraph" w:styleId="Textodebloque">
    <w:name w:val="Block Text"/>
    <w:basedOn w:val="Normal"/>
    <w:uiPriority w:val="3"/>
    <w:semiHidden/>
    <w:unhideWhenUsed/>
    <w:pPr>
      <w:pBdr>
        <w:top w:val="single" w:sz="2" w:space="10" w:color="53548A" w:themeColor="accent1"/>
        <w:left w:val="single" w:sz="2" w:space="10" w:color="53548A" w:themeColor="accent1"/>
        <w:bottom w:val="single" w:sz="2" w:space="10" w:color="53548A" w:themeColor="accent1"/>
        <w:right w:val="single" w:sz="2" w:space="10" w:color="53548A" w:themeColor="accent1"/>
        <w:between w:val="single" w:sz="2" w:space="10" w:color="53548A" w:themeColor="accent1"/>
        <w:bar w:val="single" w:sz="2" w:color="53548A" w:themeColor="accent1"/>
      </w:pBdr>
      <w:ind w:left="1152" w:right="1152"/>
    </w:pPr>
    <w:rPr>
      <w:rFonts w:eastAsiaTheme="minorEastAsia"/>
      <w:i/>
      <w:iCs/>
      <w:color w:val="53548A" w:themeColor="accent1"/>
    </w:rPr>
  </w:style>
  <w:style w:type="character" w:styleId="nfasissutil">
    <w:name w:val="Subtle Emphasis"/>
    <w:basedOn w:val="Fuentedeprrafopredeter"/>
    <w:uiPriority w:val="19"/>
    <w:qFormat/>
    <w:rPr>
      <w:rFonts w:asciiTheme="minorHAnsi" w:hAnsiTheme="minorHAnsi"/>
      <w:i/>
      <w:color w:val="006666"/>
    </w:rPr>
  </w:style>
  <w:style w:type="character" w:styleId="Referenciaintensa">
    <w:name w:val="Intense Reference"/>
    <w:basedOn w:val="Fuentedeprrafopredeter"/>
    <w:uiPriority w:val="32"/>
    <w:qFormat/>
    <w:rPr>
      <w:rFonts w:asciiTheme="minorHAnsi" w:hAnsiTheme="minorHAnsi" w:cs="Times New Roman"/>
      <w:b/>
      <w:i/>
      <w:caps/>
      <w:color w:val="4E4F89"/>
      <w:spacing w:val="5"/>
    </w:rPr>
  </w:style>
  <w:style w:type="character" w:styleId="Referenciasutil">
    <w:name w:val="Subtle Reference"/>
    <w:basedOn w:val="Fuentedeprrafopredeter"/>
    <w:uiPriority w:val="31"/>
    <w:qFormat/>
    <w:rPr>
      <w:rFonts w:cs="Times New Roman"/>
      <w:i/>
      <w:color w:val="4E4F89"/>
    </w:rPr>
  </w:style>
  <w:style w:type="character" w:styleId="nfasis">
    <w:name w:val="Emphasis"/>
    <w:uiPriority w:val="20"/>
    <w:qFormat/>
    <w:rPr>
      <w:rFonts w:asciiTheme="minorHAnsi" w:hAnsiTheme="minorHAnsi"/>
      <w:b/>
      <w:color w:val="438086" w:themeColor="accent2"/>
      <w:spacing w:val="10"/>
    </w:rPr>
  </w:style>
  <w:style w:type="character" w:styleId="Ttulodellibro">
    <w:name w:val="Book Title"/>
    <w:basedOn w:val="Fuentedeprrafopredeter"/>
    <w:uiPriority w:val="33"/>
    <w:qFormat/>
    <w:rPr>
      <w:rFonts w:ascii="Cambria" w:hAnsi="Cambria" w:cs="Times New Roman"/>
      <w:i/>
      <w:color w:val="000000"/>
      <w:sz w:val="20"/>
      <w:szCs w:val="20"/>
    </w:rPr>
  </w:style>
  <w:style w:type="paragraph" w:styleId="Encabezado">
    <w:name w:val="header"/>
    <w:basedOn w:val="Normal"/>
    <w:link w:val="EncabezadoCar"/>
    <w:uiPriority w:val="99"/>
    <w:unhideWhenUsed/>
    <w:pPr>
      <w:tabs>
        <w:tab w:val="center" w:pos="4320"/>
        <w:tab w:val="right" w:pos="8640"/>
      </w:tabs>
    </w:pPr>
  </w:style>
  <w:style w:type="character" w:customStyle="1" w:styleId="EncabezadoCar">
    <w:name w:val="Encabezado Car"/>
    <w:basedOn w:val="Fuentedeprrafopredeter"/>
    <w:link w:val="Encabezado"/>
    <w:uiPriority w:val="99"/>
    <w:rPr>
      <w:sz w:val="20"/>
      <w:szCs w:val="20"/>
    </w:rPr>
  </w:style>
  <w:style w:type="paragraph" w:styleId="Piedepgina">
    <w:name w:val="footer"/>
    <w:basedOn w:val="Normal"/>
    <w:link w:val="PiedepginaCar"/>
    <w:uiPriority w:val="99"/>
    <w:unhideWhenUsed/>
    <w:pPr>
      <w:tabs>
        <w:tab w:val="center" w:pos="4320"/>
        <w:tab w:val="right" w:pos="8640"/>
      </w:tabs>
    </w:pPr>
  </w:style>
  <w:style w:type="character" w:customStyle="1" w:styleId="PiedepginaCar">
    <w:name w:val="Pie de página Car"/>
    <w:basedOn w:val="Fuentedeprrafopredeter"/>
    <w:link w:val="Piedepgina"/>
    <w:uiPriority w:val="99"/>
    <w:rPr>
      <w:sz w:val="20"/>
      <w:szCs w:val="20"/>
    </w:rPr>
  </w:style>
  <w:style w:type="paragraph" w:styleId="Sangranormal">
    <w:name w:val="Normal Indent"/>
    <w:basedOn w:val="Normal"/>
    <w:uiPriority w:val="99"/>
    <w:unhideWhenUsed/>
    <w:pPr>
      <w:ind w:left="720"/>
      <w:contextualSpacing/>
    </w:pPr>
  </w:style>
  <w:style w:type="paragraph" w:styleId="Citadestacada">
    <w:name w:val="Intense Quote"/>
    <w:basedOn w:val="Normal"/>
    <w:uiPriority w:val="30"/>
    <w:qFormat/>
    <w:pPr>
      <w:pBdr>
        <w:top w:val="threeDEngrave" w:sz="6" w:space="10" w:color="438086" w:themeColor="accent2"/>
        <w:bottom w:val="single" w:sz="4" w:space="10" w:color="438086" w:themeColor="accent2"/>
      </w:pBdr>
      <w:spacing w:before="360" w:after="360" w:line="324" w:lineRule="auto"/>
      <w:ind w:left="1080" w:right="1080"/>
    </w:pPr>
    <w:rPr>
      <w:i/>
      <w:color w:val="438086" w:themeColor="accent2"/>
      <w:szCs w:val="22"/>
    </w:rPr>
  </w:style>
  <w:style w:type="numbering" w:customStyle="1" w:styleId="Listaconvietasurbana">
    <w:name w:val="Lista con viñetas urbana"/>
    <w:uiPriority w:val="99"/>
    <w:pPr>
      <w:numPr>
        <w:numId w:val="17"/>
      </w:numPr>
    </w:pPr>
  </w:style>
  <w:style w:type="numbering" w:customStyle="1" w:styleId="Listanumeradaurbana">
    <w:name w:val="Lista numerada urbana"/>
    <w:uiPriority w:val="99"/>
    <w:pPr>
      <w:numPr>
        <w:numId w:val="22"/>
      </w:numPr>
    </w:pPr>
  </w:style>
  <w:style w:type="paragraph" w:styleId="Prrafodelista">
    <w:name w:val="List Paragraph"/>
    <w:basedOn w:val="Normal"/>
    <w:uiPriority w:val="34"/>
    <w:unhideWhenUsed/>
    <w:qFormat/>
    <w:pPr>
      <w:ind w:left="720"/>
      <w:contextualSpacing/>
    </w:pPr>
  </w:style>
  <w:style w:type="paragraph" w:styleId="Sinespaciado">
    <w:name w:val="No Spacing"/>
    <w:basedOn w:val="Normal"/>
    <w:uiPriority w:val="1"/>
    <w:qFormat/>
    <w:pPr>
      <w:spacing w:after="0" w:line="240" w:lineRule="auto"/>
    </w:pPr>
    <w:rPr>
      <w:szCs w:val="32"/>
    </w:rPr>
  </w:style>
  <w:style w:type="character" w:styleId="Textodelmarcadordeposicin">
    <w:name w:val="Placeholder Text"/>
    <w:basedOn w:val="Fuentedeprrafopredeter"/>
    <w:uiPriority w:val="99"/>
    <w:unhideWhenUsed/>
    <w:rPr>
      <w:color w:val="80808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customStyle="1" w:styleId="Vieta1">
    <w:name w:val="Viñeta 1"/>
    <w:basedOn w:val="Prrafodelista"/>
    <w:uiPriority w:val="38"/>
    <w:qFormat/>
    <w:pPr>
      <w:numPr>
        <w:numId w:val="38"/>
      </w:numPr>
      <w:spacing w:after="0"/>
    </w:pPr>
  </w:style>
  <w:style w:type="paragraph" w:customStyle="1" w:styleId="Vieta2">
    <w:name w:val="Viñeta 2"/>
    <w:basedOn w:val="Prrafodelista"/>
    <w:uiPriority w:val="38"/>
    <w:qFormat/>
    <w:pPr>
      <w:numPr>
        <w:ilvl w:val="1"/>
        <w:numId w:val="38"/>
      </w:numPr>
      <w:spacing w:after="0"/>
    </w:pPr>
  </w:style>
  <w:style w:type="paragraph" w:customStyle="1" w:styleId="Vieta3">
    <w:name w:val="Viñeta 3"/>
    <w:basedOn w:val="Prrafodelista"/>
    <w:uiPriority w:val="38"/>
    <w:qFormat/>
    <w:pPr>
      <w:numPr>
        <w:ilvl w:val="2"/>
        <w:numId w:val="38"/>
      </w:numPr>
      <w:spacing w:after="0"/>
    </w:pPr>
  </w:style>
  <w:style w:type="paragraph" w:customStyle="1" w:styleId="MarcadorDePosicinPredeterminadoAsunto10">
    <w:name w:val="MarcadorDePosiciónPredeterminado_Asunto10"/>
    <w:uiPriority w:val="39"/>
    <w:rPr>
      <w:i/>
      <w:color w:val="424456" w:themeColor="text2"/>
      <w:sz w:val="24"/>
      <w:szCs w:val="24"/>
    </w:rPr>
  </w:style>
  <w:style w:type="paragraph" w:customStyle="1" w:styleId="Encabezadopar">
    <w:name w:val="Encabezado par"/>
    <w:basedOn w:val="Encabezado"/>
    <w:uiPriority w:val="39"/>
    <w:pPr>
      <w:pBdr>
        <w:bottom w:val="single" w:sz="4" w:space="1" w:color="auto"/>
      </w:pBdr>
    </w:pPr>
  </w:style>
  <w:style w:type="paragraph" w:customStyle="1" w:styleId="Encabezadoimpar">
    <w:name w:val="Encabezado impar"/>
    <w:basedOn w:val="Encabezado"/>
    <w:uiPriority w:val="39"/>
    <w:pPr>
      <w:pBdr>
        <w:bottom w:val="single" w:sz="4" w:space="1" w:color="auto"/>
      </w:pBdr>
      <w:jc w:val="right"/>
    </w:pPr>
  </w:style>
  <w:style w:type="paragraph" w:customStyle="1" w:styleId="Categora">
    <w:name w:val="Categoría"/>
    <w:basedOn w:val="Normal"/>
    <w:uiPriority w:val="39"/>
    <w:qFormat/>
    <w:pPr>
      <w:framePr w:hSpace="187" w:wrap="around" w:hAnchor="margin" w:xAlign="center" w:y="721"/>
      <w:spacing w:after="0" w:line="240" w:lineRule="auto"/>
    </w:pPr>
    <w:rPr>
      <w:caps/>
      <w:szCs w:val="22"/>
    </w:rPr>
  </w:style>
  <w:style w:type="paragraph" w:customStyle="1" w:styleId="Comentarios">
    <w:name w:val="Comentarios"/>
    <w:basedOn w:val="Normal"/>
    <w:uiPriority w:val="39"/>
    <w:qFormat/>
    <w:pPr>
      <w:spacing w:after="120" w:line="240" w:lineRule="auto"/>
    </w:pPr>
    <w:rPr>
      <w:b/>
      <w:szCs w:val="22"/>
    </w:rPr>
  </w:style>
  <w:style w:type="paragraph" w:customStyle="1" w:styleId="Textodecomentarios">
    <w:name w:val="Texto de comentarios"/>
    <w:basedOn w:val="Normal"/>
    <w:uiPriority w:val="39"/>
    <w:qFormat/>
    <w:pPr>
      <w:spacing w:after="120" w:line="288" w:lineRule="auto"/>
    </w:pPr>
    <w:rPr>
      <w:szCs w:val="22"/>
    </w:rPr>
  </w:style>
  <w:style w:type="character" w:styleId="Hipervnculo">
    <w:name w:val="Hyperlink"/>
    <w:basedOn w:val="Fuentedeprrafopredeter"/>
    <w:uiPriority w:val="99"/>
    <w:unhideWhenUsed/>
    <w:rPr>
      <w:color w:val="67AFBD" w:themeColor="hyperlink"/>
      <w:u w:val="single"/>
    </w:rPr>
  </w:style>
  <w:style w:type="paragraph" w:styleId="TDC1">
    <w:name w:val="toc 1"/>
    <w:basedOn w:val="Normal"/>
    <w:next w:val="Normal"/>
    <w:autoRedefine/>
    <w:uiPriority w:val="39"/>
    <w:unhideWhenUsed/>
    <w:qFormat/>
    <w:rPr>
      <w:rFonts w:eastAsiaTheme="minorEastAsia"/>
      <w:szCs w:val="24"/>
    </w:rPr>
  </w:style>
  <w:style w:type="paragraph" w:styleId="TDC2">
    <w:name w:val="toc 2"/>
    <w:basedOn w:val="Normal"/>
    <w:next w:val="Normal"/>
    <w:autoRedefine/>
    <w:uiPriority w:val="39"/>
    <w:unhideWhenUsed/>
    <w:qFormat/>
    <w:pPr>
      <w:ind w:left="240"/>
    </w:pPr>
    <w:rPr>
      <w:rFonts w:eastAsiaTheme="minorEastAsia"/>
      <w:szCs w:val="24"/>
    </w:rPr>
  </w:style>
  <w:style w:type="paragraph" w:styleId="TDC3">
    <w:name w:val="toc 3"/>
    <w:basedOn w:val="Normal"/>
    <w:next w:val="Normal"/>
    <w:autoRedefine/>
    <w:uiPriority w:val="39"/>
    <w:unhideWhenUsed/>
    <w:qFormat/>
    <w:pPr>
      <w:spacing w:after="100"/>
      <w:ind w:left="400"/>
    </w:pPr>
  </w:style>
  <w:style w:type="paragraph" w:styleId="Epgrafe">
    <w:name w:val="caption"/>
    <w:basedOn w:val="Normal"/>
    <w:next w:val="Normal"/>
    <w:uiPriority w:val="35"/>
    <w:unhideWhenUsed/>
    <w:qFormat/>
    <w:pPr>
      <w:spacing w:line="240" w:lineRule="auto"/>
    </w:pPr>
    <w:rPr>
      <w:b/>
      <w:bCs/>
      <w:color w:val="53548A" w:themeColor="accent1"/>
      <w:sz w:val="18"/>
      <w:szCs w:val="18"/>
    </w:rPr>
  </w:style>
  <w:style w:type="paragraph" w:styleId="Textonotapie">
    <w:name w:val="footnote text"/>
    <w:basedOn w:val="Normal"/>
    <w:link w:val="TextonotapieCar"/>
    <w:uiPriority w:val="99"/>
    <w:semiHidden/>
    <w:unhideWhenUsed/>
    <w:rsid w:val="00E1322B"/>
    <w:pPr>
      <w:spacing w:after="0" w:line="240" w:lineRule="auto"/>
    </w:pPr>
    <w:rPr>
      <w:sz w:val="20"/>
    </w:rPr>
  </w:style>
  <w:style w:type="character" w:customStyle="1" w:styleId="TextonotapieCar">
    <w:name w:val="Texto nota pie Car"/>
    <w:basedOn w:val="Fuentedeprrafopredeter"/>
    <w:link w:val="Textonotapie"/>
    <w:uiPriority w:val="99"/>
    <w:semiHidden/>
    <w:rsid w:val="00E1322B"/>
    <w:rPr>
      <w:rFonts w:ascii="Century Gothic" w:hAnsi="Century Gothic"/>
      <w:sz w:val="20"/>
      <w:szCs w:val="20"/>
    </w:rPr>
  </w:style>
  <w:style w:type="character" w:styleId="Refdenotaalpie">
    <w:name w:val="footnote reference"/>
    <w:basedOn w:val="Fuentedeprrafopredeter"/>
    <w:uiPriority w:val="99"/>
    <w:semiHidden/>
    <w:unhideWhenUsed/>
    <w:rsid w:val="00E1322B"/>
    <w:rPr>
      <w:vertAlign w:val="superscript"/>
    </w:rPr>
  </w:style>
  <w:style w:type="paragraph" w:styleId="TtulodeTDC">
    <w:name w:val="TOC Heading"/>
    <w:basedOn w:val="Ttulo1"/>
    <w:next w:val="Normal"/>
    <w:uiPriority w:val="39"/>
    <w:semiHidden/>
    <w:unhideWhenUsed/>
    <w:qFormat/>
    <w:rsid w:val="00E924EF"/>
    <w:pPr>
      <w:keepNext/>
      <w:keepLines/>
      <w:pBdr>
        <w:bottom w:val="none" w:sz="0" w:space="0" w:color="auto"/>
      </w:pBdr>
      <w:spacing w:before="480" w:after="0"/>
      <w:jc w:val="left"/>
      <w:outlineLvl w:val="9"/>
    </w:pPr>
    <w:rPr>
      <w:rFonts w:eastAsiaTheme="majorEastAsia" w:cstheme="majorBidi"/>
      <w:bCs/>
      <w:color w:val="3E3E67" w:themeColor="accent1" w:themeShade="BF"/>
      <w:sz w:val="28"/>
      <w:szCs w:val="28"/>
    </w:rPr>
  </w:style>
  <w:style w:type="paragraph" w:styleId="Tabladeilustraciones">
    <w:name w:val="table of figures"/>
    <w:basedOn w:val="Normal"/>
    <w:next w:val="Normal"/>
    <w:uiPriority w:val="99"/>
    <w:unhideWhenUsed/>
    <w:rsid w:val="00E924EF"/>
    <w:pPr>
      <w:spacing w:after="0"/>
      <w:ind w:left="440" w:hanging="440"/>
      <w:jc w:val="left"/>
    </w:pPr>
    <w:rPr>
      <w:rFonts w:asciiTheme="minorHAnsi" w:hAnsiTheme="minorHAnsi"/>
      <w:b/>
      <w:bCs/>
      <w:sz w:val="20"/>
    </w:rPr>
  </w:style>
  <w:style w:type="table" w:styleId="Listavistosa-nfasis2">
    <w:name w:val="Colorful List Accent 2"/>
    <w:basedOn w:val="Tablanormal"/>
    <w:uiPriority w:val="42"/>
    <w:rsid w:val="0008061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AF4F5" w:themeFill="accent2" w:themeFillTint="19"/>
    </w:tcPr>
    <w:tblStylePr w:type="firstRow">
      <w:rPr>
        <w:b/>
        <w:bCs/>
        <w:color w:val="FFFFFF" w:themeColor="background1"/>
      </w:rPr>
      <w:tblPr/>
      <w:tcPr>
        <w:tcBorders>
          <w:bottom w:val="single" w:sz="12" w:space="0" w:color="FFFFFF" w:themeColor="background1"/>
        </w:tcBorders>
        <w:shd w:val="clear" w:color="auto" w:fill="35666B" w:themeFill="accent2" w:themeFillShade="CC"/>
      </w:tcPr>
    </w:tblStylePr>
    <w:tblStylePr w:type="lastRow">
      <w:rPr>
        <w:b/>
        <w:bCs/>
        <w:color w:val="3566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3E5" w:themeFill="accent2" w:themeFillTint="3F"/>
      </w:tcPr>
    </w:tblStylePr>
    <w:tblStylePr w:type="band1Horz">
      <w:tblPr/>
      <w:tcPr>
        <w:shd w:val="clear" w:color="auto" w:fill="D5E8EA" w:themeFill="accent2" w:themeFillTint="33"/>
      </w:tcPr>
    </w:tblStylePr>
  </w:style>
  <w:style w:type="table" w:customStyle="1" w:styleId="Tablaconcuadrcula1">
    <w:name w:val="Tabla con cuadrícula1"/>
    <w:basedOn w:val="Tablanormal"/>
    <w:next w:val="Tablaconcuadrcula"/>
    <w:uiPriority w:val="59"/>
    <w:rsid w:val="00F931F3"/>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D364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35CD6"/>
    <w:rPr>
      <w:sz w:val="16"/>
      <w:szCs w:val="16"/>
    </w:rPr>
  </w:style>
  <w:style w:type="paragraph" w:styleId="Textocomentario">
    <w:name w:val="annotation text"/>
    <w:basedOn w:val="Normal"/>
    <w:link w:val="TextocomentarioCar"/>
    <w:uiPriority w:val="99"/>
    <w:semiHidden/>
    <w:unhideWhenUsed/>
    <w:rsid w:val="00535CD6"/>
    <w:pPr>
      <w:spacing w:line="240" w:lineRule="auto"/>
    </w:pPr>
    <w:rPr>
      <w:sz w:val="20"/>
    </w:rPr>
  </w:style>
  <w:style w:type="character" w:customStyle="1" w:styleId="TextocomentarioCar">
    <w:name w:val="Texto comentario Car"/>
    <w:basedOn w:val="Fuentedeprrafopredeter"/>
    <w:link w:val="Textocomentario"/>
    <w:uiPriority w:val="99"/>
    <w:semiHidden/>
    <w:rsid w:val="00535CD6"/>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535CD6"/>
    <w:rPr>
      <w:b/>
      <w:bCs/>
    </w:rPr>
  </w:style>
  <w:style w:type="character" w:customStyle="1" w:styleId="AsuntodelcomentarioCar">
    <w:name w:val="Asunto del comentario Car"/>
    <w:basedOn w:val="TextocomentarioCar"/>
    <w:link w:val="Asuntodelcomentario"/>
    <w:uiPriority w:val="99"/>
    <w:semiHidden/>
    <w:rsid w:val="00535CD6"/>
    <w:rPr>
      <w:rFonts w:ascii="Century Gothic" w:hAnsi="Century Gothic"/>
      <w:b/>
      <w:bCs/>
      <w:sz w:val="20"/>
      <w:szCs w:val="20"/>
    </w:rPr>
  </w:style>
  <w:style w:type="table" w:styleId="Cuadrculamedia3-nfasis2">
    <w:name w:val="Medium Grid 3 Accent 2"/>
    <w:basedOn w:val="Tablanormal"/>
    <w:uiPriority w:val="42"/>
    <w:rsid w:val="006818C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BE3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380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380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380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7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7CB"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89623">
      <w:bodyDiv w:val="1"/>
      <w:marLeft w:val="0"/>
      <w:marRight w:val="0"/>
      <w:marTop w:val="0"/>
      <w:marBottom w:val="0"/>
      <w:divBdr>
        <w:top w:val="none" w:sz="0" w:space="0" w:color="auto"/>
        <w:left w:val="none" w:sz="0" w:space="0" w:color="auto"/>
        <w:bottom w:val="none" w:sz="0" w:space="0" w:color="auto"/>
        <w:right w:val="none" w:sz="0" w:space="0" w:color="auto"/>
      </w:divBdr>
    </w:div>
    <w:div w:id="688065234">
      <w:bodyDiv w:val="1"/>
      <w:marLeft w:val="0"/>
      <w:marRight w:val="0"/>
      <w:marTop w:val="0"/>
      <w:marBottom w:val="0"/>
      <w:divBdr>
        <w:top w:val="none" w:sz="0" w:space="0" w:color="auto"/>
        <w:left w:val="none" w:sz="0" w:space="0" w:color="auto"/>
        <w:bottom w:val="none" w:sz="0" w:space="0" w:color="auto"/>
        <w:right w:val="none" w:sz="0" w:space="0" w:color="auto"/>
      </w:divBdr>
    </w:div>
    <w:div w:id="871654107">
      <w:bodyDiv w:val="1"/>
      <w:marLeft w:val="0"/>
      <w:marRight w:val="0"/>
      <w:marTop w:val="0"/>
      <w:marBottom w:val="0"/>
      <w:divBdr>
        <w:top w:val="none" w:sz="0" w:space="0" w:color="auto"/>
        <w:left w:val="none" w:sz="0" w:space="0" w:color="auto"/>
        <w:bottom w:val="none" w:sz="0" w:space="0" w:color="auto"/>
        <w:right w:val="none" w:sz="0" w:space="0" w:color="auto"/>
      </w:divBdr>
    </w:div>
    <w:div w:id="162916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hart" Target="charts/chart3.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Urban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SIC.ES\sscc\550Grupos\ctbg-sgtbg\14%20MEMORIA\MEMORIA%202022\ORGANOS%20CONSTITUCIONALES,%20SUPERVISORES%20Y%20AAI\Cumplimiento%20recomendacion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IC.ES\sscc\550Grupos\ctbg-sgtbg\14%20MEMORIA\MEMORIA%202022\ORGANOS%20CONSTITUCIONALES,%20SUPERVISORES%20Y%20AAI\Tablas%20cumplimiento%20OOCC%202022.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Hoja1!$M$16:$M$22</c:f>
              <c:strCache>
                <c:ptCount val="7"/>
                <c:pt idx="0">
                  <c:v>100%</c:v>
                </c:pt>
                <c:pt idx="1">
                  <c:v>80-99,9%</c:v>
                </c:pt>
                <c:pt idx="2">
                  <c:v>60-79,9%</c:v>
                </c:pt>
                <c:pt idx="3">
                  <c:v>40-59,9%</c:v>
                </c:pt>
                <c:pt idx="4">
                  <c:v>20-39,9%</c:v>
                </c:pt>
                <c:pt idx="5">
                  <c:v>1-19,9%</c:v>
                </c:pt>
                <c:pt idx="6">
                  <c:v>0%</c:v>
                </c:pt>
              </c:strCache>
            </c:strRef>
          </c:cat>
          <c:val>
            <c:numRef>
              <c:f>Hoja1!$N$16:$N$22</c:f>
              <c:numCache>
                <c:formatCode>0.0%</c:formatCode>
                <c:ptCount val="7"/>
                <c:pt idx="0">
                  <c:v>0.4</c:v>
                </c:pt>
                <c:pt idx="1">
                  <c:v>0.1</c:v>
                </c:pt>
                <c:pt idx="2">
                  <c:v>0.3</c:v>
                </c:pt>
                <c:pt idx="3">
                  <c:v>0.1</c:v>
                </c:pt>
                <c:pt idx="4">
                  <c:v>0</c:v>
                </c:pt>
                <c:pt idx="5">
                  <c:v>0.1</c:v>
                </c:pt>
                <c:pt idx="6">
                  <c:v>0</c:v>
                </c:pt>
              </c:numCache>
            </c:numRef>
          </c:val>
        </c:ser>
        <c:dLbls>
          <c:showLegendKey val="0"/>
          <c:showVal val="0"/>
          <c:showCatName val="0"/>
          <c:showSerName val="0"/>
          <c:showPercent val="0"/>
          <c:showBubbleSize val="0"/>
        </c:dLbls>
        <c:gapWidth val="150"/>
        <c:axId val="283944832"/>
        <c:axId val="315040512"/>
      </c:barChart>
      <c:catAx>
        <c:axId val="283944832"/>
        <c:scaling>
          <c:orientation val="minMax"/>
        </c:scaling>
        <c:delete val="0"/>
        <c:axPos val="b"/>
        <c:title>
          <c:tx>
            <c:rich>
              <a:bodyPr/>
              <a:lstStyle/>
              <a:p>
                <a:pPr>
                  <a:defRPr/>
                </a:pPr>
                <a:r>
                  <a:rPr lang="es-ES"/>
                  <a:t>% de recomendaciones aplicadas</a:t>
                </a:r>
              </a:p>
            </c:rich>
          </c:tx>
          <c:layout/>
          <c:overlay val="0"/>
        </c:title>
        <c:majorTickMark val="out"/>
        <c:minorTickMark val="none"/>
        <c:tickLblPos val="nextTo"/>
        <c:crossAx val="315040512"/>
        <c:crosses val="autoZero"/>
        <c:auto val="1"/>
        <c:lblAlgn val="ctr"/>
        <c:lblOffset val="100"/>
        <c:noMultiLvlLbl val="0"/>
      </c:catAx>
      <c:valAx>
        <c:axId val="315040512"/>
        <c:scaling>
          <c:orientation val="minMax"/>
          <c:max val="1"/>
        </c:scaling>
        <c:delete val="0"/>
        <c:axPos val="l"/>
        <c:title>
          <c:tx>
            <c:rich>
              <a:bodyPr rot="-5400000" vert="horz"/>
              <a:lstStyle/>
              <a:p>
                <a:pPr>
                  <a:defRPr/>
                </a:pPr>
                <a:r>
                  <a:rPr lang="es-ES"/>
                  <a:t>% de Instituciones</a:t>
                </a:r>
              </a:p>
            </c:rich>
          </c:tx>
          <c:layout/>
          <c:overlay val="0"/>
        </c:title>
        <c:numFmt formatCode="0.0%" sourceLinked="1"/>
        <c:majorTickMark val="out"/>
        <c:minorTickMark val="none"/>
        <c:tickLblPos val="nextTo"/>
        <c:crossAx val="283944832"/>
        <c:crosses val="autoZero"/>
        <c:crossBetween val="between"/>
      </c:valAx>
    </c:plotArea>
    <c:plotVisOnly val="1"/>
    <c:dispBlanksAs val="gap"/>
    <c:showDLblsOverMax val="0"/>
  </c:chart>
  <c:txPr>
    <a:bodyPr/>
    <a:lstStyle/>
    <a:p>
      <a:pPr>
        <a:defRPr>
          <a:latin typeface="Century Gothic" pitchFamily="34" charset="0"/>
        </a:defRPr>
      </a:pPr>
      <a:endParaRPr lang="es-E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OOCC '!$L$18:$S$18</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OOCC '!$L$19:$S$19</c:f>
              <c:numCache>
                <c:formatCode>0.0%</c:formatCode>
                <c:ptCount val="8"/>
                <c:pt idx="0">
                  <c:v>0.95714285714285718</c:v>
                </c:pt>
                <c:pt idx="1">
                  <c:v>0.95714285714285718</c:v>
                </c:pt>
                <c:pt idx="2">
                  <c:v>0.95</c:v>
                </c:pt>
                <c:pt idx="3">
                  <c:v>0.95</c:v>
                </c:pt>
                <c:pt idx="4">
                  <c:v>0.95714285714285718</c:v>
                </c:pt>
                <c:pt idx="5">
                  <c:v>0.94285714285714284</c:v>
                </c:pt>
                <c:pt idx="6">
                  <c:v>0.75714285714285712</c:v>
                </c:pt>
                <c:pt idx="7">
                  <c:v>0.92448979591836733</c:v>
                </c:pt>
              </c:numCache>
            </c:numRef>
          </c:val>
        </c:ser>
        <c:dLbls>
          <c:showLegendKey val="0"/>
          <c:showVal val="0"/>
          <c:showCatName val="0"/>
          <c:showSerName val="0"/>
          <c:showPercent val="0"/>
          <c:showBubbleSize val="0"/>
        </c:dLbls>
        <c:gapWidth val="150"/>
        <c:axId val="320313984"/>
        <c:axId val="323041152"/>
      </c:barChart>
      <c:catAx>
        <c:axId val="320313984"/>
        <c:scaling>
          <c:orientation val="minMax"/>
        </c:scaling>
        <c:delete val="0"/>
        <c:axPos val="b"/>
        <c:majorTickMark val="out"/>
        <c:minorTickMark val="none"/>
        <c:tickLblPos val="nextTo"/>
        <c:crossAx val="323041152"/>
        <c:crosses val="autoZero"/>
        <c:auto val="1"/>
        <c:lblAlgn val="ctr"/>
        <c:lblOffset val="100"/>
        <c:noMultiLvlLbl val="0"/>
      </c:catAx>
      <c:valAx>
        <c:axId val="323041152"/>
        <c:scaling>
          <c:orientation val="minMax"/>
          <c:max val="1"/>
        </c:scaling>
        <c:delete val="0"/>
        <c:axPos val="l"/>
        <c:numFmt formatCode="0%" sourceLinked="0"/>
        <c:majorTickMark val="out"/>
        <c:minorTickMark val="none"/>
        <c:tickLblPos val="nextTo"/>
        <c:crossAx val="320313984"/>
        <c:crosses val="autoZero"/>
        <c:crossBetween val="between"/>
      </c:valAx>
    </c:plotArea>
    <c:plotVisOnly val="1"/>
    <c:dispBlanksAs val="gap"/>
    <c:showDLblsOverMax val="0"/>
  </c:chart>
  <c:txPr>
    <a:bodyPr/>
    <a:lstStyle/>
    <a:p>
      <a:pPr>
        <a:defRPr>
          <a:latin typeface="Century Gothic" pitchFamily="34" charset="0"/>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OOCC '!$L$39:$S$39</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OOCC '!$L$40:$S$40</c:f>
              <c:numCache>
                <c:formatCode>0.0%</c:formatCode>
                <c:ptCount val="8"/>
                <c:pt idx="0">
                  <c:v>0.92595000000000005</c:v>
                </c:pt>
                <c:pt idx="1">
                  <c:v>0.9</c:v>
                </c:pt>
                <c:pt idx="2">
                  <c:v>0.94</c:v>
                </c:pt>
                <c:pt idx="3">
                  <c:v>0.9</c:v>
                </c:pt>
                <c:pt idx="4">
                  <c:v>0.94</c:v>
                </c:pt>
                <c:pt idx="5">
                  <c:v>0.94</c:v>
                </c:pt>
                <c:pt idx="6">
                  <c:v>0.9</c:v>
                </c:pt>
                <c:pt idx="7">
                  <c:v>0.92084999999999995</c:v>
                </c:pt>
              </c:numCache>
            </c:numRef>
          </c:val>
        </c:ser>
        <c:dLbls>
          <c:showLegendKey val="0"/>
          <c:showVal val="0"/>
          <c:showCatName val="0"/>
          <c:showSerName val="0"/>
          <c:showPercent val="0"/>
          <c:showBubbleSize val="0"/>
        </c:dLbls>
        <c:gapWidth val="150"/>
        <c:axId val="163962880"/>
        <c:axId val="163964416"/>
      </c:barChart>
      <c:catAx>
        <c:axId val="163962880"/>
        <c:scaling>
          <c:orientation val="minMax"/>
        </c:scaling>
        <c:delete val="0"/>
        <c:axPos val="b"/>
        <c:majorTickMark val="out"/>
        <c:minorTickMark val="none"/>
        <c:tickLblPos val="nextTo"/>
        <c:crossAx val="163964416"/>
        <c:crosses val="autoZero"/>
        <c:auto val="1"/>
        <c:lblAlgn val="ctr"/>
        <c:lblOffset val="100"/>
        <c:noMultiLvlLbl val="0"/>
      </c:catAx>
      <c:valAx>
        <c:axId val="163964416"/>
        <c:scaling>
          <c:orientation val="minMax"/>
          <c:max val="1"/>
          <c:min val="0"/>
        </c:scaling>
        <c:delete val="0"/>
        <c:axPos val="l"/>
        <c:numFmt formatCode="0%" sourceLinked="0"/>
        <c:majorTickMark val="out"/>
        <c:minorTickMark val="none"/>
        <c:tickLblPos val="nextTo"/>
        <c:crossAx val="163962880"/>
        <c:crosses val="autoZero"/>
        <c:crossBetween val="between"/>
      </c:valAx>
    </c:plotArea>
    <c:plotVisOnly val="1"/>
    <c:dispBlanksAs val="gap"/>
    <c:showDLblsOverMax val="0"/>
  </c:chart>
  <c:txPr>
    <a:bodyPr/>
    <a:lstStyle/>
    <a:p>
      <a:pPr>
        <a:defRPr>
          <a:latin typeface="Century Gothic" pitchFamily="34" charset="0"/>
        </a:defRPr>
      </a:pPr>
      <a:endParaRPr lang="es-E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solidFill>
          </c:spPr>
          <c:invertIfNegative val="0"/>
          <c:dLbls>
            <c:showLegendKey val="0"/>
            <c:showVal val="1"/>
            <c:showCatName val="0"/>
            <c:showSerName val="0"/>
            <c:showPercent val="0"/>
            <c:showBubbleSize val="0"/>
            <c:showLeaderLines val="0"/>
          </c:dLbls>
          <c:cat>
            <c:strRef>
              <c:f>'Cumplimiento global OOCC '!$B$20:$I$20</c:f>
              <c:strCache>
                <c:ptCount val="8"/>
                <c:pt idx="0">
                  <c:v>CONTENIDO </c:v>
                </c:pt>
                <c:pt idx="1">
                  <c:v>FORMA </c:v>
                </c:pt>
                <c:pt idx="2">
                  <c:v>ESTRUCTURACIÓN </c:v>
                </c:pt>
                <c:pt idx="3">
                  <c:v>ACCESIBILIDAD </c:v>
                </c:pt>
                <c:pt idx="4">
                  <c:v>CLARIDAD </c:v>
                </c:pt>
                <c:pt idx="5">
                  <c:v>REUTILIZACIÓN </c:v>
                </c:pt>
                <c:pt idx="6">
                  <c:v>ACTUALIZACIÓN </c:v>
                </c:pt>
                <c:pt idx="7">
                  <c:v>TOTAL</c:v>
                </c:pt>
              </c:strCache>
            </c:strRef>
          </c:cat>
          <c:val>
            <c:numRef>
              <c:f>'Cumplimiento global OOCC '!$B$21:$I$21</c:f>
              <c:numCache>
                <c:formatCode>0.0%</c:formatCode>
                <c:ptCount val="8"/>
                <c:pt idx="0">
                  <c:v>0.95644117647058824</c:v>
                </c:pt>
                <c:pt idx="1">
                  <c:v>0.94117647058823528</c:v>
                </c:pt>
                <c:pt idx="2">
                  <c:v>0.96176470588235297</c:v>
                </c:pt>
                <c:pt idx="3">
                  <c:v>0.93823529411764706</c:v>
                </c:pt>
                <c:pt idx="4">
                  <c:v>0.96470588235294119</c:v>
                </c:pt>
                <c:pt idx="5">
                  <c:v>0.95882352941176474</c:v>
                </c:pt>
                <c:pt idx="6">
                  <c:v>0.85882352941176465</c:v>
                </c:pt>
                <c:pt idx="7">
                  <c:v>0.93999579831932778</c:v>
                </c:pt>
              </c:numCache>
            </c:numRef>
          </c:val>
        </c:ser>
        <c:dLbls>
          <c:showLegendKey val="0"/>
          <c:showVal val="0"/>
          <c:showCatName val="0"/>
          <c:showSerName val="0"/>
          <c:showPercent val="0"/>
          <c:showBubbleSize val="0"/>
        </c:dLbls>
        <c:gapWidth val="150"/>
        <c:axId val="178074752"/>
        <c:axId val="178076288"/>
      </c:barChart>
      <c:catAx>
        <c:axId val="178074752"/>
        <c:scaling>
          <c:orientation val="minMax"/>
        </c:scaling>
        <c:delete val="0"/>
        <c:axPos val="b"/>
        <c:majorTickMark val="out"/>
        <c:minorTickMark val="none"/>
        <c:tickLblPos val="nextTo"/>
        <c:crossAx val="178076288"/>
        <c:crosses val="autoZero"/>
        <c:auto val="1"/>
        <c:lblAlgn val="ctr"/>
        <c:lblOffset val="100"/>
        <c:noMultiLvlLbl val="0"/>
      </c:catAx>
      <c:valAx>
        <c:axId val="178076288"/>
        <c:scaling>
          <c:orientation val="minMax"/>
          <c:max val="1"/>
          <c:min val="0"/>
        </c:scaling>
        <c:delete val="0"/>
        <c:axPos val="l"/>
        <c:numFmt formatCode="0%" sourceLinked="0"/>
        <c:majorTickMark val="out"/>
        <c:minorTickMark val="none"/>
        <c:tickLblPos val="nextTo"/>
        <c:crossAx val="178074752"/>
        <c:crosses val="autoZero"/>
        <c:crossBetween val="between"/>
      </c:valAx>
    </c:plotArea>
    <c:plotVisOnly val="1"/>
    <c:dispBlanksAs val="gap"/>
    <c:showDLblsOverMax val="0"/>
  </c:chart>
  <c:txPr>
    <a:bodyPr/>
    <a:lstStyle/>
    <a:p>
      <a:pPr>
        <a:defRPr>
          <a:latin typeface="Century Gothic" pitchFamily="34" charset="0"/>
        </a:defRPr>
      </a:pPr>
      <a:endParaRPr lang="es-ES"/>
    </a:p>
  </c:tx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100000" r="280000" b="28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100000" r="280000" b="28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CF13-A6E2-4B52-A065-C287D308AFEB}">
  <ds:schemaRefs>
    <ds:schemaRef ds:uri="http://schemas.microsoft.com/office/2009/outspace/metadata"/>
  </ds:schemaRefs>
</ds:datastoreItem>
</file>

<file path=customXml/itemProps2.xml><?xml version="1.0" encoding="utf-8"?>
<ds:datastoreItem xmlns:ds="http://schemas.openxmlformats.org/officeDocument/2006/customXml" ds:itemID="{9CC7A615-CB6E-4AEB-A69D-52C1FBCA7A33}">
  <ds:schemaRefs>
    <ds:schemaRef ds:uri="http://schemas.microsoft.com/sharepoint/v3/contenttype/forms"/>
  </ds:schemaRefs>
</ds:datastoreItem>
</file>

<file path=customXml/itemProps3.xml><?xml version="1.0" encoding="utf-8"?>
<ds:datastoreItem xmlns:ds="http://schemas.openxmlformats.org/officeDocument/2006/customXml" ds:itemID="{B13D13DB-0564-485A-BF04-7F2CF6ED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UrbanReport.dotx</Template>
  <TotalTime>748</TotalTime>
  <Pages>16</Pages>
  <Words>3742</Words>
  <Characters>20585</Characters>
  <Application>Microsoft Office Word</Application>
  <DocSecurity>0</DocSecurity>
  <Lines>171</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 de evaluación sobre el cumplimiento de la LTAIBG por parte de los Órganos Constitucionales y de relevancia constitucional</vt:lpstr>
      <vt:lpstr/>
    </vt:vector>
  </TitlesOfParts>
  <Company>SGAD</Company>
  <LinksUpToDate>false</LinksUpToDate>
  <CharactersWithSpaces>24279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evaluación sobre el cumplimiento de la LTAIBG por parte de los Órganos Constitucionales y de relevancia constitucional</dc:title>
  <dc:subject>Evaluaciones 2022.CTBG</dc:subject>
  <dc:creator>CTBG. Subdirección General de Transparencia y Buen Gobierno. </dc:creator>
  <cp:lastModifiedBy>anam.ruiz</cp:lastModifiedBy>
  <cp:revision>24</cp:revision>
  <dcterms:created xsi:type="dcterms:W3CDTF">2021-04-14T07:09:00Z</dcterms:created>
  <dcterms:modified xsi:type="dcterms:W3CDTF">2022-03-31T08:22:00Z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TC017730899991</vt:lpwstr>
  </property>
</Properties>
</file>