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7E" w:rsidRPr="005169E2" w:rsidRDefault="005169E2" w:rsidP="005169E2">
      <w:pPr>
        <w:jc w:val="center"/>
        <w:rPr>
          <w:rFonts w:ascii="Century Gothic" w:hAnsi="Century Gothic"/>
        </w:rPr>
      </w:pPr>
      <w:r w:rsidRPr="005169E2">
        <w:rPr>
          <w:rFonts w:ascii="Century Gothic" w:hAnsi="Century Gothic"/>
        </w:rPr>
        <w:t>RECOMENDACIONES APLICADAS DURANTE EL PERIODO DE OBSERVACIONES</w:t>
      </w:r>
    </w:p>
    <w:p w:rsidR="005169E2" w:rsidRDefault="005169E2" w:rsidP="005169E2">
      <w:pPr>
        <w:jc w:val="both"/>
        <w:rPr>
          <w:rFonts w:ascii="Century Gothic" w:hAnsi="Century Gothic"/>
        </w:rPr>
      </w:pPr>
      <w:r w:rsidRPr="005169E2">
        <w:rPr>
          <w:rFonts w:ascii="Century Gothic" w:hAnsi="Century Gothic"/>
        </w:rPr>
        <w:t xml:space="preserve">En la siguiente tabla se muestran las recomendaciones efectuadas por el CTBG que han sido implantadas por </w:t>
      </w:r>
      <w:r>
        <w:rPr>
          <w:rFonts w:ascii="Century Gothic" w:hAnsi="Century Gothic"/>
        </w:rPr>
        <w:t xml:space="preserve">las entidades evaluadas durante el periodo de alegaciones. </w:t>
      </w:r>
    </w:p>
    <w:p w:rsidR="005169E2" w:rsidRDefault="005169E2" w:rsidP="005169E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Dado que el </w:t>
      </w:r>
      <w:r w:rsidRPr="005169E2">
        <w:rPr>
          <w:rFonts w:ascii="Century Gothic" w:hAnsi="Century Gothic"/>
        </w:rPr>
        <w:t xml:space="preserve">alcance temporal de la evaluación </w:t>
      </w:r>
      <w:r w:rsidR="00273C39">
        <w:rPr>
          <w:rFonts w:ascii="Century Gothic" w:hAnsi="Century Gothic"/>
        </w:rPr>
        <w:t>finaliza en el momento en que se efectúa la evaluación del Portal de Transparencia</w:t>
      </w:r>
      <w:r w:rsidRPr="005169E2">
        <w:rPr>
          <w:rFonts w:ascii="Century Gothic" w:hAnsi="Century Gothic"/>
        </w:rPr>
        <w:t xml:space="preserve">, </w:t>
      </w:r>
      <w:r w:rsidR="00273C39">
        <w:rPr>
          <w:rFonts w:ascii="Century Gothic" w:hAnsi="Century Gothic"/>
        </w:rPr>
        <w:t>estas</w:t>
      </w:r>
      <w:r w:rsidRPr="005169E2">
        <w:rPr>
          <w:rFonts w:ascii="Century Gothic" w:hAnsi="Century Gothic"/>
        </w:rPr>
        <w:t xml:space="preserve"> recomendaciones implantadas no </w:t>
      </w:r>
      <w:r>
        <w:rPr>
          <w:rFonts w:ascii="Century Gothic" w:hAnsi="Century Gothic"/>
        </w:rPr>
        <w:t>han sido</w:t>
      </w:r>
      <w:r w:rsidRPr="005169E2">
        <w:rPr>
          <w:rFonts w:ascii="Century Gothic" w:hAnsi="Century Gothic"/>
        </w:rPr>
        <w:t xml:space="preserve"> tenidas en cuenta para proceder a una nueva valoración del cumplimiento de las obligaciones de publicidad activa. </w:t>
      </w:r>
    </w:p>
    <w:tbl>
      <w:tblPr>
        <w:tblStyle w:val="Sombreadomedio1-nfasis5"/>
        <w:tblW w:w="0" w:type="auto"/>
        <w:tblLook w:val="04A0" w:firstRow="1" w:lastRow="0" w:firstColumn="1" w:lastColumn="0" w:noHBand="0" w:noVBand="1"/>
      </w:tblPr>
      <w:tblGrid>
        <w:gridCol w:w="2881"/>
        <w:gridCol w:w="5732"/>
      </w:tblGrid>
      <w:tr w:rsidR="005169E2" w:rsidRPr="00DE48E5" w:rsidTr="00B04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2A8677"/>
          </w:tcPr>
          <w:p w:rsidR="005169E2" w:rsidRPr="00DE48E5" w:rsidRDefault="005169E2" w:rsidP="005169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73C39" w:rsidRPr="00DE48E5" w:rsidTr="00BE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273C39" w:rsidRDefault="00273C39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Congreso de los Diputados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273C39" w:rsidRDefault="00273C39" w:rsidP="00273C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73C39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Enlace a la información sobre la normativa aplicable desde el Bloque de Información Institucional y Organizativa del Portal de Transparencia.</w:t>
            </w:r>
          </w:p>
          <w:p w:rsidR="00273C39" w:rsidRDefault="00273C39" w:rsidP="00273C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Inclusión de los porcentajes que sobre el gasto total en contratación suponen cada uno de los diferentes procedimientos de licitación.</w:t>
            </w:r>
          </w:p>
          <w:p w:rsidR="00273C39" w:rsidRDefault="00273C39" w:rsidP="00273C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Incorporación de información sobre las indemnizaciones percibidas por los cargos nombrados por la Mesa del Congreso.</w:t>
            </w:r>
          </w:p>
          <w:p w:rsidR="00273C39" w:rsidRPr="00273C39" w:rsidRDefault="00273C39" w:rsidP="00273C3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Inclusión de una referencia a la fecha de revisión o actualización de la información en la página inicial del portal de Transparencia.</w:t>
            </w:r>
            <w:bookmarkStart w:id="0" w:name="_GoBack"/>
            <w:bookmarkEnd w:id="0"/>
          </w:p>
        </w:tc>
      </w:tr>
      <w:tr w:rsidR="00F741FC" w:rsidRPr="00DE48E5" w:rsidTr="00BE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741FC" w:rsidRDefault="00F741FC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Senado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EAF1DD" w:themeFill="accent3" w:themeFillTint="33"/>
          </w:tcPr>
          <w:p w:rsidR="00F741FC" w:rsidRDefault="00F741FC" w:rsidP="00F741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741FC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741FC">
              <w:rPr>
                <w:rFonts w:ascii="Century Gothic" w:hAnsi="Century Gothic"/>
                <w:sz w:val="18"/>
                <w:szCs w:val="18"/>
              </w:rPr>
              <w:t>Enlace desde el Portal de Transparencia al Registro de Actividades de Tratamiento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F741FC" w:rsidRDefault="00F741FC" w:rsidP="00F741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Actualización de la información estadística sobre contratación.</w:t>
            </w:r>
          </w:p>
          <w:p w:rsidR="00F741FC" w:rsidRPr="00DE48E5" w:rsidRDefault="00F741FC" w:rsidP="00F741F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Incorporación de información so</w:t>
            </w:r>
            <w:r w:rsidR="002D75F2">
              <w:rPr>
                <w:rFonts w:ascii="Century Gothic" w:hAnsi="Century Gothic"/>
                <w:sz w:val="18"/>
                <w:szCs w:val="18"/>
              </w:rPr>
              <w:t>bre modificaciones de convenios.</w:t>
            </w:r>
          </w:p>
        </w:tc>
      </w:tr>
      <w:tr w:rsidR="005169E2" w:rsidRPr="00DE48E5" w:rsidTr="00BE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auto"/>
          </w:tcPr>
          <w:p w:rsidR="005169E2" w:rsidRPr="00DE48E5" w:rsidRDefault="00366CD6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CGPJ</w:t>
            </w:r>
          </w:p>
        </w:tc>
        <w:tc>
          <w:tcPr>
            <w:tcW w:w="5732" w:type="dxa"/>
            <w:tcBorders>
              <w:top w:val="single" w:sz="8" w:space="0" w:color="226860"/>
              <w:bottom w:val="single" w:sz="8" w:space="0" w:color="226860"/>
            </w:tcBorders>
            <w:shd w:val="clear" w:color="auto" w:fill="auto"/>
          </w:tcPr>
          <w:p w:rsidR="00DE48E5" w:rsidRDefault="00DE48E5" w:rsidP="00366C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DE48E5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66CD6">
              <w:rPr>
                <w:rFonts w:ascii="Century Gothic" w:hAnsi="Century Gothic"/>
                <w:sz w:val="18"/>
                <w:szCs w:val="18"/>
              </w:rPr>
              <w:t>Actualización a 2021 de la información estadística sobre contratación.</w:t>
            </w:r>
          </w:p>
          <w:p w:rsidR="00366CD6" w:rsidRPr="00DE48E5" w:rsidRDefault="00366CD6" w:rsidP="00366C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Incorporación de información sobre la no realización de contratación centralizada</w:t>
            </w:r>
          </w:p>
        </w:tc>
      </w:tr>
      <w:tr w:rsidR="005169E2" w:rsidRPr="00DE48E5" w:rsidTr="00BE0B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5169E2" w:rsidRPr="00DE48E5" w:rsidRDefault="00F52531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Fiscalía General del Estado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5D1143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F52531">
              <w:rPr>
                <w:rFonts w:ascii="Century Gothic" w:hAnsi="Century Gothic"/>
                <w:sz w:val="18"/>
                <w:szCs w:val="18"/>
              </w:rPr>
              <w:t>1.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Estructuración del Portal conforme LTAIBG</w:t>
            </w:r>
          </w:p>
          <w:p w:rsidR="00F52531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 Enlace a toda la información sujeta a obligaciones de publicidad activa desde el Portal de Transparencia</w:t>
            </w:r>
          </w:p>
          <w:p w:rsidR="00F52531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 Inclusión de textos que indican que la falta de publicación de determinadas informaciones económicas se debe a la falta de actividad o de competencia de la FGE en ese ámbito concreto.</w:t>
            </w:r>
          </w:p>
          <w:p w:rsidR="00F52531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 Actualización a 2022 de la información relativa a las retribuciones de altos cargos.</w:t>
            </w:r>
          </w:p>
          <w:p w:rsidR="00F52531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 Publicación de información sobre las indemnizaciones percibidas por altos cargos con ocasión del cese</w:t>
            </w:r>
          </w:p>
          <w:p w:rsidR="00F52531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6. </w:t>
            </w:r>
            <w:r w:rsidRPr="00F52531">
              <w:rPr>
                <w:rFonts w:ascii="Century Gothic" w:hAnsi="Century Gothic"/>
                <w:sz w:val="18"/>
                <w:szCs w:val="18"/>
              </w:rPr>
              <w:t xml:space="preserve">Publicación de información sobre las </w:t>
            </w:r>
            <w:r>
              <w:rPr>
                <w:rFonts w:ascii="Century Gothic" w:hAnsi="Century Gothic"/>
                <w:sz w:val="18"/>
                <w:szCs w:val="18"/>
              </w:rPr>
              <w:t>autorizaciones</w:t>
            </w:r>
            <w:r w:rsidRPr="00F5253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para el ejercicio de actividades privadas al cese de altos cargos</w:t>
            </w:r>
          </w:p>
          <w:p w:rsidR="00F52531" w:rsidRPr="00F52531" w:rsidRDefault="00F52531" w:rsidP="00F5253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 Publicación de la fecha de revisión o actualización de la información contenida en el Portal</w:t>
            </w:r>
          </w:p>
        </w:tc>
      </w:tr>
      <w:tr w:rsidR="00C37A28" w:rsidRPr="00DE48E5" w:rsidTr="00BE0B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auto"/>
          </w:tcPr>
          <w:p w:rsidR="00C37A28" w:rsidRPr="00C37A28" w:rsidRDefault="001860E6" w:rsidP="0062502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Consejo Económico y Social</w:t>
            </w: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auto"/>
          </w:tcPr>
          <w:p w:rsidR="00C37A28" w:rsidRPr="001860E6" w:rsidRDefault="001860E6" w:rsidP="0018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860E6">
              <w:rPr>
                <w:rFonts w:ascii="Century Gothic" w:hAnsi="Century Gothic"/>
                <w:sz w:val="18"/>
                <w:szCs w:val="18"/>
              </w:rPr>
              <w:t>1. Incorporación de información sobre el perfil y trayectoria profesional de altos cargos.</w:t>
            </w:r>
          </w:p>
          <w:p w:rsidR="001860E6" w:rsidRDefault="001860E6" w:rsidP="001860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60E6">
              <w:rPr>
                <w:rFonts w:ascii="Century Gothic" w:hAnsi="Century Gothic"/>
                <w:sz w:val="18"/>
                <w:szCs w:val="18"/>
              </w:rPr>
              <w:t>2. Inclusión de la fecha de revisión o actualización de la información</w:t>
            </w:r>
          </w:p>
        </w:tc>
      </w:tr>
      <w:tr w:rsidR="005169E2" w:rsidRPr="00DE48E5" w:rsidTr="00436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5169E2" w:rsidRPr="00DE48E5" w:rsidRDefault="005169E2" w:rsidP="005169E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732" w:type="dxa"/>
            <w:tcBorders>
              <w:bottom w:val="single" w:sz="8" w:space="0" w:color="226860"/>
            </w:tcBorders>
            <w:shd w:val="clear" w:color="auto" w:fill="EAF1DD" w:themeFill="accent3" w:themeFillTint="33"/>
          </w:tcPr>
          <w:p w:rsidR="00277F0E" w:rsidRPr="00277F0E" w:rsidRDefault="00277F0E" w:rsidP="00436B5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169E2" w:rsidRPr="005169E2" w:rsidRDefault="005169E2" w:rsidP="005169E2">
      <w:pPr>
        <w:jc w:val="both"/>
        <w:rPr>
          <w:rFonts w:ascii="Century Gothic" w:hAnsi="Century Gothic"/>
        </w:rPr>
      </w:pPr>
    </w:p>
    <w:sectPr w:rsidR="005169E2" w:rsidRPr="00516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66E"/>
    <w:multiLevelType w:val="hybridMultilevel"/>
    <w:tmpl w:val="055296DA"/>
    <w:lvl w:ilvl="0" w:tplc="CEC6F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C6064"/>
    <w:multiLevelType w:val="hybridMultilevel"/>
    <w:tmpl w:val="8EAC0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5E25"/>
    <w:multiLevelType w:val="hybridMultilevel"/>
    <w:tmpl w:val="71B010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2077E"/>
    <w:multiLevelType w:val="hybridMultilevel"/>
    <w:tmpl w:val="B2108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385"/>
    <w:multiLevelType w:val="hybridMultilevel"/>
    <w:tmpl w:val="86C60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7AA9"/>
    <w:multiLevelType w:val="hybridMultilevel"/>
    <w:tmpl w:val="1EE49162"/>
    <w:lvl w:ilvl="0" w:tplc="49EE9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0361F"/>
    <w:multiLevelType w:val="hybridMultilevel"/>
    <w:tmpl w:val="76C04170"/>
    <w:lvl w:ilvl="0" w:tplc="B8121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A4AA9"/>
    <w:multiLevelType w:val="hybridMultilevel"/>
    <w:tmpl w:val="5F105A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046B6"/>
    <w:multiLevelType w:val="hybridMultilevel"/>
    <w:tmpl w:val="EBF829EA"/>
    <w:lvl w:ilvl="0" w:tplc="B4244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85D58"/>
    <w:multiLevelType w:val="hybridMultilevel"/>
    <w:tmpl w:val="6CFC5B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41BC4"/>
    <w:multiLevelType w:val="hybridMultilevel"/>
    <w:tmpl w:val="DE3074F8"/>
    <w:lvl w:ilvl="0" w:tplc="F3802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E1089"/>
    <w:multiLevelType w:val="hybridMultilevel"/>
    <w:tmpl w:val="F22AF82E"/>
    <w:lvl w:ilvl="0" w:tplc="79E0F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17AE8"/>
    <w:multiLevelType w:val="hybridMultilevel"/>
    <w:tmpl w:val="B91E6D86"/>
    <w:lvl w:ilvl="0" w:tplc="E536D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839AE"/>
    <w:multiLevelType w:val="hybridMultilevel"/>
    <w:tmpl w:val="AC0A8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E2"/>
    <w:rsid w:val="000A2222"/>
    <w:rsid w:val="001860E6"/>
    <w:rsid w:val="001B79E2"/>
    <w:rsid w:val="00273C39"/>
    <w:rsid w:val="00277F0E"/>
    <w:rsid w:val="00280D0B"/>
    <w:rsid w:val="00292913"/>
    <w:rsid w:val="002D75F2"/>
    <w:rsid w:val="00314063"/>
    <w:rsid w:val="0034747E"/>
    <w:rsid w:val="00366CD6"/>
    <w:rsid w:val="00436B5F"/>
    <w:rsid w:val="005169E2"/>
    <w:rsid w:val="00532359"/>
    <w:rsid w:val="005D1143"/>
    <w:rsid w:val="00625028"/>
    <w:rsid w:val="007B10BA"/>
    <w:rsid w:val="008C617B"/>
    <w:rsid w:val="00AA2A13"/>
    <w:rsid w:val="00B046B7"/>
    <w:rsid w:val="00B230BE"/>
    <w:rsid w:val="00B2451E"/>
    <w:rsid w:val="00B3186D"/>
    <w:rsid w:val="00B71300"/>
    <w:rsid w:val="00BE0BA4"/>
    <w:rsid w:val="00BF138B"/>
    <w:rsid w:val="00C37A28"/>
    <w:rsid w:val="00DE48E5"/>
    <w:rsid w:val="00E54FD7"/>
    <w:rsid w:val="00E62DCF"/>
    <w:rsid w:val="00E648D4"/>
    <w:rsid w:val="00EA4176"/>
    <w:rsid w:val="00F06797"/>
    <w:rsid w:val="00F52531"/>
    <w:rsid w:val="00F6769E"/>
    <w:rsid w:val="00F741FC"/>
    <w:rsid w:val="00F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5">
    <w:name w:val="Medium Shading 1 Accent 5"/>
    <w:basedOn w:val="Tablanormal"/>
    <w:uiPriority w:val="63"/>
    <w:rsid w:val="00B046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26860"/>
        <w:left w:val="single" w:sz="8" w:space="0" w:color="226860"/>
        <w:bottom w:val="single" w:sz="8" w:space="0" w:color="226860"/>
        <w:right w:val="single" w:sz="8" w:space="0" w:color="226860"/>
        <w:insideH w:val="single" w:sz="8" w:space="0" w:color="2268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DE4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anam.ruiz</cp:lastModifiedBy>
  <cp:revision>10</cp:revision>
  <dcterms:created xsi:type="dcterms:W3CDTF">2022-03-02T13:10:00Z</dcterms:created>
  <dcterms:modified xsi:type="dcterms:W3CDTF">2022-03-16T10:21:00Z</dcterms:modified>
</cp:coreProperties>
</file>