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9953DF">
      <w:pPr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 xml:space="preserve">alcance temporal de la evaluación </w:t>
      </w:r>
      <w:r w:rsidR="00623479">
        <w:rPr>
          <w:rFonts w:ascii="Century Gothic" w:hAnsi="Century Gothic"/>
        </w:rPr>
        <w:t>finaliza en el momento en que se evalúa la web de la entidad y se remite el informe provisional de evaluación</w:t>
      </w:r>
      <w:r w:rsidRPr="005169E2">
        <w:rPr>
          <w:rFonts w:ascii="Century Gothic" w:hAnsi="Century Gothic"/>
        </w:rPr>
        <w:t xml:space="preserve">, las recomendaciones implantadas </w:t>
      </w:r>
      <w:r w:rsidR="00623479">
        <w:rPr>
          <w:rFonts w:ascii="Century Gothic" w:hAnsi="Century Gothic"/>
        </w:rPr>
        <w:t xml:space="preserve">durante el periodo de observaciones </w:t>
      </w:r>
      <w:r w:rsidRPr="005169E2">
        <w:rPr>
          <w:rFonts w:ascii="Century Gothic" w:hAnsi="Century Gothic"/>
        </w:rPr>
        <w:t xml:space="preserve">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DB7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12D1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2B12D1" w:rsidRDefault="002B12D1" w:rsidP="00AA06BC">
            <w:r>
              <w:t>ACULCO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2B12D1" w:rsidRDefault="002B12D1" w:rsidP="002B1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B12D1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Organización de la información conforme al patrón de la LTAIBG.</w:t>
            </w:r>
          </w:p>
          <w:p w:rsidR="002B12D1" w:rsidRPr="002B12D1" w:rsidRDefault="002B12D1" w:rsidP="002B1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del presupuesto</w:t>
            </w:r>
            <w:bookmarkStart w:id="0" w:name="_GoBack"/>
            <w:bookmarkEnd w:id="0"/>
          </w:p>
        </w:tc>
      </w:tr>
      <w:tr w:rsidR="00F50111" w:rsidRPr="00DE48E5" w:rsidTr="00B046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F50111" w:rsidRDefault="00F50111" w:rsidP="00AA06BC">
            <w:r>
              <w:t>FACUA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F50111" w:rsidRDefault="00F50111" w:rsidP="00F501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50111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50111">
              <w:rPr>
                <w:rFonts w:ascii="Century Gothic" w:hAnsi="Century Gothic"/>
                <w:sz w:val="18"/>
                <w:szCs w:val="18"/>
              </w:rPr>
              <w:t>Publicación del organigrama</w:t>
            </w:r>
            <w:r w:rsidR="00AC7B8B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AC7B8B" w:rsidRDefault="00AC7B8B" w:rsidP="00F501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los Presupuestos de manera diferenciada e independiente de la Memoria de actividades.</w:t>
            </w:r>
          </w:p>
          <w:p w:rsidR="00AC7B8B" w:rsidRPr="00F50111" w:rsidRDefault="00AC7B8B" w:rsidP="00AC7B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las cuentas anuales de manera diferenciada e independiente de la Memoria de actividades</w:t>
            </w:r>
          </w:p>
        </w:tc>
      </w:tr>
      <w:tr w:rsidR="009975E8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9975E8" w:rsidRDefault="009975E8" w:rsidP="00AA06BC">
            <w:r>
              <w:t>Fundación Pablo Iglesias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9975E8" w:rsidRDefault="009975E8" w:rsidP="0099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975E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la normativa aplicable a la Fundación</w:t>
            </w:r>
            <w:r w:rsidR="00EC01C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C01C5" w:rsidRDefault="00EC01C5" w:rsidP="0099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Descripción de la estructura organizativa</w:t>
            </w:r>
          </w:p>
          <w:p w:rsidR="00EC01C5" w:rsidRDefault="00EC01C5" w:rsidP="0099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112168">
              <w:rPr>
                <w:rFonts w:ascii="Century Gothic" w:hAnsi="Century Gothic"/>
                <w:sz w:val="18"/>
                <w:szCs w:val="18"/>
              </w:rPr>
              <w:t xml:space="preserve"> Publicación de la información relativa a subvenciones y ayudas públicas.</w:t>
            </w:r>
          </w:p>
          <w:p w:rsidR="00112168" w:rsidRDefault="00112168" w:rsidP="0099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del presupuesto de gastos</w:t>
            </w:r>
          </w:p>
          <w:p w:rsidR="00112168" w:rsidRPr="009975E8" w:rsidRDefault="00112168" w:rsidP="0099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información sobre las retribuciones de los máximos responsables</w:t>
            </w:r>
          </w:p>
        </w:tc>
      </w:tr>
      <w:tr w:rsidR="003415C9" w:rsidRPr="00DE48E5" w:rsidTr="00B046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3415C9" w:rsidRDefault="00623479" w:rsidP="00AA06BC">
            <w:r>
              <w:t>Fundación San Ezequiel Moreno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3415C9" w:rsidRDefault="00DB74B6" w:rsidP="00DB74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B74B6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B74B6">
              <w:rPr>
                <w:rFonts w:ascii="Century Gothic" w:hAnsi="Century Gothic"/>
                <w:sz w:val="18"/>
                <w:szCs w:val="18"/>
              </w:rPr>
              <w:t>Publicación de las cuentas anuales.</w:t>
            </w:r>
          </w:p>
          <w:p w:rsidR="00DB74B6" w:rsidRPr="00DB74B6" w:rsidRDefault="00DB74B6" w:rsidP="00DB74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los informes de auditoría de cuentas</w:t>
            </w:r>
          </w:p>
          <w:p w:rsidR="00DB74B6" w:rsidRPr="00DB74B6" w:rsidRDefault="00DB74B6" w:rsidP="00DB74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D4F52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0D4F52" w:rsidRPr="00D53328" w:rsidRDefault="000D4F52" w:rsidP="00AA06BC">
            <w:r>
              <w:t>Instituto de Investigación Sanitaria de la Fundación Jiménez Díaz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0D4F52" w:rsidRPr="004C0858" w:rsidRDefault="004C0858" w:rsidP="004C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C085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C0858">
              <w:rPr>
                <w:rFonts w:ascii="Century Gothic" w:hAnsi="Century Gothic"/>
                <w:sz w:val="18"/>
                <w:szCs w:val="18"/>
              </w:rPr>
              <w:t>Se ha completado la información relativa al perfil y trayectoria profesional de los máximos responsables.</w:t>
            </w:r>
          </w:p>
          <w:p w:rsidR="004C0858" w:rsidRDefault="004C0858" w:rsidP="004C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C0858">
              <w:rPr>
                <w:rFonts w:ascii="Century Gothic" w:hAnsi="Century Gothic"/>
                <w:sz w:val="18"/>
                <w:szCs w:val="18"/>
              </w:rPr>
              <w:t xml:space="preserve">2. </w:t>
            </w:r>
            <w:r>
              <w:rPr>
                <w:rFonts w:ascii="Century Gothic" w:hAnsi="Century Gothic"/>
                <w:sz w:val="18"/>
                <w:szCs w:val="18"/>
              </w:rPr>
              <w:t>Publicación de los contratos adjudicados por administraciones públicas.</w:t>
            </w:r>
          </w:p>
          <w:p w:rsidR="004C0858" w:rsidRDefault="004C0858" w:rsidP="004C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Se informa expresamente de que los planes de actuación incluyen el presupuesto correspondiente a cada año.</w:t>
            </w:r>
          </w:p>
          <w:p w:rsidR="004C0858" w:rsidRDefault="004C0858" w:rsidP="004C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Se ha actualizado la información correspondiente a las cuentas anuales.</w:t>
            </w:r>
          </w:p>
          <w:p w:rsidR="004C0858" w:rsidRPr="004C0858" w:rsidRDefault="004C0858" w:rsidP="004C0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entury Gothic" w:hAnsi="Century Gothic"/>
                <w:sz w:val="18"/>
                <w:szCs w:val="18"/>
              </w:rPr>
              <w:t xml:space="preserve">5. Se ha actualizado la información correspondiente a los informes de auditoría. </w:t>
            </w:r>
            <w:r>
              <w:t xml:space="preserve"> </w:t>
            </w:r>
          </w:p>
        </w:tc>
      </w:tr>
      <w:tr w:rsidR="001458A8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458A8" w:rsidRPr="00D53328" w:rsidRDefault="001458A8" w:rsidP="001458A8">
            <w:proofErr w:type="spellStart"/>
            <w:r w:rsidRPr="001458A8">
              <w:t>Institut</w:t>
            </w:r>
            <w:proofErr w:type="spellEnd"/>
            <w:r w:rsidRPr="001458A8">
              <w:t xml:space="preserve"> </w:t>
            </w:r>
            <w:proofErr w:type="spellStart"/>
            <w:r w:rsidRPr="001458A8">
              <w:t>Recer</w:t>
            </w:r>
            <w:r>
              <w:t>ç</w:t>
            </w:r>
            <w:r w:rsidRPr="001458A8">
              <w:t>a</w:t>
            </w:r>
            <w:proofErr w:type="spellEnd"/>
            <w:r w:rsidRPr="001458A8">
              <w:t xml:space="preserve"> contra Leucemia Josep Carreras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458A8" w:rsidRDefault="001458A8" w:rsidP="001458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458A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458A8">
              <w:rPr>
                <w:rFonts w:ascii="Century Gothic" w:hAnsi="Century Gothic"/>
                <w:sz w:val="18"/>
                <w:szCs w:val="18"/>
              </w:rPr>
              <w:t>Estructuración del Portal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conforme al patrón de la LTAIBG.</w:t>
            </w:r>
          </w:p>
          <w:p w:rsidR="001458A8" w:rsidRDefault="001458A8" w:rsidP="001458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toda la información obligatoria en el Portal de Transparencia.</w:t>
            </w:r>
          </w:p>
          <w:p w:rsidR="001458A8" w:rsidRDefault="001458A8" w:rsidP="001458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Publicación de información sobre convenios </w:t>
            </w:r>
          </w:p>
          <w:p w:rsidR="001458A8" w:rsidRPr="001458A8" w:rsidRDefault="001458A8" w:rsidP="001458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información sobre subvenciones y ayudas públicas estatales percibidas</w:t>
            </w:r>
            <w:r w:rsidR="004C085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AA06BC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AA06BC" w:rsidRPr="00C515F1" w:rsidRDefault="00D53328" w:rsidP="00AA06BC">
            <w:r w:rsidRPr="00D53328">
              <w:t>ONG de Desarrollo FIET GRATIA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D53328" w:rsidRDefault="00D53328" w:rsidP="00D5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 Publicación de los Estatutos.</w:t>
            </w:r>
          </w:p>
          <w:p w:rsidR="00D53328" w:rsidRDefault="00D53328" w:rsidP="00D5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del organigrama.</w:t>
            </w:r>
          </w:p>
          <w:p w:rsidR="00D53328" w:rsidRDefault="00D53328" w:rsidP="00D5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Pr="00D53328">
              <w:rPr>
                <w:rFonts w:ascii="Century Gothic" w:hAnsi="Century Gothic"/>
                <w:sz w:val="18"/>
                <w:szCs w:val="18"/>
              </w:rPr>
              <w:t>Publicación de los Convenios suscritos con administraciones públicas</w:t>
            </w:r>
          </w:p>
          <w:p w:rsidR="00DA45BC" w:rsidRDefault="00DA45BC" w:rsidP="00D5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las cuentas anuales</w:t>
            </w:r>
          </w:p>
          <w:p w:rsidR="00DA45BC" w:rsidRDefault="00DA45BC" w:rsidP="00D5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del presupuesto de gastos</w:t>
            </w:r>
          </w:p>
          <w:p w:rsidR="00DA45BC" w:rsidRPr="00D53328" w:rsidRDefault="00DA45BC" w:rsidP="00D53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Publicación de las subvenciones y ayudas públicas percibidas</w:t>
            </w:r>
          </w:p>
        </w:tc>
      </w:tr>
      <w:tr w:rsidR="008F5493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8F5493" w:rsidRDefault="00B77543" w:rsidP="00AA06BC">
            <w:r>
              <w:lastRenderedPageBreak/>
              <w:t>SEO-</w:t>
            </w:r>
            <w:proofErr w:type="spellStart"/>
            <w:r>
              <w:t>Birdlife</w:t>
            </w:r>
            <w:proofErr w:type="spellEnd"/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8F549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77543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543">
              <w:rPr>
                <w:rFonts w:ascii="Century Gothic" w:hAnsi="Century Gothic"/>
                <w:sz w:val="18"/>
                <w:szCs w:val="18"/>
              </w:rPr>
              <w:t>Creación de un Portal de Transparencia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la normativa de carácter general que regula las actividades de la asociación.</w:t>
            </w:r>
          </w:p>
          <w:p w:rsid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información sobre contratos adjudicados por administraciones públicas</w:t>
            </w:r>
          </w:p>
          <w:p w:rsid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los convenios suscritos con administraciones públicas.</w:t>
            </w:r>
          </w:p>
          <w:p w:rsid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las subvenciones y ayudas públicas percibidas.</w:t>
            </w:r>
          </w:p>
          <w:p w:rsid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Actualización de las cuentas anuales</w:t>
            </w:r>
          </w:p>
          <w:p w:rsid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Publicación del presupuesto 2022.</w:t>
            </w:r>
          </w:p>
          <w:p w:rsid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Publicación de las retribuciones de los máximos responsables</w:t>
            </w:r>
          </w:p>
          <w:p w:rsidR="00B77543" w:rsidRPr="00B77543" w:rsidRDefault="00B77543" w:rsidP="00B775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 Publicación de la fecha de actualización de la información contenida en el Portal.</w:t>
            </w:r>
          </w:p>
        </w:tc>
      </w:tr>
      <w:tr w:rsidR="00E20F32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20F32" w:rsidRDefault="00E20F32" w:rsidP="00AA06BC"/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324B7E" w:rsidRPr="00E20F32" w:rsidRDefault="00324B7E" w:rsidP="00E20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2238A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2238A" w:rsidRDefault="00E2238A" w:rsidP="00AA06BC"/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2238A" w:rsidRPr="00E2238A" w:rsidRDefault="00E2238A" w:rsidP="00E22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2A98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B22A98" w:rsidRDefault="00B22A98" w:rsidP="00AA06BC"/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AF711A" w:rsidRPr="00B22A98" w:rsidRDefault="00AF711A" w:rsidP="00AF7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783A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3783A" w:rsidRDefault="00E3783A" w:rsidP="00AA06BC"/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F10234" w:rsidRPr="00F10234" w:rsidRDefault="00F10234" w:rsidP="00F10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19D0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A419D0" w:rsidRDefault="00A419D0" w:rsidP="00AA06BC"/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355D64" w:rsidRPr="00A419D0" w:rsidRDefault="00355D64" w:rsidP="003F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66FD9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66FD9" w:rsidRDefault="00166FD9" w:rsidP="00AA06BC"/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355D64" w:rsidRPr="00166FD9" w:rsidRDefault="00355D64" w:rsidP="00355D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783A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3783A" w:rsidRDefault="00E3783A" w:rsidP="00AA06BC"/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046C68" w:rsidRPr="009A771B" w:rsidRDefault="00046C68" w:rsidP="00046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783A" w:rsidRPr="00DE48E5" w:rsidTr="00B046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E3783A" w:rsidRDefault="00E3783A" w:rsidP="00E3384C"/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E3783A" w:rsidRPr="004907D9" w:rsidRDefault="00E3783A" w:rsidP="004907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</w:p>
    <w:sectPr w:rsidR="005169E2" w:rsidRPr="0051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D1" w:rsidRDefault="002B12D1" w:rsidP="00314A83">
      <w:pPr>
        <w:spacing w:after="0" w:line="240" w:lineRule="auto"/>
      </w:pPr>
      <w:r>
        <w:separator/>
      </w:r>
    </w:p>
  </w:endnote>
  <w:endnote w:type="continuationSeparator" w:id="0">
    <w:p w:rsidR="002B12D1" w:rsidRDefault="002B12D1" w:rsidP="0031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D1" w:rsidRDefault="002B12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D1" w:rsidRDefault="002B12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D1" w:rsidRDefault="002B1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D1" w:rsidRDefault="002B12D1" w:rsidP="00314A83">
      <w:pPr>
        <w:spacing w:after="0" w:line="240" w:lineRule="auto"/>
      </w:pPr>
      <w:r>
        <w:separator/>
      </w:r>
    </w:p>
  </w:footnote>
  <w:footnote w:type="continuationSeparator" w:id="0">
    <w:p w:rsidR="002B12D1" w:rsidRDefault="002B12D1" w:rsidP="0031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D1" w:rsidRDefault="002B12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D1" w:rsidRDefault="002B12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D1" w:rsidRDefault="002B12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ABE"/>
    <w:multiLevelType w:val="hybridMultilevel"/>
    <w:tmpl w:val="03820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B03"/>
    <w:multiLevelType w:val="hybridMultilevel"/>
    <w:tmpl w:val="0C30E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35DC"/>
    <w:multiLevelType w:val="hybridMultilevel"/>
    <w:tmpl w:val="3BE67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84B"/>
    <w:multiLevelType w:val="hybridMultilevel"/>
    <w:tmpl w:val="4AFAB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1F4"/>
    <w:multiLevelType w:val="hybridMultilevel"/>
    <w:tmpl w:val="3A22B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82EFC"/>
    <w:multiLevelType w:val="hybridMultilevel"/>
    <w:tmpl w:val="C7908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B04C8"/>
    <w:multiLevelType w:val="hybridMultilevel"/>
    <w:tmpl w:val="8C541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56171"/>
    <w:multiLevelType w:val="hybridMultilevel"/>
    <w:tmpl w:val="F58C8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9221B"/>
    <w:multiLevelType w:val="hybridMultilevel"/>
    <w:tmpl w:val="6E123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12F09"/>
    <w:multiLevelType w:val="hybridMultilevel"/>
    <w:tmpl w:val="B3C65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C13D9"/>
    <w:multiLevelType w:val="hybridMultilevel"/>
    <w:tmpl w:val="C88E7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215C5"/>
    <w:multiLevelType w:val="hybridMultilevel"/>
    <w:tmpl w:val="01FA1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8730C"/>
    <w:multiLevelType w:val="hybridMultilevel"/>
    <w:tmpl w:val="2F3A0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51493"/>
    <w:multiLevelType w:val="hybridMultilevel"/>
    <w:tmpl w:val="742E9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060E2"/>
    <w:multiLevelType w:val="hybridMultilevel"/>
    <w:tmpl w:val="0032C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97E4B"/>
    <w:multiLevelType w:val="hybridMultilevel"/>
    <w:tmpl w:val="2E200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751A5"/>
    <w:multiLevelType w:val="hybridMultilevel"/>
    <w:tmpl w:val="870EB4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B7510"/>
    <w:multiLevelType w:val="hybridMultilevel"/>
    <w:tmpl w:val="0010B5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A4000"/>
    <w:multiLevelType w:val="hybridMultilevel"/>
    <w:tmpl w:val="BF56E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840C2"/>
    <w:multiLevelType w:val="hybridMultilevel"/>
    <w:tmpl w:val="D3EEE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67B0A"/>
    <w:multiLevelType w:val="hybridMultilevel"/>
    <w:tmpl w:val="ECDC5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A7F78"/>
    <w:multiLevelType w:val="hybridMultilevel"/>
    <w:tmpl w:val="D5048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19"/>
  </w:num>
  <w:num w:numId="5">
    <w:abstractNumId w:val="4"/>
  </w:num>
  <w:num w:numId="6">
    <w:abstractNumId w:val="14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26"/>
  </w:num>
  <w:num w:numId="12">
    <w:abstractNumId w:val="11"/>
  </w:num>
  <w:num w:numId="13">
    <w:abstractNumId w:val="17"/>
  </w:num>
  <w:num w:numId="14">
    <w:abstractNumId w:val="15"/>
  </w:num>
  <w:num w:numId="15">
    <w:abstractNumId w:val="7"/>
  </w:num>
  <w:num w:numId="16">
    <w:abstractNumId w:val="12"/>
  </w:num>
  <w:num w:numId="17">
    <w:abstractNumId w:val="13"/>
  </w:num>
  <w:num w:numId="18">
    <w:abstractNumId w:val="9"/>
  </w:num>
  <w:num w:numId="19">
    <w:abstractNumId w:val="6"/>
  </w:num>
  <w:num w:numId="20">
    <w:abstractNumId w:val="10"/>
  </w:num>
  <w:num w:numId="21">
    <w:abstractNumId w:val="25"/>
  </w:num>
  <w:num w:numId="22">
    <w:abstractNumId w:val="0"/>
  </w:num>
  <w:num w:numId="23">
    <w:abstractNumId w:val="28"/>
  </w:num>
  <w:num w:numId="24">
    <w:abstractNumId w:val="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017216"/>
    <w:rsid w:val="00046C68"/>
    <w:rsid w:val="000B40E1"/>
    <w:rsid w:val="000C465A"/>
    <w:rsid w:val="000D4F52"/>
    <w:rsid w:val="000E349F"/>
    <w:rsid w:val="000F78AC"/>
    <w:rsid w:val="00112168"/>
    <w:rsid w:val="001458A8"/>
    <w:rsid w:val="00166FD9"/>
    <w:rsid w:val="001B79E2"/>
    <w:rsid w:val="002201D2"/>
    <w:rsid w:val="00277F0E"/>
    <w:rsid w:val="00291E77"/>
    <w:rsid w:val="00292913"/>
    <w:rsid w:val="002B12D1"/>
    <w:rsid w:val="00314063"/>
    <w:rsid w:val="00314A83"/>
    <w:rsid w:val="00324B7E"/>
    <w:rsid w:val="00331424"/>
    <w:rsid w:val="003415C9"/>
    <w:rsid w:val="0034747E"/>
    <w:rsid w:val="00355D64"/>
    <w:rsid w:val="003C1004"/>
    <w:rsid w:val="003F538F"/>
    <w:rsid w:val="00436B5F"/>
    <w:rsid w:val="00445271"/>
    <w:rsid w:val="004907D9"/>
    <w:rsid w:val="004C0858"/>
    <w:rsid w:val="005169E2"/>
    <w:rsid w:val="00532359"/>
    <w:rsid w:val="005D1143"/>
    <w:rsid w:val="005D6222"/>
    <w:rsid w:val="00623479"/>
    <w:rsid w:val="0075341F"/>
    <w:rsid w:val="0077673E"/>
    <w:rsid w:val="007C1E8D"/>
    <w:rsid w:val="00830D38"/>
    <w:rsid w:val="008469F3"/>
    <w:rsid w:val="008C4712"/>
    <w:rsid w:val="008C617B"/>
    <w:rsid w:val="008F5493"/>
    <w:rsid w:val="009953DF"/>
    <w:rsid w:val="009975E8"/>
    <w:rsid w:val="009A20F6"/>
    <w:rsid w:val="009A771B"/>
    <w:rsid w:val="00A419D0"/>
    <w:rsid w:val="00AA06BC"/>
    <w:rsid w:val="00AC7B8B"/>
    <w:rsid w:val="00AF711A"/>
    <w:rsid w:val="00B046B7"/>
    <w:rsid w:val="00B22A98"/>
    <w:rsid w:val="00B2451E"/>
    <w:rsid w:val="00B3186D"/>
    <w:rsid w:val="00B71300"/>
    <w:rsid w:val="00B77543"/>
    <w:rsid w:val="00BF138B"/>
    <w:rsid w:val="00C37A28"/>
    <w:rsid w:val="00CF47E9"/>
    <w:rsid w:val="00D53328"/>
    <w:rsid w:val="00DA45BC"/>
    <w:rsid w:val="00DB74B6"/>
    <w:rsid w:val="00DE48E5"/>
    <w:rsid w:val="00DE6F40"/>
    <w:rsid w:val="00DF402C"/>
    <w:rsid w:val="00E20F32"/>
    <w:rsid w:val="00E2238A"/>
    <w:rsid w:val="00E3384C"/>
    <w:rsid w:val="00E3783A"/>
    <w:rsid w:val="00E54FD7"/>
    <w:rsid w:val="00E62DCF"/>
    <w:rsid w:val="00E648D4"/>
    <w:rsid w:val="00EA4176"/>
    <w:rsid w:val="00EC01C5"/>
    <w:rsid w:val="00F10234"/>
    <w:rsid w:val="00F50111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2022-11-08T10:03:00Z</dcterms:created>
  <dcterms:modified xsi:type="dcterms:W3CDTF">2022-11-16T11:06:00Z</dcterms:modified>
</cp:coreProperties>
</file>