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02F" w:rsidRDefault="00B32485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9102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9102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69102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Fiscalía General del Estado </w:t>
                                </w:r>
                              </w:sdtContent>
                            </w:sdt>
                            <w:r w:rsidR="0069102F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69102F" w:rsidRDefault="0069102F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Fiscalía General del Estado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Default="0069102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9102F" w:rsidRDefault="0069102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B32485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28478E">
        <w:tc>
          <w:tcPr>
            <w:tcW w:w="1668" w:type="dxa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28478E">
        <w:tc>
          <w:tcPr>
            <w:tcW w:w="1668" w:type="dxa"/>
            <w:vMerge w:val="restart"/>
            <w:vAlign w:val="center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F20126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F20126" w:rsidP="00F20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publicándose información al margen del Portal de Transparencia, en el acceso Órgano Constitucional de publican las funciones y el Estatuto del Ministerio Fiscal y en el acceso Documentación de la página home se localiza nuevamente el Estatuto del Ministerio y en el acceso Protección de Datos el Registro de Actividades de Tratamiento</w:t>
            </w:r>
          </w:p>
        </w:tc>
      </w:tr>
      <w:tr w:rsidR="00F20126" w:rsidRPr="007465AA" w:rsidTr="0028478E">
        <w:tc>
          <w:tcPr>
            <w:tcW w:w="1668" w:type="dxa"/>
            <w:vMerge w:val="restart"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Si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Resoluciones de autorización para el ejercicio de actividades privadas al cese de altos cargos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283FF6" w:rsidRPr="007465AA" w:rsidTr="0028478E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11926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</w:t>
            </w:r>
          </w:p>
          <w:p w:rsidR="00311926" w:rsidRDefault="00311926" w:rsidP="00311926">
            <w:pPr>
              <w:rPr>
                <w:sz w:val="18"/>
                <w:szCs w:val="18"/>
              </w:rPr>
            </w:pPr>
            <w:r w:rsidRPr="003119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11926">
              <w:rPr>
                <w:sz w:val="18"/>
                <w:szCs w:val="18"/>
              </w:rPr>
              <w:t xml:space="preserve"> reflejar expresamente que varias obligaciones no son asumidas por la FGE </w:t>
            </w:r>
          </w:p>
          <w:p w:rsidR="00283FF6" w:rsidRPr="00311926" w:rsidRDefault="00311926" w:rsidP="00311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11926">
              <w:rPr>
                <w:sz w:val="18"/>
                <w:szCs w:val="18"/>
              </w:rPr>
              <w:t xml:space="preserve"> publicar independientemente del documento Ministerio Fiscal gastos de personal </w:t>
            </w:r>
            <w:proofErr w:type="spellStart"/>
            <w:r w:rsidRPr="00311926">
              <w:rPr>
                <w:sz w:val="18"/>
                <w:szCs w:val="18"/>
              </w:rPr>
              <w:t>la s</w:t>
            </w:r>
            <w:proofErr w:type="spellEnd"/>
            <w:r w:rsidRPr="00311926">
              <w:rPr>
                <w:sz w:val="18"/>
                <w:szCs w:val="18"/>
              </w:rPr>
              <w:t xml:space="preserve"> retribuciones de los máximos responsables </w:t>
            </w:r>
          </w:p>
        </w:tc>
        <w:tc>
          <w:tcPr>
            <w:tcW w:w="709" w:type="dxa"/>
            <w:vAlign w:val="center"/>
          </w:tcPr>
          <w:p w:rsidR="00283FF6" w:rsidRPr="007465AA" w:rsidRDefault="00311926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11926" w:rsidRDefault="00311926" w:rsidP="0028478E">
            <w:pPr>
              <w:rPr>
                <w:sz w:val="18"/>
                <w:szCs w:val="18"/>
              </w:rPr>
            </w:pPr>
          </w:p>
          <w:p w:rsidR="00283FF6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:rsidR="00311926" w:rsidRDefault="00311926" w:rsidP="0028478E">
            <w:pPr>
              <w:rPr>
                <w:sz w:val="18"/>
                <w:szCs w:val="18"/>
              </w:rPr>
            </w:pPr>
          </w:p>
          <w:p w:rsidR="00311926" w:rsidRPr="007465AA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D753D4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D753D4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figura fecha en el Portal de Transparencia</w:t>
            </w:r>
          </w:p>
        </w:tc>
      </w:tr>
      <w:tr w:rsidR="00283FF6" w:rsidRPr="007465AA" w:rsidTr="0028478E">
        <w:tc>
          <w:tcPr>
            <w:tcW w:w="7196" w:type="dxa"/>
            <w:gridSpan w:val="2"/>
          </w:tcPr>
          <w:p w:rsidR="00283FF6" w:rsidRPr="007465AA" w:rsidRDefault="00283FF6" w:rsidP="0028478E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311926" w:rsidP="002847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753D4" w:rsidP="00DF56A7">
      <w:pPr>
        <w:jc w:val="both"/>
      </w:pPr>
      <w:r>
        <w:t>La FGE</w:t>
      </w:r>
      <w:r w:rsidR="00C52EE5">
        <w:t xml:space="preserve"> ha aplicado </w:t>
      </w:r>
      <w:r>
        <w:t>una</w:t>
      </w:r>
      <w:r w:rsidR="00C52EE5" w:rsidRPr="0076567C">
        <w:t xml:space="preserve"> de las </w:t>
      </w:r>
      <w:r w:rsidR="00311926">
        <w:t>ocho</w:t>
      </w:r>
      <w:r w:rsidR="00C50A64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9102F" w:rsidRPr="00F31BC3" w:rsidRDefault="0069102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B32485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37"/>
        <w:gridCol w:w="757"/>
        <w:gridCol w:w="756"/>
        <w:gridCol w:w="756"/>
        <w:gridCol w:w="756"/>
        <w:gridCol w:w="756"/>
        <w:gridCol w:w="756"/>
        <w:gridCol w:w="756"/>
        <w:gridCol w:w="752"/>
      </w:tblGrid>
      <w:tr w:rsidR="0028478E" w:rsidRPr="0028478E" w:rsidTr="00691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5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9102F" w:rsidRPr="0028478E" w:rsidTr="0069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9102F" w:rsidRPr="0028478E" w:rsidRDefault="0069102F" w:rsidP="0028478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7,1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86,7</w:t>
            </w:r>
          </w:p>
        </w:tc>
      </w:tr>
      <w:tr w:rsidR="0069102F" w:rsidRPr="0028478E" w:rsidTr="0069102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102F" w:rsidRPr="0028478E" w:rsidRDefault="0069102F" w:rsidP="0028478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31,4</w:t>
            </w:r>
          </w:p>
        </w:tc>
      </w:tr>
      <w:tr w:rsidR="0069102F" w:rsidRPr="0028478E" w:rsidTr="0069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102F" w:rsidRPr="0028478E" w:rsidRDefault="0069102F" w:rsidP="0028478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8478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66,7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66,7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12,5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63,7</w:t>
            </w:r>
          </w:p>
        </w:tc>
      </w:tr>
    </w:tbl>
    <w:p w:rsidR="0028478E" w:rsidRDefault="0028478E" w:rsidP="00F05E2C">
      <w:pPr>
        <w:pStyle w:val="Cuerpodelboletn"/>
        <w:rPr>
          <w:lang w:bidi="es-ES"/>
        </w:rPr>
      </w:pPr>
    </w:p>
    <w:p w:rsidR="0028478E" w:rsidRDefault="0028478E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9102F">
        <w:rPr>
          <w:lang w:bidi="es-ES"/>
        </w:rPr>
        <w:t>63,7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69102F">
        <w:rPr>
          <w:lang w:bidi="es-ES"/>
        </w:rPr>
        <w:t>8,9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una de las recomendaciones efectuadas en 202</w:t>
      </w:r>
      <w:r w:rsidR="0069102F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76567C" w:rsidP="00F05E2C">
      <w:pPr>
        <w:pStyle w:val="Cuerpodelboletn"/>
      </w:pPr>
      <w:r>
        <w:t>Por otra parte se ha revisado a la baja el cumplimiento de</w:t>
      </w:r>
      <w:r w:rsidR="0069102F">
        <w:t>l criterio actualización de la información sobre retribuciones de altos cargos dado que la última información publicada corresponde a 2020.</w:t>
      </w:r>
      <w:r>
        <w:t xml:space="preserve"> </w:t>
      </w:r>
    </w:p>
    <w:p w:rsidR="0069102F" w:rsidRDefault="0069102F" w:rsidP="00F05E2C">
      <w:pPr>
        <w:pStyle w:val="Cuerpodelboletn"/>
      </w:pPr>
    </w:p>
    <w:p w:rsidR="0069102F" w:rsidRDefault="0069102F" w:rsidP="00F05E2C">
      <w:pPr>
        <w:pStyle w:val="Cuerpodelboletn"/>
        <w:sectPr w:rsidR="0069102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061BC" w:rsidRDefault="00BB3652" w:rsidP="00A670E9">
      <w:pPr>
        <w:pStyle w:val="Cuerpodelboletn"/>
      </w:pPr>
      <w:r>
        <w:t xml:space="preserve">Este CTBG </w:t>
      </w:r>
      <w:r w:rsidRPr="00BB3652">
        <w:rPr>
          <w:b/>
        </w:rPr>
        <w:t xml:space="preserve">valorar </w:t>
      </w:r>
      <w:r w:rsidR="0069102F">
        <w:rPr>
          <w:b/>
        </w:rPr>
        <w:t>positivamente</w:t>
      </w:r>
      <w:r>
        <w:t xml:space="preserve"> la evolución del cumplimiento de las obligaciones de publicidad activa por parte de </w:t>
      </w:r>
      <w:r w:rsidR="0069102F">
        <w:t>la FGE</w:t>
      </w:r>
      <w:r>
        <w:t xml:space="preserve">. </w:t>
      </w:r>
      <w:r w:rsidR="0069102F">
        <w:t xml:space="preserve">No obstante, es preciso señalar que sólo se ha aplicado una de las recomendaciones derivadas de la evaluación realizada en 2021 y que por esta razón </w:t>
      </w:r>
      <w:r>
        <w:t xml:space="preserve">persisten </w:t>
      </w:r>
      <w:r w:rsidR="0069102F">
        <w:t xml:space="preserve">la mayoría de los </w:t>
      </w:r>
      <w:r>
        <w:t>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9102F" w:rsidRPr="00F31BC3" w:rsidRDefault="0069102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69102F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publicándose información al margen del Portal de Transparencia, concretamente la descripción de las funciones de la FGE, el Estatuto del Ministerio Fiscal y los Convenios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69102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  <w:r w:rsidR="0069102F">
        <w:rPr>
          <w:rFonts w:ascii="Century Gothic" w:hAnsi="Century Gothic"/>
        </w:rPr>
        <w:t xml:space="preserve">las indemnizaciones percibidas y las autorizaciones para el ejercicio de actividades privadas concedidas a altos cargos y tampoco se publica información sobre las resoluciones de autorización o reconocimiento de compatibilidad de empleados de la Fiscalía. </w:t>
      </w:r>
    </w:p>
    <w:p w:rsidR="0069102F" w:rsidRDefault="0069102F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información sobre retribuciones de altos cargos está desactualizada, ya que corresponde a 2020.</w:t>
      </w:r>
      <w:r w:rsidR="008A13E0">
        <w:rPr>
          <w:rFonts w:ascii="Century Gothic" w:hAnsi="Century Gothic"/>
        </w:rPr>
        <w:t xml:space="preserve"> Además esta información sigue sin publicarse de manera diferenciada tal y como re recomendó en 2021. </w:t>
      </w:r>
    </w:p>
    <w:p w:rsidR="004D4B3E" w:rsidRDefault="0069102F" w:rsidP="008A13E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la evaluación 2021 se recomendó a la FGE que para aquellas obligaciones en las que no existe información que publicar porque la actividad que genera esa información no se realiza por parte de la Fiscalía  - contratación, </w:t>
      </w:r>
      <w:r w:rsidR="008A13E0">
        <w:rPr>
          <w:rFonts w:ascii="Century Gothic" w:hAnsi="Century Gothic"/>
        </w:rPr>
        <w:t xml:space="preserve">subvenciones y ayudas públicas, </w:t>
      </w:r>
      <w:r>
        <w:rPr>
          <w:rFonts w:ascii="Century Gothic" w:hAnsi="Century Gothic"/>
        </w:rPr>
        <w:t xml:space="preserve">presupuestos y ejecución presupuestaria y cuentas anuales e informes de auditoría </w:t>
      </w:r>
      <w:r w:rsidR="008A13E0">
        <w:rPr>
          <w:rFonts w:ascii="Century Gothic" w:hAnsi="Century Gothic"/>
        </w:rPr>
        <w:t xml:space="preserve">– </w:t>
      </w:r>
      <w:r w:rsidR="008A13E0" w:rsidRPr="008A13E0">
        <w:rPr>
          <w:rFonts w:ascii="Century Gothic" w:hAnsi="Century Gothic"/>
        </w:rPr>
        <w:t xml:space="preserve">o bien porque no haya habido actividad (por ejemplo, que no se hubiese solicitado y autorizado ninguna compatibilidad para el ejercicio de actividades públicas o privadas por personal de la FGE) </w:t>
      </w:r>
      <w:r w:rsidR="008A13E0">
        <w:rPr>
          <w:rFonts w:ascii="Century Gothic" w:hAnsi="Century Gothic"/>
        </w:rPr>
        <w:t>se incluyese en el Portal de Transparencia</w:t>
      </w:r>
      <w:r w:rsidR="008A13E0" w:rsidRPr="008A13E0">
        <w:rPr>
          <w:rFonts w:ascii="Century Gothic" w:hAnsi="Century Gothic"/>
        </w:rPr>
        <w:t xml:space="preserve"> el correspondiente enlace </w:t>
      </w:r>
      <w:r w:rsidR="008A13E0">
        <w:rPr>
          <w:rFonts w:ascii="Century Gothic" w:hAnsi="Century Gothic"/>
        </w:rPr>
        <w:t>y se indicase</w:t>
      </w:r>
      <w:r w:rsidR="008A13E0" w:rsidRPr="008A13E0">
        <w:rPr>
          <w:rFonts w:ascii="Century Gothic" w:hAnsi="Century Gothic"/>
        </w:rPr>
        <w:t xml:space="preserve"> expresamente esta circunstancia.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B32485">
        <w:rPr>
          <w:rFonts w:ascii="Century Gothic" w:hAnsi="Century Gothic"/>
        </w:rPr>
        <w:t>marzo</w:t>
      </w:r>
      <w:bookmarkStart w:id="0" w:name="_GoBack"/>
      <w:bookmarkEnd w:id="0"/>
      <w:r>
        <w:rPr>
          <w:rFonts w:ascii="Century Gothic" w:hAnsi="Century Gothic"/>
        </w:rPr>
        <w:t xml:space="preserve"> de 202</w:t>
      </w:r>
      <w:r w:rsidR="008A13E0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9102F" w:rsidRPr="00F31BC3" w:rsidRDefault="0069102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9102F" w:rsidRPr="00F31BC3" w:rsidRDefault="0069102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9102F" w:rsidRPr="00F31BC3" w:rsidRDefault="0069102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2F" w:rsidRDefault="0069102F" w:rsidP="00F31BC3">
      <w:r>
        <w:separator/>
      </w:r>
    </w:p>
  </w:endnote>
  <w:endnote w:type="continuationSeparator" w:id="0">
    <w:p w:rsidR="0069102F" w:rsidRDefault="0069102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2F" w:rsidRDefault="0069102F" w:rsidP="00F31BC3">
      <w:r>
        <w:separator/>
      </w:r>
    </w:p>
  </w:footnote>
  <w:footnote w:type="continuationSeparator" w:id="0">
    <w:p w:rsidR="0069102F" w:rsidRDefault="0069102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849AF"/>
    <w:multiLevelType w:val="hybridMultilevel"/>
    <w:tmpl w:val="1FD0B022"/>
    <w:lvl w:ilvl="0" w:tplc="166A48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8478E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1926"/>
    <w:rsid w:val="003134AF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83FE8"/>
    <w:rsid w:val="0069102F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24A0"/>
    <w:rsid w:val="008514EC"/>
    <w:rsid w:val="00853CB9"/>
    <w:rsid w:val="00865E5A"/>
    <w:rsid w:val="00882A5B"/>
    <w:rsid w:val="00891E6F"/>
    <w:rsid w:val="00894358"/>
    <w:rsid w:val="0089455A"/>
    <w:rsid w:val="00897D04"/>
    <w:rsid w:val="008A13E0"/>
    <w:rsid w:val="008A5AAE"/>
    <w:rsid w:val="008D6E75"/>
    <w:rsid w:val="008F2EF6"/>
    <w:rsid w:val="00902A71"/>
    <w:rsid w:val="009039FD"/>
    <w:rsid w:val="00903FE0"/>
    <w:rsid w:val="00912DB4"/>
    <w:rsid w:val="00926AD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32485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53D4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0126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847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847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17C81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7D304E-AAA4-4234-A107-57CFFD11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0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3</cp:revision>
  <cp:lastPrinted>2008-09-26T23:14:00Z</cp:lastPrinted>
  <dcterms:created xsi:type="dcterms:W3CDTF">2022-03-08T09:28:00Z</dcterms:created>
  <dcterms:modified xsi:type="dcterms:W3CDTF">2022-03-08T09:28:00Z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