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6DB" w:rsidRDefault="00362ACC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9F76D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9F76D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9F76D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del Consejo de Estado</w:t>
                                </w:r>
                              </w:sdtContent>
                            </w:sdt>
                            <w:r w:rsidR="009F76DB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9F76DB" w:rsidRDefault="009F76DB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del Consejo de Estado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F76DB" w:rsidRDefault="009F76D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9F76DB" w:rsidRDefault="009F76D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362ACC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283FF6" w:rsidRPr="007465AA" w:rsidTr="000369F4">
        <w:tc>
          <w:tcPr>
            <w:tcW w:w="1668" w:type="dxa"/>
            <w:shd w:val="clear" w:color="auto" w:fill="008A3E"/>
          </w:tcPr>
          <w:p w:rsidR="00283FF6" w:rsidRPr="007465AA" w:rsidRDefault="00283FF6" w:rsidP="000369F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283FF6" w:rsidRPr="007465AA" w:rsidRDefault="00283FF6" w:rsidP="000369F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283FF6" w:rsidRPr="007465AA" w:rsidRDefault="00283FF6" w:rsidP="000369F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283FF6" w:rsidRPr="007465AA" w:rsidTr="000369F4">
        <w:tc>
          <w:tcPr>
            <w:tcW w:w="1668" w:type="dxa"/>
            <w:vMerge w:val="restart"/>
            <w:vAlign w:val="center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03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0369F4">
            <w:pPr>
              <w:rPr>
                <w:sz w:val="18"/>
                <w:szCs w:val="18"/>
              </w:rPr>
            </w:pPr>
          </w:p>
        </w:tc>
      </w:tr>
      <w:tr w:rsidR="00283FF6" w:rsidRPr="007465AA" w:rsidTr="000369F4">
        <w:tc>
          <w:tcPr>
            <w:tcW w:w="1668" w:type="dxa"/>
            <w:vMerge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03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0369F4">
            <w:pPr>
              <w:rPr>
                <w:sz w:val="18"/>
                <w:szCs w:val="18"/>
              </w:rPr>
            </w:pPr>
          </w:p>
        </w:tc>
      </w:tr>
      <w:tr w:rsidR="00283FF6" w:rsidRPr="007465AA" w:rsidTr="000369F4">
        <w:tc>
          <w:tcPr>
            <w:tcW w:w="1668" w:type="dxa"/>
            <w:vMerge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03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0369F4">
            <w:pPr>
              <w:rPr>
                <w:sz w:val="18"/>
                <w:szCs w:val="18"/>
              </w:rPr>
            </w:pPr>
          </w:p>
        </w:tc>
      </w:tr>
      <w:tr w:rsidR="00283FF6" w:rsidRPr="007465AA" w:rsidTr="000369F4">
        <w:tc>
          <w:tcPr>
            <w:tcW w:w="1668" w:type="dxa"/>
            <w:vMerge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A41C0E" w:rsidP="00EC50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83FF6" w:rsidRPr="009F76DB" w:rsidRDefault="00A41C0E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No, no se enlaza a la identificación y perfil y trayectoria profesional de los máximos responsables que se localiza en el acceso organización de la web institucional.</w:t>
            </w:r>
          </w:p>
        </w:tc>
      </w:tr>
      <w:tr w:rsidR="000369F4" w:rsidRPr="007465AA" w:rsidTr="000369F4">
        <w:tc>
          <w:tcPr>
            <w:tcW w:w="1668" w:type="dxa"/>
            <w:vMerge w:val="restart"/>
            <w:vAlign w:val="center"/>
          </w:tcPr>
          <w:p w:rsidR="000369F4" w:rsidRPr="009F76DB" w:rsidRDefault="000369F4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5528" w:type="dxa"/>
          </w:tcPr>
          <w:p w:rsidR="000369F4" w:rsidRPr="000369F4" w:rsidRDefault="000369F4" w:rsidP="000369F4">
            <w:pPr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0369F4" w:rsidRPr="000369F4" w:rsidRDefault="000369F4" w:rsidP="00EC50EA">
            <w:pPr>
              <w:jc w:val="center"/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X</w:t>
            </w:r>
          </w:p>
        </w:tc>
        <w:tc>
          <w:tcPr>
            <w:tcW w:w="2777" w:type="dxa"/>
          </w:tcPr>
          <w:p w:rsidR="000369F4" w:rsidRPr="009F76DB" w:rsidRDefault="000369F4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No</w:t>
            </w:r>
          </w:p>
        </w:tc>
      </w:tr>
      <w:tr w:rsidR="000369F4" w:rsidRPr="007465AA" w:rsidTr="000369F4">
        <w:tc>
          <w:tcPr>
            <w:tcW w:w="1668" w:type="dxa"/>
            <w:vMerge/>
            <w:vAlign w:val="center"/>
          </w:tcPr>
          <w:p w:rsidR="000369F4" w:rsidRPr="009F76DB" w:rsidRDefault="000369F4" w:rsidP="000369F4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369F4" w:rsidRPr="000369F4" w:rsidRDefault="000369F4" w:rsidP="000369F4">
            <w:pPr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0369F4" w:rsidRPr="000369F4" w:rsidRDefault="000369F4" w:rsidP="00EC50EA">
            <w:pPr>
              <w:jc w:val="center"/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X</w:t>
            </w:r>
          </w:p>
        </w:tc>
        <w:tc>
          <w:tcPr>
            <w:tcW w:w="2777" w:type="dxa"/>
          </w:tcPr>
          <w:p w:rsidR="000369F4" w:rsidRPr="009F76DB" w:rsidRDefault="000369F4" w:rsidP="000369F4">
            <w:pPr>
              <w:rPr>
                <w:sz w:val="20"/>
                <w:szCs w:val="20"/>
              </w:rPr>
            </w:pPr>
            <w:proofErr w:type="spellStart"/>
            <w:r w:rsidRPr="009F76DB">
              <w:rPr>
                <w:sz w:val="20"/>
                <w:szCs w:val="20"/>
              </w:rPr>
              <w:t>Si</w:t>
            </w:r>
            <w:proofErr w:type="spellEnd"/>
            <w:r w:rsidRPr="009F76DB">
              <w:rPr>
                <w:sz w:val="20"/>
                <w:szCs w:val="20"/>
              </w:rPr>
              <w:t>. Presidenta y Consejeros Permanentes</w:t>
            </w:r>
          </w:p>
        </w:tc>
      </w:tr>
      <w:tr w:rsidR="000369F4" w:rsidRPr="007465AA" w:rsidTr="000369F4">
        <w:tc>
          <w:tcPr>
            <w:tcW w:w="1668" w:type="dxa"/>
            <w:vMerge/>
            <w:vAlign w:val="center"/>
          </w:tcPr>
          <w:p w:rsidR="000369F4" w:rsidRPr="009F76DB" w:rsidRDefault="000369F4" w:rsidP="000369F4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369F4" w:rsidRPr="000369F4" w:rsidRDefault="000369F4" w:rsidP="000369F4">
            <w:pPr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 xml:space="preserve">Modificaciones de contratos </w:t>
            </w:r>
          </w:p>
        </w:tc>
        <w:tc>
          <w:tcPr>
            <w:tcW w:w="709" w:type="dxa"/>
          </w:tcPr>
          <w:p w:rsidR="000369F4" w:rsidRPr="000369F4" w:rsidRDefault="000369F4" w:rsidP="00EC50EA">
            <w:pPr>
              <w:jc w:val="center"/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X</w:t>
            </w:r>
          </w:p>
        </w:tc>
        <w:tc>
          <w:tcPr>
            <w:tcW w:w="2777" w:type="dxa"/>
          </w:tcPr>
          <w:p w:rsidR="000369F4" w:rsidRPr="009F76DB" w:rsidRDefault="000369F4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No aparecen modificaciones</w:t>
            </w:r>
          </w:p>
        </w:tc>
      </w:tr>
      <w:tr w:rsidR="000369F4" w:rsidRPr="007465AA" w:rsidTr="00283FF6">
        <w:trPr>
          <w:trHeight w:val="229"/>
        </w:trPr>
        <w:tc>
          <w:tcPr>
            <w:tcW w:w="1668" w:type="dxa"/>
            <w:vMerge/>
            <w:vAlign w:val="center"/>
          </w:tcPr>
          <w:p w:rsidR="000369F4" w:rsidRPr="009F76DB" w:rsidRDefault="000369F4" w:rsidP="000369F4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369F4" w:rsidRPr="000369F4" w:rsidRDefault="000369F4" w:rsidP="000369F4">
            <w:pPr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Datos estadísticos sobre contratos</w:t>
            </w:r>
            <w:r w:rsidR="00EC50EA">
              <w:rPr>
                <w:sz w:val="20"/>
                <w:szCs w:val="20"/>
              </w:rPr>
              <w:t>: actualización</w:t>
            </w:r>
          </w:p>
        </w:tc>
        <w:tc>
          <w:tcPr>
            <w:tcW w:w="709" w:type="dxa"/>
          </w:tcPr>
          <w:p w:rsidR="000369F4" w:rsidRPr="000369F4" w:rsidRDefault="000369F4" w:rsidP="00EC50EA">
            <w:pPr>
              <w:jc w:val="center"/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X</w:t>
            </w:r>
          </w:p>
        </w:tc>
        <w:tc>
          <w:tcPr>
            <w:tcW w:w="2777" w:type="dxa"/>
          </w:tcPr>
          <w:p w:rsidR="000369F4" w:rsidRPr="009F76DB" w:rsidRDefault="00A41C0E" w:rsidP="00362ACC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Si</w:t>
            </w:r>
          </w:p>
        </w:tc>
      </w:tr>
      <w:tr w:rsidR="000369F4" w:rsidRPr="007465AA" w:rsidTr="000369F4">
        <w:tc>
          <w:tcPr>
            <w:tcW w:w="1668" w:type="dxa"/>
            <w:vMerge/>
            <w:vAlign w:val="center"/>
          </w:tcPr>
          <w:p w:rsidR="000369F4" w:rsidRPr="009F76DB" w:rsidRDefault="000369F4" w:rsidP="000369F4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369F4" w:rsidRPr="000369F4" w:rsidRDefault="000369F4" w:rsidP="000369F4">
            <w:pPr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Convenios</w:t>
            </w:r>
            <w:r w:rsidR="00EC50EA">
              <w:rPr>
                <w:sz w:val="20"/>
                <w:szCs w:val="20"/>
              </w:rPr>
              <w:t>: actualización</w:t>
            </w:r>
          </w:p>
        </w:tc>
        <w:tc>
          <w:tcPr>
            <w:tcW w:w="709" w:type="dxa"/>
          </w:tcPr>
          <w:p w:rsidR="000369F4" w:rsidRPr="000369F4" w:rsidRDefault="000369F4" w:rsidP="00EC50EA">
            <w:pPr>
              <w:jc w:val="center"/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X</w:t>
            </w:r>
          </w:p>
        </w:tc>
        <w:tc>
          <w:tcPr>
            <w:tcW w:w="2777" w:type="dxa"/>
          </w:tcPr>
          <w:p w:rsidR="000369F4" w:rsidRPr="009F76DB" w:rsidRDefault="00362ACC" w:rsidP="00362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0369F4" w:rsidRPr="007465AA" w:rsidTr="000369F4">
        <w:tc>
          <w:tcPr>
            <w:tcW w:w="1668" w:type="dxa"/>
            <w:vMerge/>
            <w:vAlign w:val="center"/>
          </w:tcPr>
          <w:p w:rsidR="000369F4" w:rsidRPr="009F76DB" w:rsidRDefault="000369F4" w:rsidP="000369F4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369F4" w:rsidRPr="000369F4" w:rsidRDefault="000369F4" w:rsidP="000369F4">
            <w:pPr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Presupuesto</w:t>
            </w:r>
            <w:r w:rsidR="00EC50EA">
              <w:rPr>
                <w:sz w:val="20"/>
                <w:szCs w:val="20"/>
              </w:rPr>
              <w:t>: actualización</w:t>
            </w:r>
          </w:p>
        </w:tc>
        <w:tc>
          <w:tcPr>
            <w:tcW w:w="709" w:type="dxa"/>
          </w:tcPr>
          <w:p w:rsidR="000369F4" w:rsidRPr="000369F4" w:rsidRDefault="000369F4" w:rsidP="00EC50EA">
            <w:pPr>
              <w:jc w:val="center"/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X</w:t>
            </w:r>
          </w:p>
        </w:tc>
        <w:tc>
          <w:tcPr>
            <w:tcW w:w="2777" w:type="dxa"/>
          </w:tcPr>
          <w:p w:rsidR="000369F4" w:rsidRPr="009F76DB" w:rsidRDefault="000369F4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Si</w:t>
            </w:r>
          </w:p>
        </w:tc>
      </w:tr>
      <w:tr w:rsidR="000369F4" w:rsidRPr="007465AA" w:rsidTr="000369F4">
        <w:tc>
          <w:tcPr>
            <w:tcW w:w="1668" w:type="dxa"/>
            <w:vMerge/>
            <w:vAlign w:val="center"/>
          </w:tcPr>
          <w:p w:rsidR="000369F4" w:rsidRPr="009F76DB" w:rsidRDefault="000369F4" w:rsidP="000369F4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369F4" w:rsidRPr="000369F4" w:rsidRDefault="000369F4" w:rsidP="000369F4">
            <w:pPr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Retribuciones de los máximos responsables</w:t>
            </w:r>
            <w:r w:rsidR="00EC50EA">
              <w:rPr>
                <w:sz w:val="20"/>
                <w:szCs w:val="20"/>
              </w:rPr>
              <w:t>: actualización</w:t>
            </w:r>
          </w:p>
        </w:tc>
        <w:tc>
          <w:tcPr>
            <w:tcW w:w="709" w:type="dxa"/>
          </w:tcPr>
          <w:p w:rsidR="000369F4" w:rsidRPr="000369F4" w:rsidRDefault="000369F4" w:rsidP="00EC50EA">
            <w:pPr>
              <w:jc w:val="center"/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X</w:t>
            </w:r>
          </w:p>
        </w:tc>
        <w:tc>
          <w:tcPr>
            <w:tcW w:w="2777" w:type="dxa"/>
          </w:tcPr>
          <w:p w:rsidR="000369F4" w:rsidRPr="009F76DB" w:rsidRDefault="000369F4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Si</w:t>
            </w:r>
          </w:p>
        </w:tc>
      </w:tr>
      <w:tr w:rsidR="00283FF6" w:rsidRPr="007465AA" w:rsidTr="000369F4">
        <w:trPr>
          <w:trHeight w:val="265"/>
        </w:trPr>
        <w:tc>
          <w:tcPr>
            <w:tcW w:w="1668" w:type="dxa"/>
            <w:vMerge w:val="restart"/>
            <w:vAlign w:val="center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5528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283FF6" w:rsidRPr="009F76DB" w:rsidRDefault="00283FF6" w:rsidP="00EC5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</w:p>
        </w:tc>
      </w:tr>
      <w:tr w:rsidR="00283FF6" w:rsidRPr="007465AA" w:rsidTr="000369F4">
        <w:tc>
          <w:tcPr>
            <w:tcW w:w="1668" w:type="dxa"/>
            <w:vMerge/>
          </w:tcPr>
          <w:p w:rsidR="00283FF6" w:rsidRPr="007465AA" w:rsidRDefault="00283FF6" w:rsidP="000369F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283FF6" w:rsidRPr="009F76DB" w:rsidRDefault="00283FF6" w:rsidP="00EC5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</w:p>
        </w:tc>
      </w:tr>
      <w:tr w:rsidR="00283FF6" w:rsidRPr="007465AA" w:rsidTr="000369F4">
        <w:tc>
          <w:tcPr>
            <w:tcW w:w="1668" w:type="dxa"/>
            <w:vMerge/>
          </w:tcPr>
          <w:p w:rsidR="00283FF6" w:rsidRPr="007465AA" w:rsidRDefault="00283FF6" w:rsidP="000369F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Claridad</w:t>
            </w:r>
          </w:p>
        </w:tc>
        <w:tc>
          <w:tcPr>
            <w:tcW w:w="709" w:type="dxa"/>
            <w:vAlign w:val="center"/>
          </w:tcPr>
          <w:p w:rsidR="00283FF6" w:rsidRPr="009F76DB" w:rsidRDefault="00283FF6" w:rsidP="00EC5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</w:p>
        </w:tc>
      </w:tr>
      <w:tr w:rsidR="00283FF6" w:rsidRPr="007465AA" w:rsidTr="000369F4">
        <w:tc>
          <w:tcPr>
            <w:tcW w:w="1668" w:type="dxa"/>
            <w:vMerge/>
          </w:tcPr>
          <w:p w:rsidR="00283FF6" w:rsidRPr="007465AA" w:rsidRDefault="00283FF6" w:rsidP="000369F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283FF6" w:rsidRPr="009F76DB" w:rsidRDefault="00283FF6" w:rsidP="00EC5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</w:p>
        </w:tc>
      </w:tr>
      <w:tr w:rsidR="00283FF6" w:rsidRPr="007465AA" w:rsidTr="000369F4">
        <w:tc>
          <w:tcPr>
            <w:tcW w:w="1668" w:type="dxa"/>
            <w:vMerge/>
          </w:tcPr>
          <w:p w:rsidR="00283FF6" w:rsidRPr="007465AA" w:rsidRDefault="00283FF6" w:rsidP="000369F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283FF6" w:rsidRPr="009F76DB" w:rsidRDefault="00EF2A7B" w:rsidP="00EC50EA">
            <w:pPr>
              <w:jc w:val="center"/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X</w:t>
            </w:r>
          </w:p>
        </w:tc>
        <w:tc>
          <w:tcPr>
            <w:tcW w:w="2777" w:type="dxa"/>
          </w:tcPr>
          <w:p w:rsidR="00283FF6" w:rsidRPr="009F76DB" w:rsidRDefault="00EF2A7B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No fecha actualización</w:t>
            </w:r>
          </w:p>
        </w:tc>
      </w:tr>
      <w:tr w:rsidR="00283FF6" w:rsidRPr="007465AA" w:rsidTr="000369F4">
        <w:tc>
          <w:tcPr>
            <w:tcW w:w="7196" w:type="dxa"/>
            <w:gridSpan w:val="2"/>
          </w:tcPr>
          <w:p w:rsidR="00283FF6" w:rsidRPr="009F76DB" w:rsidRDefault="00283FF6" w:rsidP="000369F4">
            <w:pPr>
              <w:jc w:val="right"/>
              <w:rPr>
                <w:b/>
                <w:sz w:val="20"/>
                <w:szCs w:val="20"/>
              </w:rPr>
            </w:pPr>
            <w:r w:rsidRPr="009F76DB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283FF6" w:rsidRPr="009F76DB" w:rsidRDefault="00DE6183" w:rsidP="00036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777" w:type="dxa"/>
          </w:tcPr>
          <w:p w:rsidR="00283FF6" w:rsidRPr="009F76DB" w:rsidRDefault="00283FF6" w:rsidP="000369F4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EF2A7B" w:rsidP="00DF56A7">
      <w:pPr>
        <w:jc w:val="both"/>
      </w:pPr>
      <w:r>
        <w:t>El CE</w:t>
      </w:r>
      <w:r w:rsidR="00C52EE5">
        <w:t xml:space="preserve"> ha aplicado </w:t>
      </w:r>
      <w:r w:rsidR="00DE6183">
        <w:t>cinco</w:t>
      </w:r>
      <w:r w:rsidR="00C52EE5" w:rsidRPr="0076567C">
        <w:t xml:space="preserve"> de las </w:t>
      </w:r>
      <w:r w:rsidR="00DE6183">
        <w:t>nueve</w:t>
      </w:r>
      <w:r w:rsidR="00C50A64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C50A64">
        <w:t>1</w:t>
      </w:r>
      <w:r w:rsidR="00C52EE5">
        <w:t>.</w:t>
      </w:r>
    </w:p>
    <w:p w:rsidR="00362ACC" w:rsidRDefault="00362ACC" w:rsidP="00DF56A7">
      <w:pPr>
        <w:jc w:val="both"/>
      </w:pPr>
    </w:p>
    <w:p w:rsidR="00362ACC" w:rsidRDefault="00362ACC" w:rsidP="00DF56A7">
      <w:pPr>
        <w:jc w:val="both"/>
      </w:pP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F76DB" w:rsidRPr="00F31BC3" w:rsidRDefault="009F76D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9F76DB" w:rsidRPr="00F31BC3" w:rsidRDefault="009F76D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362ACC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434"/>
        <w:gridCol w:w="779"/>
        <w:gridCol w:w="779"/>
        <w:gridCol w:w="780"/>
        <w:gridCol w:w="780"/>
        <w:gridCol w:w="782"/>
        <w:gridCol w:w="782"/>
        <w:gridCol w:w="784"/>
        <w:gridCol w:w="782"/>
      </w:tblGrid>
      <w:tr w:rsidR="00EC50EA" w:rsidRPr="00EC50EA" w:rsidTr="00EC5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75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50EA" w:rsidRPr="00EC50EA" w:rsidRDefault="00EC50EA" w:rsidP="00EC50EA">
            <w:pPr>
              <w:spacing w:before="120" w:after="120" w:line="312" w:lineRule="auto"/>
              <w:ind w:lef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50EA" w:rsidRPr="00EC50EA" w:rsidRDefault="00EC50EA" w:rsidP="00EC50EA">
            <w:pPr>
              <w:spacing w:before="120" w:after="120" w:line="312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50EA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50EA" w:rsidRPr="00EC50EA" w:rsidRDefault="00EC50EA" w:rsidP="00EC50EA">
            <w:pPr>
              <w:spacing w:before="120" w:after="120" w:line="312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50EA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50EA" w:rsidRPr="00EC50EA" w:rsidRDefault="00EC50EA" w:rsidP="00EC50EA">
            <w:pPr>
              <w:spacing w:before="120" w:after="120" w:line="312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50EA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50EA" w:rsidRPr="00EC50EA" w:rsidRDefault="00EC50EA" w:rsidP="00EC50EA">
            <w:pPr>
              <w:spacing w:before="120" w:after="120" w:line="312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50EA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36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50EA" w:rsidRPr="00EC50EA" w:rsidRDefault="00EC50EA" w:rsidP="00EC50EA">
            <w:pPr>
              <w:spacing w:before="120" w:after="120" w:line="312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50EA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36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50EA" w:rsidRPr="00EC50EA" w:rsidRDefault="00EC50EA" w:rsidP="00EC50EA">
            <w:pPr>
              <w:spacing w:before="120" w:after="120" w:line="312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50EA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367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50EA" w:rsidRPr="00EC50EA" w:rsidRDefault="00EC50EA" w:rsidP="00EC50EA">
            <w:pPr>
              <w:spacing w:before="120" w:after="120" w:line="312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50EA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36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50EA" w:rsidRPr="00EC50EA" w:rsidRDefault="00EC50EA" w:rsidP="00EC50EA">
            <w:pPr>
              <w:spacing w:before="120" w:after="120" w:line="312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50EA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362ACC" w:rsidRPr="00EC50EA" w:rsidTr="00362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362ACC" w:rsidRPr="00EC50EA" w:rsidRDefault="00362ACC" w:rsidP="00EC50EA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EC50EA">
              <w:rPr>
                <w:rFonts w:eastAsia="Calibri" w:cs="Calibri"/>
                <w:sz w:val="16"/>
                <w:szCs w:val="16"/>
              </w:rPr>
              <w:t xml:space="preserve">Institucional y Organizativa </w:t>
            </w:r>
          </w:p>
        </w:tc>
        <w:tc>
          <w:tcPr>
            <w:tcW w:w="365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362ACC" w:rsidRPr="00362ACC" w:rsidRDefault="00362ACC" w:rsidP="00362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2ACC">
              <w:rPr>
                <w:sz w:val="18"/>
                <w:szCs w:val="18"/>
              </w:rPr>
              <w:t>85,7</w:t>
            </w:r>
          </w:p>
        </w:tc>
        <w:tc>
          <w:tcPr>
            <w:tcW w:w="365" w:type="pct"/>
            <w:noWrap/>
            <w:vAlign w:val="center"/>
          </w:tcPr>
          <w:p w:rsidR="00362ACC" w:rsidRPr="00362ACC" w:rsidRDefault="00362ACC" w:rsidP="00362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2ACC">
              <w:rPr>
                <w:sz w:val="18"/>
                <w:szCs w:val="18"/>
              </w:rPr>
              <w:t>85,7</w:t>
            </w:r>
          </w:p>
        </w:tc>
        <w:tc>
          <w:tcPr>
            <w:tcW w:w="365" w:type="pct"/>
            <w:noWrap/>
            <w:vAlign w:val="center"/>
          </w:tcPr>
          <w:p w:rsidR="00362ACC" w:rsidRPr="00362ACC" w:rsidRDefault="00362ACC" w:rsidP="00362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2ACC">
              <w:rPr>
                <w:sz w:val="18"/>
                <w:szCs w:val="18"/>
              </w:rPr>
              <w:t>85,7</w:t>
            </w:r>
          </w:p>
        </w:tc>
        <w:tc>
          <w:tcPr>
            <w:tcW w:w="365" w:type="pct"/>
            <w:noWrap/>
            <w:vAlign w:val="center"/>
          </w:tcPr>
          <w:p w:rsidR="00362ACC" w:rsidRPr="00362ACC" w:rsidRDefault="00362ACC" w:rsidP="00362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2ACC">
              <w:rPr>
                <w:sz w:val="18"/>
                <w:szCs w:val="18"/>
              </w:rPr>
              <w:t>85,7</w:t>
            </w:r>
          </w:p>
        </w:tc>
        <w:tc>
          <w:tcPr>
            <w:tcW w:w="366" w:type="pct"/>
            <w:noWrap/>
            <w:vAlign w:val="center"/>
          </w:tcPr>
          <w:p w:rsidR="00362ACC" w:rsidRPr="00362ACC" w:rsidRDefault="00362ACC" w:rsidP="00362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2ACC">
              <w:rPr>
                <w:sz w:val="18"/>
                <w:szCs w:val="18"/>
              </w:rPr>
              <w:t>85,7</w:t>
            </w:r>
          </w:p>
        </w:tc>
        <w:tc>
          <w:tcPr>
            <w:tcW w:w="366" w:type="pct"/>
            <w:noWrap/>
            <w:vAlign w:val="center"/>
          </w:tcPr>
          <w:p w:rsidR="00362ACC" w:rsidRPr="00362ACC" w:rsidRDefault="00362ACC" w:rsidP="00362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2ACC">
              <w:rPr>
                <w:sz w:val="18"/>
                <w:szCs w:val="18"/>
              </w:rPr>
              <w:t>71,4</w:t>
            </w:r>
          </w:p>
        </w:tc>
        <w:tc>
          <w:tcPr>
            <w:tcW w:w="367" w:type="pct"/>
            <w:noWrap/>
            <w:vAlign w:val="center"/>
          </w:tcPr>
          <w:p w:rsidR="00362ACC" w:rsidRPr="00362ACC" w:rsidRDefault="00362ACC" w:rsidP="00362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2ACC">
              <w:rPr>
                <w:sz w:val="18"/>
                <w:szCs w:val="18"/>
              </w:rPr>
              <w:t>35,7</w:t>
            </w:r>
          </w:p>
        </w:tc>
        <w:tc>
          <w:tcPr>
            <w:tcW w:w="366" w:type="pct"/>
            <w:noWrap/>
            <w:vAlign w:val="center"/>
          </w:tcPr>
          <w:p w:rsidR="00362ACC" w:rsidRPr="00362ACC" w:rsidRDefault="00362ACC" w:rsidP="00362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2ACC">
              <w:rPr>
                <w:sz w:val="18"/>
                <w:szCs w:val="18"/>
              </w:rPr>
              <w:t>76,5</w:t>
            </w:r>
          </w:p>
        </w:tc>
      </w:tr>
      <w:tr w:rsidR="00362ACC" w:rsidRPr="00EC50EA" w:rsidTr="00362ACC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62ACC" w:rsidRPr="00EC50EA" w:rsidRDefault="00362ACC" w:rsidP="00EC50EA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EC50EA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65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362ACC" w:rsidRPr="00362ACC" w:rsidRDefault="00362ACC" w:rsidP="00362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2ACC">
              <w:rPr>
                <w:sz w:val="18"/>
                <w:szCs w:val="18"/>
              </w:rPr>
              <w:t>87,1</w:t>
            </w:r>
          </w:p>
        </w:tc>
        <w:tc>
          <w:tcPr>
            <w:tcW w:w="365" w:type="pct"/>
            <w:noWrap/>
            <w:vAlign w:val="center"/>
          </w:tcPr>
          <w:p w:rsidR="00362ACC" w:rsidRPr="00362ACC" w:rsidRDefault="00362ACC" w:rsidP="00362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2ACC">
              <w:rPr>
                <w:sz w:val="18"/>
                <w:szCs w:val="18"/>
              </w:rPr>
              <w:t>90,0</w:t>
            </w:r>
          </w:p>
        </w:tc>
        <w:tc>
          <w:tcPr>
            <w:tcW w:w="365" w:type="pct"/>
            <w:noWrap/>
            <w:vAlign w:val="center"/>
          </w:tcPr>
          <w:p w:rsidR="00362ACC" w:rsidRPr="00362ACC" w:rsidRDefault="00362ACC" w:rsidP="00362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2ACC">
              <w:rPr>
                <w:sz w:val="18"/>
                <w:szCs w:val="18"/>
              </w:rPr>
              <w:t>90,0</w:t>
            </w:r>
          </w:p>
        </w:tc>
        <w:tc>
          <w:tcPr>
            <w:tcW w:w="365" w:type="pct"/>
            <w:noWrap/>
            <w:vAlign w:val="center"/>
          </w:tcPr>
          <w:p w:rsidR="00362ACC" w:rsidRPr="00362ACC" w:rsidRDefault="00362ACC" w:rsidP="00362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2ACC">
              <w:rPr>
                <w:sz w:val="18"/>
                <w:szCs w:val="18"/>
              </w:rPr>
              <w:t>90,0</w:t>
            </w:r>
          </w:p>
        </w:tc>
        <w:tc>
          <w:tcPr>
            <w:tcW w:w="366" w:type="pct"/>
            <w:noWrap/>
            <w:vAlign w:val="center"/>
          </w:tcPr>
          <w:p w:rsidR="00362ACC" w:rsidRPr="00362ACC" w:rsidRDefault="00362ACC" w:rsidP="00362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2ACC">
              <w:rPr>
                <w:sz w:val="18"/>
                <w:szCs w:val="18"/>
              </w:rPr>
              <w:t>90,0</w:t>
            </w:r>
          </w:p>
        </w:tc>
        <w:tc>
          <w:tcPr>
            <w:tcW w:w="366" w:type="pct"/>
            <w:noWrap/>
            <w:vAlign w:val="center"/>
          </w:tcPr>
          <w:p w:rsidR="00362ACC" w:rsidRPr="00362ACC" w:rsidRDefault="00362ACC" w:rsidP="00362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2ACC">
              <w:rPr>
                <w:sz w:val="18"/>
                <w:szCs w:val="18"/>
              </w:rPr>
              <w:t>90,0</w:t>
            </w:r>
          </w:p>
        </w:tc>
        <w:tc>
          <w:tcPr>
            <w:tcW w:w="367" w:type="pct"/>
            <w:noWrap/>
            <w:vAlign w:val="center"/>
          </w:tcPr>
          <w:p w:rsidR="00362ACC" w:rsidRPr="00362ACC" w:rsidRDefault="00362ACC" w:rsidP="00362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2ACC">
              <w:rPr>
                <w:sz w:val="18"/>
                <w:szCs w:val="18"/>
              </w:rPr>
              <w:t>90,0</w:t>
            </w:r>
          </w:p>
        </w:tc>
        <w:tc>
          <w:tcPr>
            <w:tcW w:w="366" w:type="pct"/>
            <w:noWrap/>
            <w:vAlign w:val="center"/>
          </w:tcPr>
          <w:p w:rsidR="00362ACC" w:rsidRPr="00362ACC" w:rsidRDefault="00362ACC" w:rsidP="00362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2ACC">
              <w:rPr>
                <w:sz w:val="18"/>
                <w:szCs w:val="18"/>
              </w:rPr>
              <w:t>89,6</w:t>
            </w:r>
          </w:p>
        </w:tc>
      </w:tr>
      <w:tr w:rsidR="00362ACC" w:rsidRPr="00EC50EA" w:rsidTr="00362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362ACC" w:rsidRPr="00EC50EA" w:rsidRDefault="00362ACC" w:rsidP="00EC50EA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EC50EA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65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362ACC" w:rsidRPr="00362ACC" w:rsidRDefault="00362ACC" w:rsidP="00362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362ACC">
              <w:rPr>
                <w:b/>
                <w:i/>
                <w:sz w:val="18"/>
                <w:szCs w:val="18"/>
              </w:rPr>
              <w:t>86,6</w:t>
            </w:r>
          </w:p>
        </w:tc>
        <w:tc>
          <w:tcPr>
            <w:tcW w:w="365" w:type="pct"/>
            <w:noWrap/>
            <w:vAlign w:val="center"/>
          </w:tcPr>
          <w:p w:rsidR="00362ACC" w:rsidRPr="00362ACC" w:rsidRDefault="00362ACC" w:rsidP="00362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362ACC">
              <w:rPr>
                <w:b/>
                <w:i/>
                <w:sz w:val="18"/>
                <w:szCs w:val="18"/>
              </w:rPr>
              <w:t>88,2</w:t>
            </w:r>
          </w:p>
        </w:tc>
        <w:tc>
          <w:tcPr>
            <w:tcW w:w="365" w:type="pct"/>
            <w:noWrap/>
            <w:vAlign w:val="center"/>
          </w:tcPr>
          <w:p w:rsidR="00362ACC" w:rsidRPr="00362ACC" w:rsidRDefault="00362ACC" w:rsidP="00362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362ACC">
              <w:rPr>
                <w:b/>
                <w:i/>
                <w:sz w:val="18"/>
                <w:szCs w:val="18"/>
              </w:rPr>
              <w:t>88,2</w:t>
            </w:r>
          </w:p>
        </w:tc>
        <w:tc>
          <w:tcPr>
            <w:tcW w:w="365" w:type="pct"/>
            <w:noWrap/>
            <w:vAlign w:val="center"/>
          </w:tcPr>
          <w:p w:rsidR="00362ACC" w:rsidRPr="00362ACC" w:rsidRDefault="00362ACC" w:rsidP="00362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362ACC">
              <w:rPr>
                <w:b/>
                <w:i/>
                <w:sz w:val="18"/>
                <w:szCs w:val="18"/>
              </w:rPr>
              <w:t>88,2</w:t>
            </w:r>
          </w:p>
        </w:tc>
        <w:tc>
          <w:tcPr>
            <w:tcW w:w="366" w:type="pct"/>
            <w:noWrap/>
            <w:vAlign w:val="center"/>
          </w:tcPr>
          <w:p w:rsidR="00362ACC" w:rsidRPr="00362ACC" w:rsidRDefault="00362ACC" w:rsidP="00362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362ACC">
              <w:rPr>
                <w:b/>
                <w:i/>
                <w:sz w:val="18"/>
                <w:szCs w:val="18"/>
              </w:rPr>
              <w:t>88,2</w:t>
            </w:r>
          </w:p>
        </w:tc>
        <w:tc>
          <w:tcPr>
            <w:tcW w:w="366" w:type="pct"/>
            <w:noWrap/>
            <w:vAlign w:val="center"/>
          </w:tcPr>
          <w:p w:rsidR="00362ACC" w:rsidRPr="00362ACC" w:rsidRDefault="00362ACC" w:rsidP="00362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362ACC">
              <w:rPr>
                <w:b/>
                <w:i/>
                <w:sz w:val="18"/>
                <w:szCs w:val="18"/>
              </w:rPr>
              <w:t>82,4</w:t>
            </w:r>
          </w:p>
        </w:tc>
        <w:tc>
          <w:tcPr>
            <w:tcW w:w="367" w:type="pct"/>
            <w:noWrap/>
            <w:vAlign w:val="center"/>
          </w:tcPr>
          <w:p w:rsidR="00362ACC" w:rsidRPr="00362ACC" w:rsidRDefault="00362ACC" w:rsidP="00362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362ACC">
              <w:rPr>
                <w:b/>
                <w:i/>
                <w:sz w:val="18"/>
                <w:szCs w:val="18"/>
              </w:rPr>
              <w:t>67,6</w:t>
            </w:r>
          </w:p>
        </w:tc>
        <w:tc>
          <w:tcPr>
            <w:tcW w:w="366" w:type="pct"/>
            <w:noWrap/>
            <w:vAlign w:val="center"/>
          </w:tcPr>
          <w:p w:rsidR="00362ACC" w:rsidRPr="00362ACC" w:rsidRDefault="00362ACC" w:rsidP="00362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362ACC">
              <w:rPr>
                <w:b/>
                <w:i/>
                <w:sz w:val="18"/>
                <w:szCs w:val="18"/>
              </w:rPr>
              <w:t>84,2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362ACC">
        <w:rPr>
          <w:lang w:bidi="es-ES"/>
        </w:rPr>
        <w:t>84,2</w:t>
      </w:r>
      <w:r>
        <w:rPr>
          <w:lang w:bidi="es-ES"/>
        </w:rPr>
        <w:t>%.</w:t>
      </w:r>
      <w:r w:rsidR="00DE6183">
        <w:rPr>
          <w:lang w:bidi="es-ES"/>
        </w:rPr>
        <w:t xml:space="preserve"> Respecto de 2021 </w:t>
      </w:r>
      <w:r w:rsidR="00BB3652">
        <w:rPr>
          <w:lang w:bidi="es-ES"/>
        </w:rPr>
        <w:t xml:space="preserve">se produce un incremento de </w:t>
      </w:r>
      <w:r w:rsidR="00362ACC">
        <w:rPr>
          <w:lang w:bidi="es-ES"/>
        </w:rPr>
        <w:t>12,3</w:t>
      </w:r>
      <w:r w:rsidR="00DE6183">
        <w:rPr>
          <w:lang w:bidi="es-ES"/>
        </w:rPr>
        <w:t xml:space="preserve"> 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362ACC">
        <w:rPr>
          <w:lang w:bidi="es-ES"/>
        </w:rPr>
        <w:t>muchas</w:t>
      </w:r>
      <w:r w:rsidR="0076567C">
        <w:rPr>
          <w:lang w:bidi="es-ES"/>
        </w:rPr>
        <w:t xml:space="preserve"> de las recomendaciones efectuadas en 202</w:t>
      </w:r>
      <w:r w:rsidR="00DE6183">
        <w:rPr>
          <w:lang w:bidi="es-ES"/>
        </w:rPr>
        <w:t>1</w:t>
      </w:r>
      <w:r w:rsidR="00BB3652">
        <w:rPr>
          <w:lang w:bidi="es-ES"/>
        </w:rPr>
        <w:t>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Pr="005008E6" w:rsidRDefault="00BB3652" w:rsidP="00BB3652">
      <w:pPr>
        <w:pStyle w:val="Cuerpodelboletn"/>
      </w:pPr>
      <w:r w:rsidRPr="005008E6">
        <w:t xml:space="preserve">Este CTBG </w:t>
      </w:r>
      <w:r w:rsidRPr="005008E6">
        <w:rPr>
          <w:b/>
        </w:rPr>
        <w:t>valora</w:t>
      </w:r>
      <w:r w:rsidR="005008E6">
        <w:rPr>
          <w:b/>
        </w:rPr>
        <w:t xml:space="preserve"> muy</w:t>
      </w:r>
      <w:r w:rsidRPr="005008E6">
        <w:rPr>
          <w:b/>
        </w:rPr>
        <w:t xml:space="preserve"> </w:t>
      </w:r>
      <w:r w:rsidR="005008E6">
        <w:rPr>
          <w:b/>
        </w:rPr>
        <w:t>positivamente</w:t>
      </w:r>
      <w:r w:rsidRPr="005008E6">
        <w:t xml:space="preserve"> la evolución del cumplimiento de las obligaciones de publicidad activa por parte de</w:t>
      </w:r>
      <w:r w:rsidR="005008E6">
        <w:t>l Consejo de Estado</w:t>
      </w:r>
      <w:r w:rsidRPr="005008E6">
        <w:t xml:space="preserve">. </w:t>
      </w:r>
      <w:r w:rsidR="005008E6">
        <w:t>Se</w:t>
      </w:r>
      <w:r w:rsidRPr="005008E6">
        <w:t xml:space="preserve"> ha aplicado </w:t>
      </w:r>
      <w:r w:rsidR="005008E6">
        <w:t>más de la mitad</w:t>
      </w:r>
      <w:r w:rsidRPr="005008E6">
        <w:t xml:space="preserve"> de las recomendaciones efectuadas como consecuencia de la evaluación realizada en 202</w:t>
      </w:r>
      <w:r w:rsidR="005008E6">
        <w:t>1</w:t>
      </w:r>
      <w:r w:rsidRPr="005008E6">
        <w:t>.</w:t>
      </w:r>
    </w:p>
    <w:p w:rsidR="004061BC" w:rsidRDefault="005008E6" w:rsidP="00A670E9">
      <w:pPr>
        <w:pStyle w:val="Cuerpodelboletn"/>
      </w:pPr>
      <w:r>
        <w:t>No obstante persisten algunos de los déficits evidenciados en esa evaluación</w:t>
      </w:r>
      <w:r w:rsidR="00A670E9">
        <w:t xml:space="preserve">: </w:t>
      </w:r>
    </w:p>
    <w:p w:rsidR="00A670E9" w:rsidRDefault="005008E6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76567C">
        <w:rPr>
          <w:rFonts w:ascii="Century Gothic" w:hAnsi="Century Gothic"/>
        </w:rPr>
        <w:t xml:space="preserve">ontinúa publicándose la información </w:t>
      </w:r>
      <w:r>
        <w:rPr>
          <w:rFonts w:ascii="Century Gothic" w:hAnsi="Century Gothic"/>
        </w:rPr>
        <w:t>sobre perfil y trayectoria profesional de los máximos responsables</w:t>
      </w:r>
      <w:r w:rsidR="0076567C">
        <w:rPr>
          <w:rFonts w:ascii="Century Gothic" w:hAnsi="Century Gothic"/>
        </w:rPr>
        <w:t xml:space="preserve"> al margen del Portal de Transparencia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  <w:r w:rsidR="005008E6">
        <w:rPr>
          <w:rFonts w:ascii="Century Gothic" w:hAnsi="Century Gothic"/>
        </w:rPr>
        <w:t>el Registro de Actividades de Tratamiento</w:t>
      </w:r>
      <w:r>
        <w:rPr>
          <w:rFonts w:ascii="Century Gothic" w:hAnsi="Century Gothic"/>
        </w:rPr>
        <w:t xml:space="preserve">.  </w:t>
      </w:r>
    </w:p>
    <w:p w:rsidR="004D4B3E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económica no se publica información sobre </w:t>
      </w:r>
      <w:r w:rsidR="005008E6">
        <w:rPr>
          <w:rFonts w:ascii="Century Gothic" w:hAnsi="Century Gothic"/>
        </w:rPr>
        <w:t xml:space="preserve">las modificaciones de </w:t>
      </w:r>
      <w:r>
        <w:rPr>
          <w:rFonts w:ascii="Century Gothic" w:hAnsi="Century Gothic"/>
        </w:rPr>
        <w:t>los contratos adjudicados.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D4B3E" w:rsidRDefault="000F0DA5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362ACC">
        <w:rPr>
          <w:rFonts w:ascii="Century Gothic" w:hAnsi="Century Gothic"/>
        </w:rPr>
        <w:t>Respecto del cumplimiento de los</w:t>
      </w:r>
      <w:r w:rsidR="00C52EE5" w:rsidRPr="00362ACC">
        <w:rPr>
          <w:rFonts w:ascii="Century Gothic" w:hAnsi="Century Gothic"/>
        </w:rPr>
        <w:t xml:space="preserve"> </w:t>
      </w:r>
      <w:r w:rsidRPr="00362ACC">
        <w:rPr>
          <w:rFonts w:ascii="Century Gothic" w:hAnsi="Century Gothic"/>
        </w:rPr>
        <w:t xml:space="preserve">criterios de calidad en la publicación de la información, </w:t>
      </w:r>
      <w:r w:rsidR="0076567C" w:rsidRPr="00362ACC">
        <w:rPr>
          <w:rFonts w:ascii="Century Gothic" w:hAnsi="Century Gothic"/>
        </w:rPr>
        <w:t xml:space="preserve">parte de la información no está datada y </w:t>
      </w:r>
      <w:r w:rsidRPr="00362ACC">
        <w:rPr>
          <w:rFonts w:ascii="Century Gothic" w:hAnsi="Century Gothic"/>
        </w:rPr>
        <w:t xml:space="preserve">sigue sin publicarse </w:t>
      </w:r>
      <w:r w:rsidR="004D4B3E" w:rsidRPr="00362ACC">
        <w:rPr>
          <w:rFonts w:ascii="Century Gothic" w:hAnsi="Century Gothic"/>
        </w:rPr>
        <w:t xml:space="preserve">la fecha </w:t>
      </w:r>
      <w:r w:rsidRPr="00362ACC">
        <w:rPr>
          <w:rFonts w:ascii="Century Gothic" w:hAnsi="Century Gothic"/>
        </w:rPr>
        <w:t xml:space="preserve">en </w:t>
      </w:r>
      <w:r w:rsidR="004D4B3E" w:rsidRPr="00362ACC">
        <w:rPr>
          <w:rFonts w:ascii="Century Gothic" w:hAnsi="Century Gothic"/>
        </w:rPr>
        <w:t xml:space="preserve">que se revisó o actualizó por última vez </w:t>
      </w:r>
      <w:r w:rsidR="00CC3B31" w:rsidRPr="00362ACC">
        <w:rPr>
          <w:rFonts w:ascii="Century Gothic" w:hAnsi="Century Gothic"/>
        </w:rPr>
        <w:t>la información obligatoria publicada en el Portal de Transparencia.</w:t>
      </w:r>
      <w:r w:rsidR="005008E6" w:rsidRPr="00362ACC">
        <w:rPr>
          <w:rFonts w:ascii="Century Gothic" w:hAnsi="Century Gothic"/>
        </w:rPr>
        <w:t xml:space="preserve"> </w:t>
      </w:r>
    </w:p>
    <w:p w:rsidR="00362ACC" w:rsidRPr="00362ACC" w:rsidRDefault="00362ACC" w:rsidP="00362ACC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E17DF6" w:rsidRDefault="004061BC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362ACC">
        <w:rPr>
          <w:rFonts w:ascii="Century Gothic" w:hAnsi="Century Gothic"/>
        </w:rPr>
        <w:t>marzo</w:t>
      </w:r>
      <w:r>
        <w:rPr>
          <w:rFonts w:ascii="Century Gothic" w:hAnsi="Century Gothic"/>
        </w:rPr>
        <w:t xml:space="preserve"> de 202</w:t>
      </w:r>
      <w:r w:rsidR="005008E6">
        <w:rPr>
          <w:rFonts w:ascii="Century Gothic" w:hAnsi="Century Gothic"/>
        </w:rPr>
        <w:t>2</w:t>
      </w:r>
      <w:bookmarkStart w:id="0" w:name="_GoBack"/>
      <w:bookmarkEnd w:id="0"/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F76DB" w:rsidRPr="00F31BC3" w:rsidRDefault="009F76D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9F76DB" w:rsidRPr="00F31BC3" w:rsidRDefault="009F76D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9F76DB" w:rsidRPr="00F31BC3" w:rsidRDefault="009F76DB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9F76DB" w:rsidRPr="00F31BC3" w:rsidRDefault="009F76DB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DB" w:rsidRDefault="009F76DB" w:rsidP="00F31BC3">
      <w:r>
        <w:separator/>
      </w:r>
    </w:p>
  </w:endnote>
  <w:endnote w:type="continuationSeparator" w:id="0">
    <w:p w:rsidR="009F76DB" w:rsidRDefault="009F76D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DB" w:rsidRDefault="009F76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DB" w:rsidRDefault="009F76D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DB" w:rsidRDefault="009F76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DB" w:rsidRDefault="009F76DB" w:rsidP="00F31BC3">
      <w:r>
        <w:separator/>
      </w:r>
    </w:p>
  </w:footnote>
  <w:footnote w:type="continuationSeparator" w:id="0">
    <w:p w:rsidR="009F76DB" w:rsidRDefault="009F76DB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DB" w:rsidRDefault="009F76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DB" w:rsidRDefault="009F76D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DB" w:rsidRDefault="009F76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27D73"/>
    <w:rsid w:val="00032D8A"/>
    <w:rsid w:val="000369F4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83FF6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62ACC"/>
    <w:rsid w:val="00393F48"/>
    <w:rsid w:val="003A1694"/>
    <w:rsid w:val="003A390C"/>
    <w:rsid w:val="003A70E0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08E6"/>
    <w:rsid w:val="00506864"/>
    <w:rsid w:val="00521C69"/>
    <w:rsid w:val="005301DF"/>
    <w:rsid w:val="00536832"/>
    <w:rsid w:val="00540929"/>
    <w:rsid w:val="005549DE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6F06D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C6BAE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26AD9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76DB"/>
    <w:rsid w:val="00A03993"/>
    <w:rsid w:val="00A05F57"/>
    <w:rsid w:val="00A0626F"/>
    <w:rsid w:val="00A06BF1"/>
    <w:rsid w:val="00A10B8C"/>
    <w:rsid w:val="00A1361E"/>
    <w:rsid w:val="00A249BB"/>
    <w:rsid w:val="00A24E51"/>
    <w:rsid w:val="00A41C0E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0A64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E6183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50EA"/>
    <w:rsid w:val="00EC6A3E"/>
    <w:rsid w:val="00ED30F1"/>
    <w:rsid w:val="00ED57F6"/>
    <w:rsid w:val="00ED6104"/>
    <w:rsid w:val="00ED7D79"/>
    <w:rsid w:val="00EE5F85"/>
    <w:rsid w:val="00EF2A7B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63D88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EC50E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EC50E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85FEA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CD61E3"/>
    <w:rsid w:val="00DA008C"/>
    <w:rsid w:val="00DE3DE6"/>
    <w:rsid w:val="00EA0738"/>
    <w:rsid w:val="00EB2177"/>
    <w:rsid w:val="00EF5732"/>
    <w:rsid w:val="00F0267E"/>
    <w:rsid w:val="00F8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465DC4-A65B-40AD-839B-CC802F26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</TotalTime>
  <Pages>4</Pages>
  <Words>776</Words>
  <Characters>4269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cp:lastPrinted>2008-09-26T23:14:00Z</cp:lastPrinted>
  <dcterms:created xsi:type="dcterms:W3CDTF">2022-03-08T09:23:00Z</dcterms:created>
  <dcterms:modified xsi:type="dcterms:W3CDTF">2022-03-08T09:23:00Z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