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6DB" w:rsidRDefault="0020277D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9F76D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9F76DB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9F76DB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 Consejo de Estado</w:t>
                                </w:r>
                              </w:sdtContent>
                            </w:sdt>
                            <w:r w:rsidR="009F76DB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9F76DB" w:rsidRDefault="0020277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9F76D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9F76DB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9F76DB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 Consejo de Estado</w:t>
                          </w:r>
                        </w:sdtContent>
                      </w:sdt>
                      <w:r w:rsidR="009F76DB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F76DB" w:rsidRDefault="009F76DB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9F76DB" w:rsidRDefault="009F76DB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20277D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283FF6" w:rsidRPr="007465AA" w:rsidTr="000369F4">
        <w:tc>
          <w:tcPr>
            <w:tcW w:w="1668" w:type="dxa"/>
            <w:shd w:val="clear" w:color="auto" w:fill="008A3E"/>
          </w:tcPr>
          <w:p w:rsidR="00283FF6" w:rsidRPr="007465AA" w:rsidRDefault="00283FF6" w:rsidP="000369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283FF6" w:rsidRPr="007465AA" w:rsidRDefault="00283FF6" w:rsidP="000369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283FF6" w:rsidRPr="007465AA" w:rsidRDefault="00283FF6" w:rsidP="000369F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283FF6" w:rsidRPr="007465AA" w:rsidTr="000369F4">
        <w:tc>
          <w:tcPr>
            <w:tcW w:w="1668" w:type="dxa"/>
            <w:vMerge w:val="restart"/>
            <w:vAlign w:val="center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9F76DB">
              <w:rPr>
                <w:sz w:val="20"/>
                <w:szCs w:val="20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3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369F4">
            <w:pPr>
              <w:rPr>
                <w:sz w:val="18"/>
                <w:szCs w:val="18"/>
              </w:rPr>
            </w:pPr>
          </w:p>
        </w:tc>
      </w:tr>
      <w:tr w:rsidR="00283FF6" w:rsidRPr="007465AA" w:rsidTr="000369F4">
        <w:tc>
          <w:tcPr>
            <w:tcW w:w="1668" w:type="dxa"/>
            <w:vMerge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3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369F4">
            <w:pPr>
              <w:rPr>
                <w:sz w:val="18"/>
                <w:szCs w:val="18"/>
              </w:rPr>
            </w:pPr>
          </w:p>
        </w:tc>
      </w:tr>
      <w:tr w:rsidR="00283FF6" w:rsidRPr="007465AA" w:rsidTr="000369F4">
        <w:tc>
          <w:tcPr>
            <w:tcW w:w="1668" w:type="dxa"/>
            <w:vMerge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3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369F4">
            <w:pPr>
              <w:rPr>
                <w:sz w:val="18"/>
                <w:szCs w:val="18"/>
              </w:rPr>
            </w:pPr>
          </w:p>
        </w:tc>
      </w:tr>
      <w:tr w:rsidR="00283FF6" w:rsidRPr="007465AA" w:rsidTr="000369F4">
        <w:tc>
          <w:tcPr>
            <w:tcW w:w="1668" w:type="dxa"/>
            <w:vMerge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A41C0E" w:rsidP="00EC50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9F76DB" w:rsidRDefault="00A41C0E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No, no se enlaza a la identificación y perfil y trayectoria profesional de los máximos responsables que se localiza en el acceso organización de la web institucional.</w:t>
            </w:r>
          </w:p>
        </w:tc>
      </w:tr>
      <w:tr w:rsidR="000369F4" w:rsidRPr="007465AA" w:rsidTr="000369F4">
        <w:tc>
          <w:tcPr>
            <w:tcW w:w="1668" w:type="dxa"/>
            <w:vMerge w:val="restart"/>
            <w:vAlign w:val="center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Publicación de Contenidos</w:t>
            </w:r>
          </w:p>
        </w:tc>
        <w:tc>
          <w:tcPr>
            <w:tcW w:w="5528" w:type="dxa"/>
          </w:tcPr>
          <w:p w:rsidR="000369F4" w:rsidRPr="000369F4" w:rsidRDefault="000369F4" w:rsidP="000369F4">
            <w:pPr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0369F4" w:rsidRPr="000369F4" w:rsidRDefault="000369F4" w:rsidP="00EC50EA">
            <w:pPr>
              <w:jc w:val="center"/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X</w:t>
            </w:r>
          </w:p>
        </w:tc>
        <w:tc>
          <w:tcPr>
            <w:tcW w:w="2777" w:type="dxa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No</w:t>
            </w:r>
          </w:p>
        </w:tc>
      </w:tr>
      <w:tr w:rsidR="000369F4" w:rsidRPr="007465AA" w:rsidTr="000369F4">
        <w:tc>
          <w:tcPr>
            <w:tcW w:w="1668" w:type="dxa"/>
            <w:vMerge/>
            <w:vAlign w:val="center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369F4" w:rsidRPr="000369F4" w:rsidRDefault="000369F4" w:rsidP="000369F4">
            <w:pPr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0369F4" w:rsidRPr="000369F4" w:rsidRDefault="000369F4" w:rsidP="00EC50EA">
            <w:pPr>
              <w:jc w:val="center"/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X</w:t>
            </w:r>
          </w:p>
        </w:tc>
        <w:tc>
          <w:tcPr>
            <w:tcW w:w="2777" w:type="dxa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  <w:proofErr w:type="spellStart"/>
            <w:r w:rsidRPr="009F76DB">
              <w:rPr>
                <w:sz w:val="20"/>
                <w:szCs w:val="20"/>
              </w:rPr>
              <w:t>Si</w:t>
            </w:r>
            <w:proofErr w:type="spellEnd"/>
            <w:r w:rsidRPr="009F76DB">
              <w:rPr>
                <w:sz w:val="20"/>
                <w:szCs w:val="20"/>
              </w:rPr>
              <w:t>. Presidenta y Consejeros Permanentes</w:t>
            </w:r>
          </w:p>
        </w:tc>
      </w:tr>
      <w:tr w:rsidR="000369F4" w:rsidRPr="007465AA" w:rsidTr="000369F4">
        <w:tc>
          <w:tcPr>
            <w:tcW w:w="1668" w:type="dxa"/>
            <w:vMerge/>
            <w:vAlign w:val="center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369F4" w:rsidRPr="000369F4" w:rsidRDefault="000369F4" w:rsidP="000369F4">
            <w:pPr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 xml:space="preserve">Modificaciones de contratos </w:t>
            </w:r>
          </w:p>
        </w:tc>
        <w:tc>
          <w:tcPr>
            <w:tcW w:w="709" w:type="dxa"/>
          </w:tcPr>
          <w:p w:rsidR="000369F4" w:rsidRPr="000369F4" w:rsidRDefault="000369F4" w:rsidP="00EC50EA">
            <w:pPr>
              <w:jc w:val="center"/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X</w:t>
            </w:r>
          </w:p>
        </w:tc>
        <w:tc>
          <w:tcPr>
            <w:tcW w:w="2777" w:type="dxa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No aparecen modificaciones</w:t>
            </w:r>
          </w:p>
        </w:tc>
      </w:tr>
      <w:tr w:rsidR="000369F4" w:rsidRPr="007465AA" w:rsidTr="00283FF6">
        <w:trPr>
          <w:trHeight w:val="229"/>
        </w:trPr>
        <w:tc>
          <w:tcPr>
            <w:tcW w:w="1668" w:type="dxa"/>
            <w:vMerge/>
            <w:vAlign w:val="center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369F4" w:rsidRPr="000369F4" w:rsidRDefault="000369F4" w:rsidP="000369F4">
            <w:pPr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Datos estadísticos sobre contratos</w:t>
            </w:r>
            <w:r w:rsidR="00EC50EA">
              <w:rPr>
                <w:sz w:val="20"/>
                <w:szCs w:val="20"/>
              </w:rPr>
              <w:t>: actualización</w:t>
            </w:r>
          </w:p>
        </w:tc>
        <w:tc>
          <w:tcPr>
            <w:tcW w:w="709" w:type="dxa"/>
          </w:tcPr>
          <w:p w:rsidR="000369F4" w:rsidRPr="000369F4" w:rsidRDefault="000369F4" w:rsidP="00EC50EA">
            <w:pPr>
              <w:jc w:val="center"/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X</w:t>
            </w:r>
          </w:p>
        </w:tc>
        <w:tc>
          <w:tcPr>
            <w:tcW w:w="2777" w:type="dxa"/>
          </w:tcPr>
          <w:p w:rsidR="000369F4" w:rsidRPr="009F76DB" w:rsidRDefault="00A41C0E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Si, aunque la información está referida a 2020</w:t>
            </w:r>
          </w:p>
        </w:tc>
      </w:tr>
      <w:tr w:rsidR="000369F4" w:rsidRPr="007465AA" w:rsidTr="000369F4">
        <w:tc>
          <w:tcPr>
            <w:tcW w:w="1668" w:type="dxa"/>
            <w:vMerge/>
            <w:vAlign w:val="center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369F4" w:rsidRPr="000369F4" w:rsidRDefault="000369F4" w:rsidP="000369F4">
            <w:pPr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Convenios</w:t>
            </w:r>
            <w:r w:rsidR="00EC50EA">
              <w:rPr>
                <w:sz w:val="20"/>
                <w:szCs w:val="20"/>
              </w:rPr>
              <w:t>: actualización</w:t>
            </w:r>
          </w:p>
        </w:tc>
        <w:tc>
          <w:tcPr>
            <w:tcW w:w="709" w:type="dxa"/>
          </w:tcPr>
          <w:p w:rsidR="000369F4" w:rsidRPr="000369F4" w:rsidRDefault="000369F4" w:rsidP="00EC50EA">
            <w:pPr>
              <w:jc w:val="center"/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X</w:t>
            </w:r>
          </w:p>
        </w:tc>
        <w:tc>
          <w:tcPr>
            <w:tcW w:w="2777" w:type="dxa"/>
          </w:tcPr>
          <w:p w:rsidR="000369F4" w:rsidRPr="009F76DB" w:rsidRDefault="00A41C0E" w:rsidP="00A41C0E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Si, aunque la información se refiere a 2020</w:t>
            </w:r>
            <w:r w:rsidR="009F76DB">
              <w:rPr>
                <w:sz w:val="20"/>
                <w:szCs w:val="20"/>
              </w:rPr>
              <w:t>. El fichero correspondiente al tercer trimestre de 2021 no contiene información.</w:t>
            </w:r>
            <w:r w:rsidRPr="009F76DB">
              <w:rPr>
                <w:sz w:val="20"/>
                <w:szCs w:val="20"/>
              </w:rPr>
              <w:t xml:space="preserve"> </w:t>
            </w:r>
          </w:p>
        </w:tc>
      </w:tr>
      <w:tr w:rsidR="000369F4" w:rsidRPr="007465AA" w:rsidTr="000369F4">
        <w:tc>
          <w:tcPr>
            <w:tcW w:w="1668" w:type="dxa"/>
            <w:vMerge/>
            <w:vAlign w:val="center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369F4" w:rsidRPr="000369F4" w:rsidRDefault="000369F4" w:rsidP="000369F4">
            <w:pPr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Presupuesto</w:t>
            </w:r>
            <w:r w:rsidR="00EC50EA">
              <w:rPr>
                <w:sz w:val="20"/>
                <w:szCs w:val="20"/>
              </w:rPr>
              <w:t>: actualización</w:t>
            </w:r>
          </w:p>
        </w:tc>
        <w:tc>
          <w:tcPr>
            <w:tcW w:w="709" w:type="dxa"/>
          </w:tcPr>
          <w:p w:rsidR="000369F4" w:rsidRPr="000369F4" w:rsidRDefault="000369F4" w:rsidP="00EC50EA">
            <w:pPr>
              <w:jc w:val="center"/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X</w:t>
            </w:r>
          </w:p>
        </w:tc>
        <w:tc>
          <w:tcPr>
            <w:tcW w:w="2777" w:type="dxa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Si</w:t>
            </w:r>
          </w:p>
        </w:tc>
      </w:tr>
      <w:tr w:rsidR="000369F4" w:rsidRPr="007465AA" w:rsidTr="000369F4">
        <w:tc>
          <w:tcPr>
            <w:tcW w:w="1668" w:type="dxa"/>
            <w:vMerge/>
            <w:vAlign w:val="center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0369F4" w:rsidRPr="000369F4" w:rsidRDefault="000369F4" w:rsidP="000369F4">
            <w:pPr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Retribuciones de los máximos responsables</w:t>
            </w:r>
            <w:r w:rsidR="00EC50EA">
              <w:rPr>
                <w:sz w:val="20"/>
                <w:szCs w:val="20"/>
              </w:rPr>
              <w:t>: actualización</w:t>
            </w:r>
          </w:p>
        </w:tc>
        <w:tc>
          <w:tcPr>
            <w:tcW w:w="709" w:type="dxa"/>
          </w:tcPr>
          <w:p w:rsidR="000369F4" w:rsidRPr="000369F4" w:rsidRDefault="000369F4" w:rsidP="00EC50EA">
            <w:pPr>
              <w:jc w:val="center"/>
              <w:rPr>
                <w:sz w:val="20"/>
                <w:szCs w:val="20"/>
              </w:rPr>
            </w:pPr>
            <w:r w:rsidRPr="000369F4">
              <w:rPr>
                <w:sz w:val="20"/>
                <w:szCs w:val="20"/>
              </w:rPr>
              <w:t>X</w:t>
            </w:r>
          </w:p>
        </w:tc>
        <w:tc>
          <w:tcPr>
            <w:tcW w:w="2777" w:type="dxa"/>
          </w:tcPr>
          <w:p w:rsidR="000369F4" w:rsidRPr="009F76DB" w:rsidRDefault="000369F4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Si</w:t>
            </w:r>
          </w:p>
        </w:tc>
      </w:tr>
      <w:tr w:rsidR="00283FF6" w:rsidRPr="007465AA" w:rsidTr="000369F4">
        <w:trPr>
          <w:trHeight w:val="265"/>
        </w:trPr>
        <w:tc>
          <w:tcPr>
            <w:tcW w:w="1668" w:type="dxa"/>
            <w:vMerge w:val="restart"/>
            <w:vAlign w:val="center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 xml:space="preserve">Calidad de la Información </w:t>
            </w: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283FF6" w:rsidRPr="009F76DB" w:rsidRDefault="00283FF6" w:rsidP="00EC5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</w:p>
        </w:tc>
      </w:tr>
      <w:tr w:rsidR="00283FF6" w:rsidRPr="007465AA" w:rsidTr="000369F4">
        <w:tc>
          <w:tcPr>
            <w:tcW w:w="1668" w:type="dxa"/>
            <w:vMerge/>
          </w:tcPr>
          <w:p w:rsidR="00283FF6" w:rsidRPr="007465AA" w:rsidRDefault="00283FF6" w:rsidP="000369F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283FF6" w:rsidRPr="009F76DB" w:rsidRDefault="00283FF6" w:rsidP="00EC5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</w:p>
        </w:tc>
      </w:tr>
      <w:tr w:rsidR="00283FF6" w:rsidRPr="007465AA" w:rsidTr="000369F4">
        <w:tc>
          <w:tcPr>
            <w:tcW w:w="1668" w:type="dxa"/>
            <w:vMerge/>
          </w:tcPr>
          <w:p w:rsidR="00283FF6" w:rsidRPr="007465AA" w:rsidRDefault="00283FF6" w:rsidP="000369F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Claridad</w:t>
            </w:r>
          </w:p>
        </w:tc>
        <w:tc>
          <w:tcPr>
            <w:tcW w:w="709" w:type="dxa"/>
            <w:vAlign w:val="center"/>
          </w:tcPr>
          <w:p w:rsidR="00283FF6" w:rsidRPr="009F76DB" w:rsidRDefault="00283FF6" w:rsidP="00EC5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</w:p>
        </w:tc>
      </w:tr>
      <w:tr w:rsidR="00283FF6" w:rsidRPr="007465AA" w:rsidTr="000369F4">
        <w:tc>
          <w:tcPr>
            <w:tcW w:w="1668" w:type="dxa"/>
            <w:vMerge/>
          </w:tcPr>
          <w:p w:rsidR="00283FF6" w:rsidRPr="007465AA" w:rsidRDefault="00283FF6" w:rsidP="000369F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283FF6" w:rsidRPr="009F76DB" w:rsidRDefault="00283FF6" w:rsidP="00EC50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7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</w:p>
        </w:tc>
      </w:tr>
      <w:tr w:rsidR="00283FF6" w:rsidRPr="007465AA" w:rsidTr="000369F4">
        <w:tc>
          <w:tcPr>
            <w:tcW w:w="1668" w:type="dxa"/>
            <w:vMerge/>
          </w:tcPr>
          <w:p w:rsidR="00283FF6" w:rsidRPr="007465AA" w:rsidRDefault="00283FF6" w:rsidP="000369F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9F76DB" w:rsidRDefault="00283FF6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283FF6" w:rsidRPr="009F76DB" w:rsidRDefault="00EF2A7B" w:rsidP="00EC50EA">
            <w:pPr>
              <w:jc w:val="center"/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X</w:t>
            </w:r>
          </w:p>
        </w:tc>
        <w:tc>
          <w:tcPr>
            <w:tcW w:w="2777" w:type="dxa"/>
          </w:tcPr>
          <w:p w:rsidR="00283FF6" w:rsidRPr="009F76DB" w:rsidRDefault="00EF2A7B" w:rsidP="000369F4">
            <w:pPr>
              <w:rPr>
                <w:sz w:val="20"/>
                <w:szCs w:val="20"/>
              </w:rPr>
            </w:pPr>
            <w:r w:rsidRPr="009F76DB">
              <w:rPr>
                <w:sz w:val="20"/>
                <w:szCs w:val="20"/>
              </w:rPr>
              <w:t>No fecha actualización</w:t>
            </w:r>
          </w:p>
        </w:tc>
      </w:tr>
      <w:tr w:rsidR="00283FF6" w:rsidRPr="007465AA" w:rsidTr="000369F4">
        <w:tc>
          <w:tcPr>
            <w:tcW w:w="7196" w:type="dxa"/>
            <w:gridSpan w:val="2"/>
          </w:tcPr>
          <w:p w:rsidR="00283FF6" w:rsidRPr="009F76DB" w:rsidRDefault="00283FF6" w:rsidP="000369F4">
            <w:pPr>
              <w:jc w:val="right"/>
              <w:rPr>
                <w:b/>
                <w:sz w:val="20"/>
                <w:szCs w:val="20"/>
              </w:rPr>
            </w:pPr>
            <w:r w:rsidRPr="009F76DB">
              <w:rPr>
                <w:b/>
                <w:sz w:val="20"/>
                <w:szCs w:val="20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283FF6" w:rsidRPr="009F76DB" w:rsidRDefault="00DE6183" w:rsidP="000369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77" w:type="dxa"/>
          </w:tcPr>
          <w:p w:rsidR="00283FF6" w:rsidRPr="009F76DB" w:rsidRDefault="00283FF6" w:rsidP="000369F4">
            <w:pPr>
              <w:rPr>
                <w:b/>
                <w:sz w:val="20"/>
                <w:szCs w:val="20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EF2A7B" w:rsidP="00DF56A7">
      <w:pPr>
        <w:jc w:val="both"/>
      </w:pPr>
      <w:r>
        <w:t>El CE</w:t>
      </w:r>
      <w:r w:rsidR="00C52EE5">
        <w:t xml:space="preserve"> ha aplicado </w:t>
      </w:r>
      <w:r w:rsidR="00DE6183">
        <w:t>cinco</w:t>
      </w:r>
      <w:r w:rsidR="00C52EE5" w:rsidRPr="0076567C">
        <w:t xml:space="preserve"> de las </w:t>
      </w:r>
      <w:r w:rsidR="00DE6183">
        <w:t>nueve</w:t>
      </w:r>
      <w:r w:rsidR="00C50A64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C50A64">
        <w:t>1</w:t>
      </w:r>
      <w:r w:rsidR="00C52EE5">
        <w:t>.</w:t>
      </w:r>
    </w:p>
    <w:p w:rsidR="00FA5AFD" w:rsidRDefault="00FA5AFD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F76DB" w:rsidRPr="00F31BC3" w:rsidRDefault="009F76D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9F76DB" w:rsidRPr="00F31BC3" w:rsidRDefault="009F76D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20277D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434"/>
        <w:gridCol w:w="779"/>
        <w:gridCol w:w="779"/>
        <w:gridCol w:w="780"/>
        <w:gridCol w:w="780"/>
        <w:gridCol w:w="782"/>
        <w:gridCol w:w="782"/>
        <w:gridCol w:w="784"/>
        <w:gridCol w:w="782"/>
      </w:tblGrid>
      <w:tr w:rsidR="00EC50EA" w:rsidRPr="00EC50EA" w:rsidTr="00EC5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5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6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6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67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6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50EA" w:rsidRPr="00EC50EA" w:rsidRDefault="00EC50EA" w:rsidP="00EC50EA">
            <w:pPr>
              <w:spacing w:before="120" w:after="120" w:line="312" w:lineRule="auto"/>
              <w:ind w:lef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DE6183" w:rsidRPr="00EC50EA" w:rsidTr="00DE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DE6183" w:rsidRPr="00EC50EA" w:rsidRDefault="00DE6183" w:rsidP="00EC50EA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 xml:space="preserve">Institucional y Organizativa </w:t>
            </w:r>
          </w:p>
        </w:tc>
        <w:tc>
          <w:tcPr>
            <w:tcW w:w="365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6183">
              <w:rPr>
                <w:sz w:val="18"/>
                <w:szCs w:val="18"/>
              </w:rPr>
              <w:t>75,7</w:t>
            </w:r>
          </w:p>
        </w:tc>
        <w:tc>
          <w:tcPr>
            <w:tcW w:w="365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6183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6183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6183">
              <w:rPr>
                <w:sz w:val="18"/>
                <w:szCs w:val="18"/>
              </w:rPr>
              <w:t>85,7</w:t>
            </w:r>
          </w:p>
        </w:tc>
        <w:tc>
          <w:tcPr>
            <w:tcW w:w="366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6183">
              <w:rPr>
                <w:sz w:val="18"/>
                <w:szCs w:val="18"/>
              </w:rPr>
              <w:t>85,7</w:t>
            </w:r>
          </w:p>
        </w:tc>
        <w:tc>
          <w:tcPr>
            <w:tcW w:w="366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6183">
              <w:rPr>
                <w:sz w:val="18"/>
                <w:szCs w:val="18"/>
              </w:rPr>
              <w:t>71,4</w:t>
            </w:r>
          </w:p>
        </w:tc>
        <w:tc>
          <w:tcPr>
            <w:tcW w:w="367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6183">
              <w:rPr>
                <w:sz w:val="18"/>
                <w:szCs w:val="18"/>
              </w:rPr>
              <w:t>28,6</w:t>
            </w:r>
          </w:p>
        </w:tc>
        <w:tc>
          <w:tcPr>
            <w:tcW w:w="366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6183">
              <w:rPr>
                <w:sz w:val="18"/>
                <w:szCs w:val="18"/>
              </w:rPr>
              <w:t>74,1</w:t>
            </w:r>
          </w:p>
        </w:tc>
      </w:tr>
      <w:tr w:rsidR="00DE6183" w:rsidRPr="00EC50EA" w:rsidTr="00DE6183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E6183" w:rsidRPr="00EC50EA" w:rsidRDefault="00DE6183" w:rsidP="00EC50EA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EC50EA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65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6183">
              <w:rPr>
                <w:sz w:val="18"/>
                <w:szCs w:val="18"/>
              </w:rPr>
              <w:t>87,1</w:t>
            </w:r>
          </w:p>
        </w:tc>
        <w:tc>
          <w:tcPr>
            <w:tcW w:w="365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6183">
              <w:rPr>
                <w:sz w:val="18"/>
                <w:szCs w:val="18"/>
              </w:rPr>
              <w:t>90,0</w:t>
            </w:r>
          </w:p>
        </w:tc>
        <w:tc>
          <w:tcPr>
            <w:tcW w:w="365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6183">
              <w:rPr>
                <w:sz w:val="18"/>
                <w:szCs w:val="18"/>
              </w:rPr>
              <w:t>90,0</w:t>
            </w:r>
          </w:p>
        </w:tc>
        <w:tc>
          <w:tcPr>
            <w:tcW w:w="365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6183">
              <w:rPr>
                <w:sz w:val="18"/>
                <w:szCs w:val="18"/>
              </w:rPr>
              <w:t>90,0</w:t>
            </w:r>
          </w:p>
        </w:tc>
        <w:tc>
          <w:tcPr>
            <w:tcW w:w="366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6183">
              <w:rPr>
                <w:sz w:val="18"/>
                <w:szCs w:val="18"/>
              </w:rPr>
              <w:t>90,0</w:t>
            </w:r>
          </w:p>
        </w:tc>
        <w:tc>
          <w:tcPr>
            <w:tcW w:w="366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6183">
              <w:rPr>
                <w:sz w:val="18"/>
                <w:szCs w:val="18"/>
              </w:rPr>
              <w:t>90,0</w:t>
            </w:r>
          </w:p>
        </w:tc>
        <w:tc>
          <w:tcPr>
            <w:tcW w:w="367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6183">
              <w:rPr>
                <w:sz w:val="18"/>
                <w:szCs w:val="18"/>
              </w:rPr>
              <w:t>70,0</w:t>
            </w:r>
          </w:p>
        </w:tc>
        <w:tc>
          <w:tcPr>
            <w:tcW w:w="366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E6183">
              <w:rPr>
                <w:sz w:val="18"/>
                <w:szCs w:val="18"/>
              </w:rPr>
              <w:t>86,7</w:t>
            </w:r>
          </w:p>
        </w:tc>
      </w:tr>
      <w:tr w:rsidR="00DE6183" w:rsidRPr="00EC50EA" w:rsidTr="00DE6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5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DE6183" w:rsidRPr="00EC50EA" w:rsidRDefault="00DE6183" w:rsidP="00EC50EA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EC50EA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65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E6183">
              <w:rPr>
                <w:b/>
                <w:i/>
                <w:sz w:val="18"/>
                <w:szCs w:val="18"/>
              </w:rPr>
              <w:t>82,4</w:t>
            </w:r>
          </w:p>
        </w:tc>
        <w:tc>
          <w:tcPr>
            <w:tcW w:w="365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E6183">
              <w:rPr>
                <w:b/>
                <w:i/>
                <w:sz w:val="18"/>
                <w:szCs w:val="18"/>
              </w:rPr>
              <w:t>88,2</w:t>
            </w:r>
          </w:p>
        </w:tc>
        <w:tc>
          <w:tcPr>
            <w:tcW w:w="365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E6183">
              <w:rPr>
                <w:b/>
                <w:i/>
                <w:sz w:val="18"/>
                <w:szCs w:val="18"/>
              </w:rPr>
              <w:t>88,2</w:t>
            </w:r>
          </w:p>
        </w:tc>
        <w:tc>
          <w:tcPr>
            <w:tcW w:w="365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E6183">
              <w:rPr>
                <w:b/>
                <w:i/>
                <w:sz w:val="18"/>
                <w:szCs w:val="18"/>
              </w:rPr>
              <w:t>88,2</w:t>
            </w:r>
          </w:p>
        </w:tc>
        <w:tc>
          <w:tcPr>
            <w:tcW w:w="366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E6183">
              <w:rPr>
                <w:b/>
                <w:i/>
                <w:sz w:val="18"/>
                <w:szCs w:val="18"/>
              </w:rPr>
              <w:t>88,2</w:t>
            </w:r>
          </w:p>
        </w:tc>
        <w:tc>
          <w:tcPr>
            <w:tcW w:w="366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E6183">
              <w:rPr>
                <w:b/>
                <w:i/>
                <w:sz w:val="18"/>
                <w:szCs w:val="18"/>
              </w:rPr>
              <w:t>82,4</w:t>
            </w:r>
          </w:p>
        </w:tc>
        <w:tc>
          <w:tcPr>
            <w:tcW w:w="367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E6183">
              <w:rPr>
                <w:b/>
                <w:i/>
                <w:sz w:val="18"/>
                <w:szCs w:val="18"/>
              </w:rPr>
              <w:t>52,9</w:t>
            </w:r>
          </w:p>
        </w:tc>
        <w:tc>
          <w:tcPr>
            <w:tcW w:w="366" w:type="pct"/>
            <w:noWrap/>
            <w:vAlign w:val="center"/>
          </w:tcPr>
          <w:p w:rsidR="00DE6183" w:rsidRPr="00DE6183" w:rsidRDefault="00DE6183" w:rsidP="00DE61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DE6183">
              <w:rPr>
                <w:b/>
                <w:i/>
                <w:sz w:val="18"/>
                <w:szCs w:val="18"/>
              </w:rPr>
              <w:t>81,5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DE6183">
        <w:rPr>
          <w:lang w:bidi="es-ES"/>
        </w:rPr>
        <w:t>81,5</w:t>
      </w:r>
      <w:r>
        <w:rPr>
          <w:lang w:bidi="es-ES"/>
        </w:rPr>
        <w:t>%.</w:t>
      </w:r>
      <w:r w:rsidR="00DE6183">
        <w:rPr>
          <w:lang w:bidi="es-ES"/>
        </w:rPr>
        <w:t xml:space="preserve"> Respecto de 2021 </w:t>
      </w:r>
      <w:r w:rsidR="00BB3652">
        <w:rPr>
          <w:lang w:bidi="es-ES"/>
        </w:rPr>
        <w:t xml:space="preserve">se produce un incremento de </w:t>
      </w:r>
      <w:r w:rsidR="00DE6183">
        <w:rPr>
          <w:lang w:bidi="es-ES"/>
        </w:rPr>
        <w:t xml:space="preserve">9,6 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DE6183">
        <w:rPr>
          <w:lang w:bidi="es-ES"/>
        </w:rPr>
        <w:t>varias</w:t>
      </w:r>
      <w:r w:rsidR="0076567C">
        <w:rPr>
          <w:lang w:bidi="es-ES"/>
        </w:rPr>
        <w:t xml:space="preserve"> de las recomendaciones efectuadas en 202</w:t>
      </w:r>
      <w:r w:rsidR="00DE6183">
        <w:rPr>
          <w:lang w:bidi="es-ES"/>
        </w:rPr>
        <w:t>1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Pr="005008E6" w:rsidRDefault="00BB3652" w:rsidP="00BB3652">
      <w:pPr>
        <w:pStyle w:val="Cuerpodelboletn"/>
      </w:pPr>
      <w:r w:rsidRPr="005008E6">
        <w:t xml:space="preserve">Este CTBG </w:t>
      </w:r>
      <w:r w:rsidRPr="005008E6">
        <w:rPr>
          <w:b/>
        </w:rPr>
        <w:t>valora</w:t>
      </w:r>
      <w:r w:rsidR="005008E6">
        <w:rPr>
          <w:b/>
        </w:rPr>
        <w:t xml:space="preserve"> muy</w:t>
      </w:r>
      <w:r w:rsidRPr="005008E6">
        <w:rPr>
          <w:b/>
        </w:rPr>
        <w:t xml:space="preserve"> </w:t>
      </w:r>
      <w:r w:rsidR="005008E6">
        <w:rPr>
          <w:b/>
        </w:rPr>
        <w:t>positivamente</w:t>
      </w:r>
      <w:r w:rsidRPr="005008E6">
        <w:t xml:space="preserve"> la evolución del cumplimiento de las obligaciones de publicidad activa por parte de</w:t>
      </w:r>
      <w:r w:rsidR="005008E6">
        <w:t>l Consejo de Estado</w:t>
      </w:r>
      <w:r w:rsidRPr="005008E6">
        <w:t xml:space="preserve">. </w:t>
      </w:r>
      <w:r w:rsidR="005008E6">
        <w:t>Se</w:t>
      </w:r>
      <w:r w:rsidRPr="005008E6">
        <w:t xml:space="preserve"> ha aplicado </w:t>
      </w:r>
      <w:r w:rsidR="005008E6">
        <w:t>más de la mitad</w:t>
      </w:r>
      <w:r w:rsidRPr="005008E6">
        <w:t xml:space="preserve"> de las recomendaciones efectuadas como consecuencia de la evaluación realizada en 202</w:t>
      </w:r>
      <w:r w:rsidR="005008E6">
        <w:t>1</w:t>
      </w:r>
      <w:r w:rsidRPr="005008E6">
        <w:t>.</w:t>
      </w:r>
    </w:p>
    <w:p w:rsidR="004061BC" w:rsidRDefault="005008E6" w:rsidP="00A670E9">
      <w:pPr>
        <w:pStyle w:val="Cuerpodelboletn"/>
      </w:pPr>
      <w:r>
        <w:t>No obstante persisten algunos de los déficits evidenciados en esa evaluación</w:t>
      </w:r>
      <w:r w:rsidR="00A670E9">
        <w:t xml:space="preserve">: </w:t>
      </w:r>
    </w:p>
    <w:p w:rsidR="00A670E9" w:rsidRDefault="005008E6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76567C">
        <w:rPr>
          <w:rFonts w:ascii="Century Gothic" w:hAnsi="Century Gothic"/>
        </w:rPr>
        <w:t xml:space="preserve">ontinúa publicándose la información </w:t>
      </w:r>
      <w:r>
        <w:rPr>
          <w:rFonts w:ascii="Century Gothic" w:hAnsi="Century Gothic"/>
        </w:rPr>
        <w:t>sobre perfil y trayectoria profesional de los máximos responsables</w:t>
      </w:r>
      <w:r w:rsidR="0076567C">
        <w:rPr>
          <w:rFonts w:ascii="Century Gothic" w:hAnsi="Century Gothic"/>
        </w:rPr>
        <w:t xml:space="preserve"> al margen del Portal de Transparencia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  <w:r w:rsidR="005008E6">
        <w:rPr>
          <w:rFonts w:ascii="Century Gothic" w:hAnsi="Century Gothic"/>
        </w:rPr>
        <w:t>el Registro de Actividades de Tratamiento</w:t>
      </w:r>
      <w:r>
        <w:rPr>
          <w:rFonts w:ascii="Century Gothic" w:hAnsi="Century Gothic"/>
        </w:rPr>
        <w:t xml:space="preserve">.  </w:t>
      </w:r>
    </w:p>
    <w:p w:rsidR="004D4B3E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no se publica información sobre </w:t>
      </w:r>
      <w:r w:rsidR="005008E6">
        <w:rPr>
          <w:rFonts w:ascii="Century Gothic" w:hAnsi="Century Gothic"/>
        </w:rPr>
        <w:t xml:space="preserve">las modificaciones de </w:t>
      </w:r>
      <w:r>
        <w:rPr>
          <w:rFonts w:ascii="Century Gothic" w:hAnsi="Century Gothic"/>
        </w:rPr>
        <w:t>los contratos adjudicados.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5008E6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Transparencia.</w:t>
      </w:r>
      <w:r w:rsidR="005008E6">
        <w:rPr>
          <w:rFonts w:ascii="Century Gothic" w:hAnsi="Century Gothic"/>
        </w:rPr>
        <w:t xml:space="preserve"> Por otra parte aunque se han actualizado algunas de las informaciones todas ellas se refieren a 2020, lo </w:t>
      </w:r>
      <w:r w:rsidR="005008E6" w:rsidRPr="005008E6">
        <w:rPr>
          <w:rFonts w:ascii="Century Gothic" w:hAnsi="Century Gothic"/>
        </w:rPr>
        <w:t xml:space="preserve">que </w:t>
      </w:r>
      <w:r w:rsidR="005008E6">
        <w:rPr>
          <w:rFonts w:ascii="Century Gothic" w:hAnsi="Century Gothic"/>
        </w:rPr>
        <w:t xml:space="preserve">indica que </w:t>
      </w:r>
      <w:r w:rsidR="005008E6" w:rsidRPr="005008E6">
        <w:rPr>
          <w:rFonts w:ascii="Century Gothic" w:hAnsi="Century Gothic"/>
        </w:rPr>
        <w:t xml:space="preserve">no se ha revisado el criterio de publicar </w:t>
      </w:r>
      <w:r w:rsidR="005008E6" w:rsidRPr="005008E6">
        <w:rPr>
          <w:rFonts w:ascii="Century Gothic" w:hAnsi="Century Gothic"/>
        </w:rPr>
        <w:lastRenderedPageBreak/>
        <w:t>determinadas informaciones del bloque de Información Económica y Presupuestaria a ejercicio vencido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5008E6">
        <w:rPr>
          <w:rFonts w:ascii="Century Gothic" w:hAnsi="Century Gothic"/>
        </w:rPr>
        <w:t>febrero</w:t>
      </w:r>
      <w:r>
        <w:rPr>
          <w:rFonts w:ascii="Century Gothic" w:hAnsi="Century Gothic"/>
        </w:rPr>
        <w:t xml:space="preserve"> de 202</w:t>
      </w:r>
      <w:r w:rsidR="005008E6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F76DB" w:rsidRPr="00F31BC3" w:rsidRDefault="009F76DB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9F76DB" w:rsidRPr="00F31BC3" w:rsidRDefault="009F76DB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9F76DB" w:rsidRPr="00F31BC3" w:rsidRDefault="009F76DB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9F76DB" w:rsidRPr="00F31BC3" w:rsidRDefault="009F76DB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DB" w:rsidRDefault="009F76DB" w:rsidP="00F31BC3">
      <w:r>
        <w:separator/>
      </w:r>
    </w:p>
  </w:endnote>
  <w:endnote w:type="continuationSeparator" w:id="0">
    <w:p w:rsidR="009F76DB" w:rsidRDefault="009F76DB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DB" w:rsidRDefault="009F76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DB" w:rsidRDefault="009F76D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DB" w:rsidRDefault="009F76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DB" w:rsidRDefault="009F76DB" w:rsidP="00F31BC3">
      <w:r>
        <w:separator/>
      </w:r>
    </w:p>
  </w:footnote>
  <w:footnote w:type="continuationSeparator" w:id="0">
    <w:p w:rsidR="009F76DB" w:rsidRDefault="009F76DB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DB" w:rsidRDefault="0020277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5188" o:spid="_x0000_s2050" type="#_x0000_t136" style="position:absolute;margin-left:0;margin-top:0;width:590.2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DB" w:rsidRDefault="0020277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5189" o:spid="_x0000_s2051" type="#_x0000_t136" style="position:absolute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DB" w:rsidRDefault="0020277D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15187" o:spid="_x0000_s2049" type="#_x0000_t136" style="position:absolute;margin-left:0;margin-top:0;width:590.2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7D73"/>
    <w:rsid w:val="00032D8A"/>
    <w:rsid w:val="000369F4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0277D"/>
    <w:rsid w:val="0021682B"/>
    <w:rsid w:val="00231D61"/>
    <w:rsid w:val="00243294"/>
    <w:rsid w:val="00244EDA"/>
    <w:rsid w:val="002467FA"/>
    <w:rsid w:val="00250846"/>
    <w:rsid w:val="00263F79"/>
    <w:rsid w:val="00283FF6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70E0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08E6"/>
    <w:rsid w:val="00506864"/>
    <w:rsid w:val="00521C69"/>
    <w:rsid w:val="005301DF"/>
    <w:rsid w:val="00536832"/>
    <w:rsid w:val="00540929"/>
    <w:rsid w:val="005549DE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6F06D3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C6BAE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26AD9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76DB"/>
    <w:rsid w:val="00A03993"/>
    <w:rsid w:val="00A05F57"/>
    <w:rsid w:val="00A0626F"/>
    <w:rsid w:val="00A06BF1"/>
    <w:rsid w:val="00A10B8C"/>
    <w:rsid w:val="00A1361E"/>
    <w:rsid w:val="00A249BB"/>
    <w:rsid w:val="00A24E51"/>
    <w:rsid w:val="00A41C0E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0A64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E6183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50EA"/>
    <w:rsid w:val="00EC6A3E"/>
    <w:rsid w:val="00ED30F1"/>
    <w:rsid w:val="00ED57F6"/>
    <w:rsid w:val="00ED6104"/>
    <w:rsid w:val="00ED7D79"/>
    <w:rsid w:val="00EE5F85"/>
    <w:rsid w:val="00EF2A7B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63D88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EC50E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EC50E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5FEA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CD61E3"/>
    <w:rsid w:val="00DA008C"/>
    <w:rsid w:val="00DE3DE6"/>
    <w:rsid w:val="00EA0738"/>
    <w:rsid w:val="00EB2177"/>
    <w:rsid w:val="00EF5732"/>
    <w:rsid w:val="00F0267E"/>
    <w:rsid w:val="00F8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176ADF-3284-4842-8242-E06322DA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329</TotalTime>
  <Pages>4</Pages>
  <Words>843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6</cp:revision>
  <cp:lastPrinted>2008-09-26T23:14:00Z</cp:lastPrinted>
  <dcterms:created xsi:type="dcterms:W3CDTF">2022-01-25T09:49:00Z</dcterms:created>
  <dcterms:modified xsi:type="dcterms:W3CDTF">2022-02-24T10:20:00Z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