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465EAD" w:rsidRDefault="006F17B5" w:rsidP="001B16D9">
      <w:pPr>
        <w:pStyle w:val="Ttulo1"/>
        <w:jc w:val="both"/>
        <w:rPr>
          <w:color w:val="31849B" w:themeColor="accent5" w:themeShade="BF"/>
        </w:rPr>
      </w:pPr>
      <w:r w:rsidRPr="00465EAD">
        <w:rPr>
          <w:color w:val="31849B" w:themeColor="accent5" w:themeShade="BF"/>
        </w:rPr>
        <w:t>INFORME RELATIVO A LAS OBSERVACIONES REMITIDAS EN RELACIÓN CON EL INFORME DEL CTBG SOBRE CUMPLIMIENTO DE LAS OBLIGACIONES DE PUBLICIDAD ACTIVA ESTABLECIDAS POR LA LTAIB</w:t>
      </w:r>
      <w:r w:rsidR="00B5520E" w:rsidRPr="00465EAD">
        <w:rPr>
          <w:color w:val="31849B" w:themeColor="accent5" w:themeShade="BF"/>
        </w:rPr>
        <w:t xml:space="preserve"> POR PARTE DEL PORTAL DE LA TRAN</w:t>
      </w:r>
      <w:r w:rsidR="00DF3C90">
        <w:rPr>
          <w:color w:val="31849B" w:themeColor="accent5" w:themeShade="BF"/>
        </w:rPr>
        <w:t>S</w:t>
      </w:r>
      <w:r w:rsidR="00B5520E" w:rsidRPr="00465EAD">
        <w:rPr>
          <w:color w:val="31849B" w:themeColor="accent5" w:themeShade="BF"/>
        </w:rPr>
        <w:t xml:space="preserve">PARENCIA DE LA ADMINISTRACIÓN GENERAL DEL ESTADO </w:t>
      </w:r>
    </w:p>
    <w:p w:rsidR="006F17B5" w:rsidRPr="006F17B5" w:rsidRDefault="006F17B5" w:rsidP="006F17B5">
      <w:pPr>
        <w:jc w:val="center"/>
        <w:rPr>
          <w:rFonts w:asciiTheme="minorHAnsi" w:hAnsiTheme="minorHAnsi" w:cstheme="minorHAnsi"/>
          <w:szCs w:val="24"/>
        </w:rPr>
      </w:pPr>
    </w:p>
    <w:p w:rsidR="00DF3C90" w:rsidRDefault="00DF3C90" w:rsidP="00563923">
      <w:pPr>
        <w:tabs>
          <w:tab w:val="left" w:pos="284"/>
        </w:tabs>
        <w:spacing w:before="120" w:after="120" w:line="312" w:lineRule="auto"/>
        <w:jc w:val="both"/>
        <w:rPr>
          <w:rFonts w:asciiTheme="minorHAnsi" w:hAnsiTheme="minorHAnsi" w:cstheme="minorHAnsi"/>
          <w:sz w:val="22"/>
        </w:rPr>
      </w:pPr>
    </w:p>
    <w:p w:rsidR="006D4BF3" w:rsidRDefault="00D23111" w:rsidP="00563923">
      <w:pPr>
        <w:tabs>
          <w:tab w:val="left" w:pos="284"/>
        </w:tabs>
        <w:spacing w:before="120" w:after="120" w:line="312" w:lineRule="auto"/>
        <w:jc w:val="both"/>
        <w:rPr>
          <w:rFonts w:asciiTheme="minorHAnsi" w:hAnsiTheme="minorHAnsi" w:cstheme="minorHAnsi"/>
          <w:sz w:val="22"/>
        </w:rPr>
      </w:pPr>
      <w:bookmarkStart w:id="0" w:name="_GoBack"/>
      <w:bookmarkEnd w:id="0"/>
      <w:r w:rsidRPr="00563923">
        <w:rPr>
          <w:rFonts w:asciiTheme="minorHAnsi" w:hAnsiTheme="minorHAnsi" w:cstheme="minorHAnsi"/>
          <w:sz w:val="22"/>
        </w:rPr>
        <w:t>En contestación a</w:t>
      </w:r>
      <w:r w:rsidR="00B5520E" w:rsidRPr="00563923">
        <w:rPr>
          <w:rFonts w:asciiTheme="minorHAnsi" w:hAnsiTheme="minorHAnsi" w:cstheme="minorHAnsi"/>
          <w:sz w:val="22"/>
        </w:rPr>
        <w:t xml:space="preserve">l informe </w:t>
      </w:r>
      <w:r w:rsidR="00CD147D">
        <w:rPr>
          <w:rFonts w:asciiTheme="minorHAnsi" w:hAnsiTheme="minorHAnsi" w:cstheme="minorHAnsi"/>
          <w:sz w:val="22"/>
        </w:rPr>
        <w:t>remitido</w:t>
      </w:r>
      <w:r w:rsidR="00B5520E" w:rsidRPr="00563923">
        <w:rPr>
          <w:rFonts w:asciiTheme="minorHAnsi" w:hAnsiTheme="minorHAnsi" w:cstheme="minorHAnsi"/>
          <w:sz w:val="22"/>
        </w:rPr>
        <w:t xml:space="preserve"> el </w:t>
      </w:r>
      <w:r w:rsidR="00D8631B">
        <w:rPr>
          <w:rFonts w:asciiTheme="minorHAnsi" w:hAnsiTheme="minorHAnsi" w:cstheme="minorHAnsi"/>
          <w:sz w:val="22"/>
        </w:rPr>
        <w:t>4 de mayo de 2022</w:t>
      </w:r>
      <w:r w:rsidR="00C119CE" w:rsidRPr="00563923">
        <w:rPr>
          <w:rFonts w:asciiTheme="minorHAnsi" w:hAnsiTheme="minorHAnsi" w:cstheme="minorHAnsi"/>
          <w:sz w:val="22"/>
        </w:rPr>
        <w:t>,</w:t>
      </w:r>
      <w:r w:rsidR="005B1C12" w:rsidRPr="00563923">
        <w:rPr>
          <w:rFonts w:asciiTheme="minorHAnsi" w:hAnsiTheme="minorHAnsi" w:cstheme="minorHAnsi"/>
          <w:sz w:val="22"/>
        </w:rPr>
        <w:t xml:space="preserve"> </w:t>
      </w:r>
      <w:r w:rsidR="00DC20E5" w:rsidRPr="00563923">
        <w:rPr>
          <w:rFonts w:asciiTheme="minorHAnsi" w:hAnsiTheme="minorHAnsi" w:cstheme="minorHAnsi"/>
          <w:sz w:val="22"/>
        </w:rPr>
        <w:t xml:space="preserve">y </w:t>
      </w:r>
      <w:r w:rsidRPr="00563923">
        <w:rPr>
          <w:rFonts w:asciiTheme="minorHAnsi" w:hAnsiTheme="minorHAnsi" w:cstheme="minorHAnsi"/>
          <w:sz w:val="22"/>
        </w:rPr>
        <w:t>una vez analizad</w:t>
      </w:r>
      <w:r w:rsidR="00241D6D">
        <w:rPr>
          <w:rFonts w:asciiTheme="minorHAnsi" w:hAnsiTheme="minorHAnsi" w:cstheme="minorHAnsi"/>
          <w:sz w:val="22"/>
        </w:rPr>
        <w:t>o</w:t>
      </w:r>
      <w:r w:rsidRPr="00563923">
        <w:rPr>
          <w:rFonts w:asciiTheme="minorHAnsi" w:hAnsiTheme="minorHAnsi" w:cstheme="minorHAnsi"/>
          <w:sz w:val="22"/>
        </w:rPr>
        <w:t xml:space="preserve">s </w:t>
      </w:r>
      <w:r w:rsidR="00241D6D">
        <w:rPr>
          <w:rFonts w:asciiTheme="minorHAnsi" w:hAnsiTheme="minorHAnsi" w:cstheme="minorHAnsi"/>
          <w:sz w:val="22"/>
        </w:rPr>
        <w:t xml:space="preserve"> los comentarios </w:t>
      </w:r>
      <w:r w:rsidRPr="00563923">
        <w:rPr>
          <w:rFonts w:asciiTheme="minorHAnsi" w:hAnsiTheme="minorHAnsi" w:cstheme="minorHAnsi"/>
          <w:sz w:val="22"/>
        </w:rPr>
        <w:t>realizad</w:t>
      </w:r>
      <w:r w:rsidR="00241D6D">
        <w:rPr>
          <w:rFonts w:asciiTheme="minorHAnsi" w:hAnsiTheme="minorHAnsi" w:cstheme="minorHAnsi"/>
          <w:sz w:val="22"/>
        </w:rPr>
        <w:t>o</w:t>
      </w:r>
      <w:r w:rsidRPr="00563923">
        <w:rPr>
          <w:rFonts w:asciiTheme="minorHAnsi" w:hAnsiTheme="minorHAnsi" w:cstheme="minorHAnsi"/>
          <w:sz w:val="22"/>
        </w:rPr>
        <w:t xml:space="preserve">s al borrador de informe de evaluación </w:t>
      </w:r>
      <w:r w:rsidR="00B81EE6" w:rsidRPr="00563923">
        <w:rPr>
          <w:rFonts w:asciiTheme="minorHAnsi" w:hAnsiTheme="minorHAnsi" w:cstheme="minorHAnsi"/>
          <w:sz w:val="22"/>
        </w:rPr>
        <w:t xml:space="preserve">relativo al </w:t>
      </w:r>
      <w:r w:rsidRPr="00563923">
        <w:rPr>
          <w:rFonts w:asciiTheme="minorHAnsi" w:hAnsiTheme="minorHAnsi" w:cstheme="minorHAnsi"/>
          <w:sz w:val="22"/>
        </w:rPr>
        <w:t>cumplimiento de las obligaciones de publicidad activa por parte de</w:t>
      </w:r>
      <w:r w:rsidR="00B5520E" w:rsidRPr="00563923">
        <w:rPr>
          <w:rFonts w:asciiTheme="minorHAnsi" w:hAnsiTheme="minorHAnsi" w:cstheme="minorHAnsi"/>
          <w:sz w:val="22"/>
        </w:rPr>
        <w:t xml:space="preserve">l Portal de la Transparencia de la Administración General del Estado, el Consejo de Transparencia y Buen Gobierno </w:t>
      </w:r>
      <w:r w:rsidRPr="00563923">
        <w:rPr>
          <w:rFonts w:asciiTheme="minorHAnsi" w:hAnsiTheme="minorHAnsi" w:cstheme="minorHAnsi"/>
          <w:sz w:val="22"/>
        </w:rPr>
        <w:t>efectúa las siguientes consideraciones</w:t>
      </w:r>
      <w:r w:rsidR="006D4BF3" w:rsidRPr="00563923">
        <w:rPr>
          <w:rFonts w:asciiTheme="minorHAnsi" w:hAnsiTheme="minorHAnsi" w:cstheme="minorHAnsi"/>
          <w:sz w:val="22"/>
        </w:rPr>
        <w:t>.</w:t>
      </w:r>
    </w:p>
    <w:p w:rsidR="00210111" w:rsidRPr="00F270A6" w:rsidRDefault="00210111" w:rsidP="00563923">
      <w:pPr>
        <w:tabs>
          <w:tab w:val="left" w:pos="284"/>
        </w:tabs>
        <w:spacing w:before="120" w:after="120" w:line="312" w:lineRule="auto"/>
        <w:jc w:val="both"/>
        <w:rPr>
          <w:rFonts w:asciiTheme="minorHAnsi" w:hAnsiTheme="minorHAnsi" w:cstheme="minorHAnsi"/>
          <w:b/>
          <w:color w:val="31849B" w:themeColor="accent5" w:themeShade="BF"/>
          <w:szCs w:val="24"/>
        </w:rPr>
      </w:pPr>
      <w:r w:rsidRPr="00F270A6">
        <w:rPr>
          <w:rFonts w:asciiTheme="minorHAnsi" w:hAnsiTheme="minorHAnsi" w:cstheme="minorHAnsi"/>
          <w:b/>
          <w:color w:val="31849B" w:themeColor="accent5" w:themeShade="BF"/>
          <w:szCs w:val="24"/>
        </w:rPr>
        <w:t>Información institucional, organizativa y de planificación. Registro de actividades de tratamiento.</w:t>
      </w:r>
    </w:p>
    <w:p w:rsidR="00D8631B" w:rsidRDefault="00D8631B" w:rsidP="00B21038">
      <w:pPr>
        <w:tabs>
          <w:tab w:val="left" w:pos="284"/>
        </w:tabs>
        <w:spacing w:before="120" w:after="120" w:line="312" w:lineRule="auto"/>
        <w:jc w:val="both"/>
        <w:rPr>
          <w:rFonts w:asciiTheme="minorHAnsi" w:hAnsiTheme="minorHAnsi" w:cstheme="minorHAnsi"/>
        </w:rPr>
      </w:pPr>
      <w:r>
        <w:rPr>
          <w:rFonts w:asciiTheme="minorHAnsi" w:hAnsiTheme="minorHAnsi" w:cstheme="minorHAnsi"/>
        </w:rPr>
        <w:t>En relación con la observación relativa a la normativa aplicable</w:t>
      </w:r>
      <w:r w:rsidR="00E927C9">
        <w:rPr>
          <w:rFonts w:asciiTheme="minorHAnsi" w:hAnsiTheme="minorHAnsi" w:cstheme="minorHAnsi"/>
        </w:rPr>
        <w:t>,</w:t>
      </w:r>
      <w:r>
        <w:rPr>
          <w:rFonts w:asciiTheme="minorHAnsi" w:hAnsiTheme="minorHAnsi" w:cstheme="minorHAnsi"/>
        </w:rPr>
        <w:t xml:space="preserve"> en la que se recoge que el informe provisional de evaluación indica que no se publican las normas que configuran el marco jurídico general, solamente señalar que tanto en el análisis de esta obligación (página</w:t>
      </w:r>
      <w:r w:rsidR="005B66F3">
        <w:rPr>
          <w:rFonts w:asciiTheme="minorHAnsi" w:hAnsiTheme="minorHAnsi" w:cstheme="minorHAnsi"/>
        </w:rPr>
        <w:t xml:space="preserve"> 5</w:t>
      </w:r>
      <w:r w:rsidR="00E927C9">
        <w:rPr>
          <w:rFonts w:asciiTheme="minorHAnsi" w:hAnsiTheme="minorHAnsi" w:cstheme="minorHAnsi"/>
        </w:rPr>
        <w:t xml:space="preserve"> del informe</w:t>
      </w:r>
      <w:r w:rsidR="005B66F3">
        <w:rPr>
          <w:rFonts w:asciiTheme="minorHAnsi" w:hAnsiTheme="minorHAnsi" w:cstheme="minorHAnsi"/>
        </w:rPr>
        <w:t>) como en el apartado relativo a la aplicación de recomendaciones (página 45) se indica expresamente que se publica el Código de Derecho Administrativo y que se ha aplicado esta recomendación efectuada en 2022.</w:t>
      </w:r>
    </w:p>
    <w:p w:rsidR="008F23E3" w:rsidRPr="008F23E3" w:rsidRDefault="008F23E3" w:rsidP="00B21038">
      <w:pPr>
        <w:tabs>
          <w:tab w:val="left" w:pos="284"/>
        </w:tabs>
        <w:spacing w:before="120" w:after="120" w:line="312" w:lineRule="auto"/>
        <w:jc w:val="both"/>
        <w:rPr>
          <w:rFonts w:asciiTheme="minorHAnsi" w:hAnsiTheme="minorHAnsi" w:cstheme="minorHAnsi"/>
          <w:b/>
          <w:color w:val="31849B" w:themeColor="accent5" w:themeShade="BF"/>
          <w:szCs w:val="24"/>
        </w:rPr>
      </w:pPr>
      <w:r w:rsidRPr="008F23E3">
        <w:rPr>
          <w:rFonts w:asciiTheme="minorHAnsi" w:hAnsiTheme="minorHAnsi" w:cstheme="minorHAnsi"/>
          <w:b/>
          <w:color w:val="31849B" w:themeColor="accent5" w:themeShade="BF"/>
          <w:szCs w:val="24"/>
        </w:rPr>
        <w:t>Información de relevancia jurídica</w:t>
      </w:r>
    </w:p>
    <w:p w:rsidR="0021064D" w:rsidRPr="00563923" w:rsidRDefault="008F23E3" w:rsidP="00563923">
      <w:pPr>
        <w:pStyle w:val="Textocomentario"/>
        <w:spacing w:before="120" w:after="120" w:line="312" w:lineRule="auto"/>
        <w:rPr>
          <w:rFonts w:eastAsiaTheme="minorHAnsi" w:cstheme="minorHAnsi"/>
          <w:sz w:val="22"/>
          <w:szCs w:val="22"/>
          <w:lang w:eastAsia="en-US"/>
        </w:rPr>
      </w:pPr>
      <w:r>
        <w:rPr>
          <w:rFonts w:eastAsiaTheme="minorHAnsi" w:cstheme="minorHAnsi"/>
          <w:sz w:val="22"/>
          <w:szCs w:val="22"/>
          <w:lang w:eastAsia="en-US"/>
        </w:rPr>
        <w:t xml:space="preserve">En relación con la observación </w:t>
      </w:r>
      <w:r w:rsidR="00E927C9">
        <w:rPr>
          <w:rFonts w:eastAsiaTheme="minorHAnsi" w:cstheme="minorHAnsi"/>
          <w:sz w:val="22"/>
          <w:szCs w:val="22"/>
          <w:lang w:eastAsia="en-US"/>
        </w:rPr>
        <w:t>relativa a que</w:t>
      </w:r>
      <w:r>
        <w:rPr>
          <w:rFonts w:eastAsiaTheme="minorHAnsi" w:cstheme="minorHAnsi"/>
          <w:sz w:val="22"/>
          <w:szCs w:val="22"/>
          <w:lang w:eastAsia="en-US"/>
        </w:rPr>
        <w:t xml:space="preserve"> la recomendación sobre la publicación de Proyectos de Decretos Legislativos se entiende como cumplida</w:t>
      </w:r>
      <w:r w:rsidR="00E927C9">
        <w:rPr>
          <w:rFonts w:eastAsiaTheme="minorHAnsi" w:cstheme="minorHAnsi"/>
          <w:sz w:val="22"/>
          <w:szCs w:val="22"/>
          <w:lang w:eastAsia="en-US"/>
        </w:rPr>
        <w:t>,</w:t>
      </w:r>
      <w:r>
        <w:rPr>
          <w:rFonts w:eastAsiaTheme="minorHAnsi" w:cstheme="minorHAnsi"/>
          <w:sz w:val="22"/>
          <w:szCs w:val="22"/>
          <w:lang w:eastAsia="en-US"/>
        </w:rPr>
        <w:t xml:space="preserve"> dado que el Secretariado del Gobierno informa que no ha habido proyectos de Decretos Legislativos en 2022, se reitera la recomendación de que en el caso de que en relación con una obligación de publicidad activa no se haya producido actividad, se informe expresamente de esta circunstancia en el apartado correspondiente del Portal de Transparencia. Sólo de esta manera, es posible distinguir si la falta de publicación se debe a una omisión de la obligación de publicar o a que no existe información que publicar porque no ha habido actividad en ese ámbito concreto.  </w:t>
      </w:r>
    </w:p>
    <w:p w:rsidR="00BC4E68" w:rsidRPr="008F23E3" w:rsidRDefault="00BC4E68" w:rsidP="00BC4E68">
      <w:pPr>
        <w:tabs>
          <w:tab w:val="left" w:pos="284"/>
        </w:tabs>
        <w:spacing w:before="120" w:after="120" w:line="312" w:lineRule="auto"/>
        <w:jc w:val="both"/>
        <w:rPr>
          <w:rFonts w:asciiTheme="minorHAnsi" w:hAnsiTheme="minorHAnsi" w:cstheme="minorHAnsi"/>
          <w:b/>
          <w:color w:val="31849B" w:themeColor="accent5" w:themeShade="BF"/>
          <w:szCs w:val="24"/>
        </w:rPr>
      </w:pPr>
      <w:r w:rsidRPr="008F23E3">
        <w:rPr>
          <w:rFonts w:asciiTheme="minorHAnsi" w:hAnsiTheme="minorHAnsi" w:cstheme="minorHAnsi"/>
          <w:b/>
          <w:color w:val="31849B" w:themeColor="accent5" w:themeShade="BF"/>
          <w:szCs w:val="24"/>
        </w:rPr>
        <w:t xml:space="preserve">Información económica, presupuestaria y estadística </w:t>
      </w:r>
    </w:p>
    <w:p w:rsidR="00604EEA" w:rsidRDefault="00604EEA" w:rsidP="00BC4E68">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el mantenimiento de </w:t>
      </w:r>
      <w:r w:rsidRPr="00707596">
        <w:rPr>
          <w:rFonts w:asciiTheme="minorHAnsi" w:hAnsiTheme="minorHAnsi" w:cstheme="minorHAnsi"/>
          <w:b/>
          <w:szCs w:val="24"/>
        </w:rPr>
        <w:t>información contractual</w:t>
      </w:r>
      <w:r>
        <w:rPr>
          <w:rFonts w:asciiTheme="minorHAnsi" w:hAnsiTheme="minorHAnsi" w:cstheme="minorHAnsi"/>
          <w:szCs w:val="24"/>
        </w:rPr>
        <w:t xml:space="preserve"> anterior a 2022, se señala que esta información puede tener interés para el análisis de series históricas y, por otra parte, puede tratarse de contratos </w:t>
      </w:r>
      <w:r w:rsidR="008F23E3">
        <w:rPr>
          <w:rFonts w:asciiTheme="minorHAnsi" w:hAnsiTheme="minorHAnsi" w:cstheme="minorHAnsi"/>
          <w:szCs w:val="24"/>
        </w:rPr>
        <w:t>en ejecución</w:t>
      </w:r>
      <w:r>
        <w:rPr>
          <w:rFonts w:asciiTheme="minorHAnsi" w:hAnsiTheme="minorHAnsi" w:cstheme="minorHAnsi"/>
          <w:szCs w:val="24"/>
        </w:rPr>
        <w:t xml:space="preserve">, desde este Consejo se recomienda que, para facilitar el acceso a la información, se mantengan los contratos de los últimos 5 ejercicios –regla general </w:t>
      </w:r>
      <w:r>
        <w:rPr>
          <w:rFonts w:asciiTheme="minorHAnsi" w:hAnsiTheme="minorHAnsi" w:cstheme="minorHAnsi"/>
          <w:szCs w:val="24"/>
        </w:rPr>
        <w:lastRenderedPageBreak/>
        <w:t>de duración máxima de los contratos incluidas prórrogas – y que si se considera necesario, se genere un rep</w:t>
      </w:r>
      <w:r w:rsidR="008F23E3">
        <w:rPr>
          <w:rFonts w:asciiTheme="minorHAnsi" w:hAnsiTheme="minorHAnsi" w:cstheme="minorHAnsi"/>
          <w:szCs w:val="24"/>
        </w:rPr>
        <w:t>ositorio histórico de contratos, aunque esta información también es accesible a  través del ejercicio del derecho de acceso a información pública.</w:t>
      </w:r>
    </w:p>
    <w:p w:rsidR="00CD147D" w:rsidRDefault="0021064D" w:rsidP="00707596">
      <w:pPr>
        <w:tabs>
          <w:tab w:val="left" w:pos="284"/>
        </w:tabs>
        <w:spacing w:before="120" w:after="120" w:line="312" w:lineRule="auto"/>
        <w:jc w:val="both"/>
        <w:rPr>
          <w:rFonts w:asciiTheme="minorHAnsi" w:hAnsiTheme="minorHAnsi" w:cstheme="minorHAnsi"/>
          <w:szCs w:val="24"/>
        </w:rPr>
      </w:pPr>
      <w:r w:rsidRPr="0021064D">
        <w:rPr>
          <w:rFonts w:asciiTheme="minorHAnsi" w:hAnsiTheme="minorHAnsi" w:cstheme="minorHAnsi"/>
          <w:szCs w:val="24"/>
        </w:rPr>
        <w:t>En relación con</w:t>
      </w:r>
      <w:r>
        <w:rPr>
          <w:rFonts w:asciiTheme="minorHAnsi" w:hAnsiTheme="minorHAnsi" w:cstheme="minorHAnsi"/>
          <w:b/>
          <w:szCs w:val="24"/>
        </w:rPr>
        <w:t xml:space="preserve"> los datos estadísticos sobre contratación </w:t>
      </w:r>
      <w:r w:rsidR="00BC5ADA">
        <w:rPr>
          <w:rFonts w:asciiTheme="minorHAnsi" w:hAnsiTheme="minorHAnsi" w:cstheme="minorHAnsi"/>
          <w:szCs w:val="24"/>
        </w:rPr>
        <w:t xml:space="preserve"> </w:t>
      </w:r>
      <w:r w:rsidR="00707596">
        <w:rPr>
          <w:rFonts w:asciiTheme="minorHAnsi" w:hAnsiTheme="minorHAnsi" w:cstheme="minorHAnsi"/>
          <w:szCs w:val="24"/>
        </w:rPr>
        <w:t xml:space="preserve">y aunque este Consejo valora, que se haya incluido un texto que explica el desfase de la información publicada, sigue recomendando que se valore la posibilidad de </w:t>
      </w:r>
      <w:r w:rsidR="00CD147D">
        <w:rPr>
          <w:rFonts w:asciiTheme="minorHAnsi" w:hAnsiTheme="minorHAnsi" w:cstheme="minorHAnsi"/>
          <w:szCs w:val="24"/>
        </w:rPr>
        <w:t>solicitar esta información directamente a los Ministerios</w:t>
      </w:r>
      <w:r w:rsidR="00BC3D8E">
        <w:rPr>
          <w:rFonts w:asciiTheme="minorHAnsi" w:hAnsiTheme="minorHAnsi" w:cstheme="minorHAnsi"/>
          <w:szCs w:val="24"/>
        </w:rPr>
        <w:t xml:space="preserve">, </w:t>
      </w:r>
      <w:r w:rsidR="00CD147D">
        <w:rPr>
          <w:rFonts w:asciiTheme="minorHAnsi" w:hAnsiTheme="minorHAnsi" w:cstheme="minorHAnsi"/>
          <w:szCs w:val="24"/>
        </w:rPr>
        <w:t>ya que se trata de información de la que deberían disponer.</w:t>
      </w:r>
      <w:r w:rsidR="007D2A3F">
        <w:rPr>
          <w:rFonts w:asciiTheme="minorHAnsi" w:hAnsiTheme="minorHAnsi" w:cstheme="minorHAnsi"/>
          <w:szCs w:val="24"/>
        </w:rPr>
        <w:t xml:space="preserve"> </w:t>
      </w:r>
    </w:p>
    <w:p w:rsidR="00707596" w:rsidRDefault="00707596" w:rsidP="009B5024">
      <w:pPr>
        <w:pStyle w:val="Prrafodelista"/>
        <w:spacing w:before="120" w:after="120" w:line="312" w:lineRule="auto"/>
        <w:ind w:left="0"/>
        <w:contextualSpacing w:val="0"/>
        <w:jc w:val="both"/>
        <w:rPr>
          <w:rFonts w:asciiTheme="minorHAnsi" w:hAnsiTheme="minorHAnsi" w:cstheme="minorHAnsi"/>
          <w:sz w:val="24"/>
          <w:szCs w:val="24"/>
        </w:rPr>
      </w:pPr>
      <w:r>
        <w:rPr>
          <w:rFonts w:asciiTheme="minorHAnsi" w:hAnsiTheme="minorHAnsi" w:cstheme="minorHAnsi"/>
          <w:sz w:val="24"/>
          <w:szCs w:val="24"/>
        </w:rPr>
        <w:t>Respecto de la observación relativa a la obsolescencia de la información relativa a autorizaciones de compatibilidad de empleados, se acepta la observación a la vista de la información suministrada por la OCI y se modifica el informe de evaluación en este sentido.</w:t>
      </w:r>
    </w:p>
    <w:p w:rsidR="006A6F67" w:rsidRDefault="009B5024" w:rsidP="006A6F67">
      <w:pPr>
        <w:pStyle w:val="Prrafodelista"/>
        <w:spacing w:before="120" w:after="120" w:line="312" w:lineRule="auto"/>
        <w:ind w:left="0"/>
        <w:contextualSpacing w:val="0"/>
        <w:jc w:val="both"/>
        <w:rPr>
          <w:rFonts w:asciiTheme="minorHAnsi" w:hAnsiTheme="minorHAnsi" w:cstheme="minorHAnsi"/>
          <w:sz w:val="24"/>
          <w:szCs w:val="24"/>
        </w:rPr>
      </w:pPr>
      <w:r w:rsidRPr="00563923">
        <w:rPr>
          <w:rFonts w:asciiTheme="minorHAnsi" w:hAnsiTheme="minorHAnsi" w:cstheme="minorHAnsi"/>
          <w:sz w:val="24"/>
          <w:szCs w:val="24"/>
        </w:rPr>
        <w:t xml:space="preserve">Este Consejo valora muy positivamente </w:t>
      </w:r>
      <w:r w:rsidR="006A6F67">
        <w:rPr>
          <w:rFonts w:asciiTheme="minorHAnsi" w:hAnsiTheme="minorHAnsi" w:cstheme="minorHAnsi"/>
          <w:sz w:val="24"/>
          <w:szCs w:val="24"/>
        </w:rPr>
        <w:t xml:space="preserve">el esfuerzo de revisión realizado así como </w:t>
      </w:r>
      <w:r w:rsidRPr="00563923">
        <w:rPr>
          <w:rFonts w:asciiTheme="minorHAnsi" w:hAnsiTheme="minorHAnsi" w:cstheme="minorHAnsi"/>
          <w:sz w:val="24"/>
          <w:szCs w:val="24"/>
        </w:rPr>
        <w:t xml:space="preserve">la </w:t>
      </w:r>
      <w:r w:rsidR="000E1EA9">
        <w:rPr>
          <w:rFonts w:asciiTheme="minorHAnsi" w:hAnsiTheme="minorHAnsi" w:cstheme="minorHAnsi"/>
          <w:sz w:val="24"/>
          <w:szCs w:val="24"/>
        </w:rPr>
        <w:t>disposición</w:t>
      </w:r>
      <w:r>
        <w:rPr>
          <w:rFonts w:asciiTheme="minorHAnsi" w:hAnsiTheme="minorHAnsi" w:cstheme="minorHAnsi"/>
          <w:sz w:val="24"/>
          <w:szCs w:val="24"/>
        </w:rPr>
        <w:t xml:space="preserve"> de los responsables del Portal de Transparencia de la AGE </w:t>
      </w:r>
      <w:r w:rsidR="006A6F67">
        <w:rPr>
          <w:rFonts w:asciiTheme="minorHAnsi" w:hAnsiTheme="minorHAnsi" w:cstheme="minorHAnsi"/>
          <w:sz w:val="24"/>
          <w:szCs w:val="24"/>
        </w:rPr>
        <w:t>a</w:t>
      </w:r>
      <w:r w:rsidR="007D2A3F">
        <w:rPr>
          <w:rFonts w:asciiTheme="minorHAnsi" w:hAnsiTheme="minorHAnsi" w:cstheme="minorHAnsi"/>
          <w:sz w:val="24"/>
          <w:szCs w:val="24"/>
        </w:rPr>
        <w:t xml:space="preserve"> la aplicación de </w:t>
      </w:r>
      <w:r w:rsidRPr="00563923">
        <w:rPr>
          <w:rFonts w:asciiTheme="minorHAnsi" w:hAnsiTheme="minorHAnsi" w:cstheme="minorHAnsi"/>
          <w:sz w:val="24"/>
          <w:szCs w:val="24"/>
        </w:rPr>
        <w:t xml:space="preserve">las recomendaciones </w:t>
      </w:r>
      <w:r>
        <w:rPr>
          <w:rFonts w:asciiTheme="minorHAnsi" w:hAnsiTheme="minorHAnsi" w:cstheme="minorHAnsi"/>
          <w:sz w:val="24"/>
          <w:szCs w:val="24"/>
        </w:rPr>
        <w:t>derivadas de la evaluación</w:t>
      </w:r>
      <w:r w:rsidR="00CD147D">
        <w:rPr>
          <w:rFonts w:asciiTheme="minorHAnsi" w:hAnsiTheme="minorHAnsi" w:cstheme="minorHAnsi"/>
          <w:sz w:val="24"/>
          <w:szCs w:val="24"/>
        </w:rPr>
        <w:t xml:space="preserve">, </w:t>
      </w:r>
      <w:r w:rsidR="007A77F8">
        <w:rPr>
          <w:rFonts w:asciiTheme="minorHAnsi" w:hAnsiTheme="minorHAnsi" w:cstheme="minorHAnsi"/>
          <w:sz w:val="24"/>
          <w:szCs w:val="24"/>
        </w:rPr>
        <w:t xml:space="preserve">habiéndose </w:t>
      </w:r>
      <w:r w:rsidR="00CD147D">
        <w:rPr>
          <w:rFonts w:asciiTheme="minorHAnsi" w:hAnsiTheme="minorHAnsi" w:cstheme="minorHAnsi"/>
          <w:sz w:val="24"/>
          <w:szCs w:val="24"/>
        </w:rPr>
        <w:t xml:space="preserve"> ya procedido a la implantación de </w:t>
      </w:r>
      <w:r w:rsidR="003C2D19">
        <w:rPr>
          <w:rFonts w:asciiTheme="minorHAnsi" w:hAnsiTheme="minorHAnsi" w:cstheme="minorHAnsi"/>
          <w:sz w:val="24"/>
          <w:szCs w:val="24"/>
        </w:rPr>
        <w:t>algunas</w:t>
      </w:r>
      <w:r w:rsidR="00CD147D">
        <w:rPr>
          <w:rFonts w:asciiTheme="minorHAnsi" w:hAnsiTheme="minorHAnsi" w:cstheme="minorHAnsi"/>
          <w:sz w:val="24"/>
          <w:szCs w:val="24"/>
        </w:rPr>
        <w:t xml:space="preserve"> recomendaciones durante el periodo de alegaciones</w:t>
      </w:r>
      <w:r w:rsidRPr="00563923">
        <w:rPr>
          <w:rFonts w:asciiTheme="minorHAnsi" w:hAnsiTheme="minorHAnsi" w:cstheme="minorHAnsi"/>
          <w:sz w:val="24"/>
          <w:szCs w:val="24"/>
        </w:rPr>
        <w:t xml:space="preserve">. </w:t>
      </w:r>
      <w:r w:rsidR="007A77F8">
        <w:rPr>
          <w:rFonts w:asciiTheme="minorHAnsi" w:hAnsiTheme="minorHAnsi" w:cstheme="minorHAnsi"/>
          <w:sz w:val="24"/>
          <w:szCs w:val="24"/>
        </w:rPr>
        <w:t>Asimismo, e</w:t>
      </w:r>
      <w:r w:rsidRPr="00563923">
        <w:rPr>
          <w:rFonts w:asciiTheme="minorHAnsi" w:hAnsiTheme="minorHAnsi" w:cstheme="minorHAnsi"/>
          <w:sz w:val="24"/>
          <w:szCs w:val="24"/>
        </w:rPr>
        <w:t xml:space="preserve">ste Consejo es consciente de la dificultad que entraña acometer una revisión del Portal de la Transparencia de la AGE con el fin de incorporar todas las recomendaciones efectuadas, dado </w:t>
      </w:r>
      <w:r w:rsidR="007A77F8">
        <w:rPr>
          <w:rFonts w:asciiTheme="minorHAnsi" w:hAnsiTheme="minorHAnsi" w:cstheme="minorHAnsi"/>
          <w:sz w:val="24"/>
          <w:szCs w:val="24"/>
        </w:rPr>
        <w:t xml:space="preserve">que </w:t>
      </w:r>
      <w:r w:rsidRPr="00563923">
        <w:rPr>
          <w:rFonts w:asciiTheme="minorHAnsi" w:hAnsiTheme="minorHAnsi" w:cstheme="minorHAnsi"/>
          <w:sz w:val="24"/>
          <w:szCs w:val="24"/>
        </w:rPr>
        <w:t xml:space="preserve">el ingente </w:t>
      </w:r>
      <w:r w:rsidR="003C2D19">
        <w:rPr>
          <w:rFonts w:asciiTheme="minorHAnsi" w:hAnsiTheme="minorHAnsi" w:cstheme="minorHAnsi"/>
          <w:sz w:val="24"/>
          <w:szCs w:val="24"/>
        </w:rPr>
        <w:t>volumen</w:t>
      </w:r>
      <w:r w:rsidRPr="00563923">
        <w:rPr>
          <w:rFonts w:asciiTheme="minorHAnsi" w:hAnsiTheme="minorHAnsi" w:cstheme="minorHAnsi"/>
          <w:sz w:val="24"/>
          <w:szCs w:val="24"/>
        </w:rPr>
        <w:t xml:space="preserve"> de información y de actores implicados, exige un alto nivel de cooperación y consenso. </w:t>
      </w:r>
      <w:r w:rsidR="00CD147D">
        <w:rPr>
          <w:rFonts w:asciiTheme="minorHAnsi" w:hAnsiTheme="minorHAnsi" w:cstheme="minorHAnsi"/>
          <w:sz w:val="24"/>
          <w:szCs w:val="24"/>
        </w:rPr>
        <w:t xml:space="preserve">Las previsiones </w:t>
      </w:r>
      <w:r w:rsidR="007A77F8">
        <w:rPr>
          <w:rFonts w:asciiTheme="minorHAnsi" w:hAnsiTheme="minorHAnsi" w:cstheme="minorHAnsi"/>
          <w:sz w:val="24"/>
          <w:szCs w:val="24"/>
        </w:rPr>
        <w:t xml:space="preserve">señaladas </w:t>
      </w:r>
      <w:r w:rsidR="00CD147D">
        <w:rPr>
          <w:rFonts w:asciiTheme="minorHAnsi" w:hAnsiTheme="minorHAnsi" w:cstheme="minorHAnsi"/>
          <w:sz w:val="24"/>
          <w:szCs w:val="24"/>
        </w:rPr>
        <w:t xml:space="preserve">en cuanto a la implantación de mejoras en la organización y contenidos de la información publicada </w:t>
      </w:r>
      <w:r>
        <w:rPr>
          <w:rFonts w:asciiTheme="minorHAnsi" w:hAnsiTheme="minorHAnsi" w:cstheme="minorHAnsi"/>
          <w:sz w:val="24"/>
          <w:szCs w:val="24"/>
        </w:rPr>
        <w:t xml:space="preserve">sin duda </w:t>
      </w:r>
      <w:r w:rsidR="003C2D19">
        <w:rPr>
          <w:rFonts w:asciiTheme="minorHAnsi" w:hAnsiTheme="minorHAnsi" w:cstheme="minorHAnsi"/>
          <w:sz w:val="24"/>
          <w:szCs w:val="24"/>
        </w:rPr>
        <w:t>redundarán</w:t>
      </w:r>
      <w:r>
        <w:rPr>
          <w:rFonts w:asciiTheme="minorHAnsi" w:hAnsiTheme="minorHAnsi" w:cstheme="minorHAnsi"/>
          <w:sz w:val="24"/>
          <w:szCs w:val="24"/>
        </w:rPr>
        <w:t xml:space="preserve"> en un mayor grado de cumplimiento </w:t>
      </w:r>
      <w:r w:rsidR="00CD147D">
        <w:rPr>
          <w:rFonts w:asciiTheme="minorHAnsi" w:hAnsiTheme="minorHAnsi" w:cstheme="minorHAnsi"/>
          <w:sz w:val="24"/>
          <w:szCs w:val="24"/>
        </w:rPr>
        <w:t>de las obligaciones de publicidad activa por parte del Portal de Transparencia de la AGE</w:t>
      </w:r>
      <w:r w:rsidRPr="00563923">
        <w:rPr>
          <w:rFonts w:asciiTheme="minorHAnsi" w:hAnsiTheme="minorHAnsi" w:cstheme="minorHAnsi"/>
          <w:sz w:val="24"/>
          <w:szCs w:val="24"/>
        </w:rPr>
        <w:t>.</w:t>
      </w:r>
    </w:p>
    <w:p w:rsidR="0045134F" w:rsidRPr="00855ECA" w:rsidRDefault="006A6F67" w:rsidP="006A6F67">
      <w:pPr>
        <w:pStyle w:val="Prrafodelista"/>
        <w:spacing w:before="120" w:after="120" w:line="312" w:lineRule="auto"/>
        <w:ind w:left="6381" w:firstLine="709"/>
        <w:contextualSpacing w:val="0"/>
        <w:jc w:val="both"/>
        <w:rPr>
          <w:rFonts w:asciiTheme="minorHAnsi" w:hAnsiTheme="minorHAnsi" w:cstheme="minorHAnsi"/>
          <w:szCs w:val="24"/>
        </w:rPr>
      </w:pPr>
      <w:r>
        <w:rPr>
          <w:rFonts w:asciiTheme="minorHAnsi" w:hAnsiTheme="minorHAnsi" w:cstheme="minorHAnsi"/>
          <w:szCs w:val="24"/>
        </w:rPr>
        <w:t>Madrid, mayo  de 2023</w:t>
      </w:r>
    </w:p>
    <w:sectPr w:rsidR="0045134F" w:rsidRPr="00855ECA" w:rsidSect="0071333C">
      <w:headerReference w:type="default" r:id="rId8"/>
      <w:footerReference w:type="default" r:id="rId9"/>
      <w:headerReference w:type="first" r:id="rId10"/>
      <w:pgSz w:w="11906" w:h="16838" w:code="9"/>
      <w:pgMar w:top="2242" w:right="1134"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96" w:rsidRDefault="00707596" w:rsidP="00344FE7">
      <w:pPr>
        <w:spacing w:after="0" w:line="240" w:lineRule="auto"/>
      </w:pPr>
      <w:r>
        <w:separator/>
      </w:r>
    </w:p>
  </w:endnote>
  <w:endnote w:type="continuationSeparator" w:id="0">
    <w:p w:rsidR="00707596" w:rsidRDefault="0070759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07596" w:rsidRPr="00C23F36" w:rsidRDefault="0070759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1333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96" w:rsidRDefault="00707596" w:rsidP="00344FE7">
      <w:pPr>
        <w:spacing w:after="0" w:line="240" w:lineRule="auto"/>
      </w:pPr>
      <w:r>
        <w:separator/>
      </w:r>
    </w:p>
  </w:footnote>
  <w:footnote w:type="continuationSeparator" w:id="0">
    <w:p w:rsidR="00707596" w:rsidRDefault="0070759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6" w:rsidRDefault="00707596" w:rsidP="00344FE7">
    <w:pPr>
      <w:pStyle w:val="Encabezado"/>
    </w:pPr>
    <w:r>
      <w:rPr>
        <w:noProof/>
        <w:lang w:eastAsia="es-ES"/>
      </w:rPr>
      <w:drawing>
        <wp:anchor distT="0" distB="0" distL="0" distR="0" simplePos="0" relativeHeight="251670528" behindDoc="0" locked="0" layoutInCell="1" allowOverlap="0" wp14:anchorId="2235EA2A" wp14:editId="0965197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96" w:rsidRDefault="00707596" w:rsidP="006F5890">
    <w:pPr>
      <w:jc w:val="right"/>
      <w:rPr>
        <w:noProof/>
        <w:lang w:eastAsia="es-ES"/>
      </w:rPr>
    </w:pPr>
    <w:r>
      <w:rPr>
        <w:noProof/>
        <w:lang w:eastAsia="es-ES"/>
      </w:rPr>
      <w:drawing>
        <wp:anchor distT="0" distB="0" distL="0" distR="0" simplePos="0" relativeHeight="251668480" behindDoc="0" locked="0" layoutInCell="1" allowOverlap="0" wp14:anchorId="068E934C" wp14:editId="26B56C67">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190C8230" wp14:editId="0FEB2BF4">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C676F"/>
    <w:multiLevelType w:val="hybridMultilevel"/>
    <w:tmpl w:val="C6B826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9CF45AD"/>
    <w:multiLevelType w:val="hybridMultilevel"/>
    <w:tmpl w:val="834A37E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1EC4D92"/>
    <w:multiLevelType w:val="hybridMultilevel"/>
    <w:tmpl w:val="5F3876E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30B5118"/>
    <w:multiLevelType w:val="hybridMultilevel"/>
    <w:tmpl w:val="BBBE15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5D3CC7"/>
    <w:multiLevelType w:val="hybridMultilevel"/>
    <w:tmpl w:val="4680218E"/>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2">
    <w:nsid w:val="4FD15650"/>
    <w:multiLevelType w:val="hybridMultilevel"/>
    <w:tmpl w:val="7826A50C"/>
    <w:lvl w:ilvl="0" w:tplc="60CCF728">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FF7555E"/>
    <w:multiLevelType w:val="hybridMultilevel"/>
    <w:tmpl w:val="59847D26"/>
    <w:lvl w:ilvl="0" w:tplc="BE98590E">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510F35"/>
    <w:multiLevelType w:val="hybridMultilevel"/>
    <w:tmpl w:val="FDF685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1F17DC0"/>
    <w:multiLevelType w:val="hybridMultilevel"/>
    <w:tmpl w:val="E93AEA8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E13715"/>
    <w:multiLevelType w:val="hybridMultilevel"/>
    <w:tmpl w:val="CAC0CF0A"/>
    <w:lvl w:ilvl="0" w:tplc="BE98590E">
      <w:start w:val="1"/>
      <w:numFmt w:val="ordin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18"/>
  </w:num>
  <w:num w:numId="12">
    <w:abstractNumId w:val="15"/>
  </w:num>
  <w:num w:numId="13">
    <w:abstractNumId w:val="4"/>
  </w:num>
  <w:num w:numId="14">
    <w:abstractNumId w:val="11"/>
  </w:num>
  <w:num w:numId="15">
    <w:abstractNumId w:val="10"/>
  </w:num>
  <w:num w:numId="16">
    <w:abstractNumId w:val="19"/>
  </w:num>
  <w:num w:numId="17">
    <w:abstractNumId w:val="14"/>
  </w:num>
  <w:num w:numId="18">
    <w:abstractNumId w:val="9"/>
  </w:num>
  <w:num w:numId="19">
    <w:abstractNumId w:val="5"/>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1767"/>
    <w:rsid w:val="000234B9"/>
    <w:rsid w:val="00033E75"/>
    <w:rsid w:val="000340C6"/>
    <w:rsid w:val="00036A5D"/>
    <w:rsid w:val="00074030"/>
    <w:rsid w:val="00096C86"/>
    <w:rsid w:val="000E1EA9"/>
    <w:rsid w:val="001257F9"/>
    <w:rsid w:val="00130222"/>
    <w:rsid w:val="0014196C"/>
    <w:rsid w:val="001472B9"/>
    <w:rsid w:val="001620F0"/>
    <w:rsid w:val="001750A8"/>
    <w:rsid w:val="00175D6C"/>
    <w:rsid w:val="0018324C"/>
    <w:rsid w:val="00194E05"/>
    <w:rsid w:val="001B16D9"/>
    <w:rsid w:val="001C214A"/>
    <w:rsid w:val="001E44BC"/>
    <w:rsid w:val="00210111"/>
    <w:rsid w:val="0021064D"/>
    <w:rsid w:val="00235A40"/>
    <w:rsid w:val="00241D6D"/>
    <w:rsid w:val="00245DFC"/>
    <w:rsid w:val="00251194"/>
    <w:rsid w:val="00292806"/>
    <w:rsid w:val="00297544"/>
    <w:rsid w:val="002A4771"/>
    <w:rsid w:val="002C000A"/>
    <w:rsid w:val="002E2AFB"/>
    <w:rsid w:val="002F4D5B"/>
    <w:rsid w:val="002F5D0B"/>
    <w:rsid w:val="002F7779"/>
    <w:rsid w:val="00310FA2"/>
    <w:rsid w:val="003259B9"/>
    <w:rsid w:val="0034465B"/>
    <w:rsid w:val="00344FE7"/>
    <w:rsid w:val="00345F4B"/>
    <w:rsid w:val="00351475"/>
    <w:rsid w:val="003656B1"/>
    <w:rsid w:val="003B5DE7"/>
    <w:rsid w:val="003C2D19"/>
    <w:rsid w:val="003D0DAF"/>
    <w:rsid w:val="003F0972"/>
    <w:rsid w:val="003F38BD"/>
    <w:rsid w:val="004108BB"/>
    <w:rsid w:val="00413300"/>
    <w:rsid w:val="00440C9A"/>
    <w:rsid w:val="0045134F"/>
    <w:rsid w:val="00465EAD"/>
    <w:rsid w:val="004B15B8"/>
    <w:rsid w:val="004D246C"/>
    <w:rsid w:val="004D4EF1"/>
    <w:rsid w:val="00563923"/>
    <w:rsid w:val="00593405"/>
    <w:rsid w:val="005B1C12"/>
    <w:rsid w:val="005B66F3"/>
    <w:rsid w:val="005E3D42"/>
    <w:rsid w:val="00604EEA"/>
    <w:rsid w:val="00614890"/>
    <w:rsid w:val="00651A35"/>
    <w:rsid w:val="0065796D"/>
    <w:rsid w:val="00665BA1"/>
    <w:rsid w:val="006A6F67"/>
    <w:rsid w:val="006C0214"/>
    <w:rsid w:val="006D4BF3"/>
    <w:rsid w:val="006F17B5"/>
    <w:rsid w:val="006F5890"/>
    <w:rsid w:val="00707596"/>
    <w:rsid w:val="0071333C"/>
    <w:rsid w:val="0071472F"/>
    <w:rsid w:val="007342F2"/>
    <w:rsid w:val="0077553A"/>
    <w:rsid w:val="00780DF9"/>
    <w:rsid w:val="007A53A8"/>
    <w:rsid w:val="007A662D"/>
    <w:rsid w:val="007A77F8"/>
    <w:rsid w:val="007B7237"/>
    <w:rsid w:val="007C00E5"/>
    <w:rsid w:val="007C0642"/>
    <w:rsid w:val="007C1C6F"/>
    <w:rsid w:val="007C449F"/>
    <w:rsid w:val="007D24E2"/>
    <w:rsid w:val="007D2A3F"/>
    <w:rsid w:val="007E1F93"/>
    <w:rsid w:val="00815DA2"/>
    <w:rsid w:val="00816D4F"/>
    <w:rsid w:val="00855ECA"/>
    <w:rsid w:val="00856637"/>
    <w:rsid w:val="00862FB0"/>
    <w:rsid w:val="0089717A"/>
    <w:rsid w:val="008B79BD"/>
    <w:rsid w:val="008F23E3"/>
    <w:rsid w:val="00901F1F"/>
    <w:rsid w:val="009029E0"/>
    <w:rsid w:val="009557B1"/>
    <w:rsid w:val="00977D71"/>
    <w:rsid w:val="00983811"/>
    <w:rsid w:val="009871C5"/>
    <w:rsid w:val="00987B3A"/>
    <w:rsid w:val="009B5024"/>
    <w:rsid w:val="009B5E4A"/>
    <w:rsid w:val="009B7ADA"/>
    <w:rsid w:val="009D2560"/>
    <w:rsid w:val="009D6677"/>
    <w:rsid w:val="009E16B5"/>
    <w:rsid w:val="009E30AA"/>
    <w:rsid w:val="00A24192"/>
    <w:rsid w:val="00A26523"/>
    <w:rsid w:val="00A603C7"/>
    <w:rsid w:val="00A62936"/>
    <w:rsid w:val="00A64FC8"/>
    <w:rsid w:val="00AE5BF4"/>
    <w:rsid w:val="00B065F8"/>
    <w:rsid w:val="00B20ABA"/>
    <w:rsid w:val="00B21038"/>
    <w:rsid w:val="00B2640A"/>
    <w:rsid w:val="00B2797F"/>
    <w:rsid w:val="00B31F84"/>
    <w:rsid w:val="00B35A53"/>
    <w:rsid w:val="00B5520E"/>
    <w:rsid w:val="00B75881"/>
    <w:rsid w:val="00B81EE6"/>
    <w:rsid w:val="00BC3D8E"/>
    <w:rsid w:val="00BC4E68"/>
    <w:rsid w:val="00BC5ADA"/>
    <w:rsid w:val="00BC7A82"/>
    <w:rsid w:val="00BF5291"/>
    <w:rsid w:val="00BF5B9B"/>
    <w:rsid w:val="00C01613"/>
    <w:rsid w:val="00C0201F"/>
    <w:rsid w:val="00C05003"/>
    <w:rsid w:val="00C119CE"/>
    <w:rsid w:val="00C23F36"/>
    <w:rsid w:val="00C305B6"/>
    <w:rsid w:val="00C3135F"/>
    <w:rsid w:val="00C736B9"/>
    <w:rsid w:val="00C82AB2"/>
    <w:rsid w:val="00C87BC3"/>
    <w:rsid w:val="00C9137E"/>
    <w:rsid w:val="00C9374A"/>
    <w:rsid w:val="00C94C61"/>
    <w:rsid w:val="00CD147D"/>
    <w:rsid w:val="00CD5AC3"/>
    <w:rsid w:val="00CF0704"/>
    <w:rsid w:val="00D23111"/>
    <w:rsid w:val="00D445A4"/>
    <w:rsid w:val="00D44E9D"/>
    <w:rsid w:val="00D72EF9"/>
    <w:rsid w:val="00D8631B"/>
    <w:rsid w:val="00DB21EC"/>
    <w:rsid w:val="00DB2CB4"/>
    <w:rsid w:val="00DB2CCC"/>
    <w:rsid w:val="00DC20E5"/>
    <w:rsid w:val="00DD07B5"/>
    <w:rsid w:val="00DD0A24"/>
    <w:rsid w:val="00DF3C90"/>
    <w:rsid w:val="00DF5982"/>
    <w:rsid w:val="00E03C82"/>
    <w:rsid w:val="00E30C4E"/>
    <w:rsid w:val="00E35741"/>
    <w:rsid w:val="00E4386D"/>
    <w:rsid w:val="00E5135F"/>
    <w:rsid w:val="00E5554E"/>
    <w:rsid w:val="00E64F85"/>
    <w:rsid w:val="00E765D0"/>
    <w:rsid w:val="00E851A5"/>
    <w:rsid w:val="00E90B21"/>
    <w:rsid w:val="00E927C9"/>
    <w:rsid w:val="00EB7058"/>
    <w:rsid w:val="00EC3AAE"/>
    <w:rsid w:val="00ED6FD3"/>
    <w:rsid w:val="00EF5F68"/>
    <w:rsid w:val="00F14500"/>
    <w:rsid w:val="00F17B00"/>
    <w:rsid w:val="00F270A6"/>
    <w:rsid w:val="00F5121D"/>
    <w:rsid w:val="00F777C2"/>
    <w:rsid w:val="00F80E8A"/>
    <w:rsid w:val="00F85353"/>
    <w:rsid w:val="00FA6AF8"/>
    <w:rsid w:val="00FC1400"/>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C5"/>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65B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65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B5520E"/>
    <w:rPr>
      <w:sz w:val="16"/>
      <w:szCs w:val="16"/>
    </w:rPr>
  </w:style>
  <w:style w:type="paragraph" w:styleId="Textocomentario">
    <w:name w:val="annotation text"/>
    <w:basedOn w:val="Normal"/>
    <w:link w:val="TextocomentarioCar"/>
    <w:uiPriority w:val="99"/>
    <w:semiHidden/>
    <w:unhideWhenUsed/>
    <w:rsid w:val="00B5520E"/>
    <w:pPr>
      <w:spacing w:line="240" w:lineRule="auto"/>
      <w:jc w:val="both"/>
    </w:pPr>
    <w:rPr>
      <w:rFonts w:asciiTheme="minorHAnsi" w:eastAsiaTheme="minorEastAsia" w:hAnsiTheme="minorHAnsi"/>
      <w:sz w:val="20"/>
      <w:szCs w:val="20"/>
      <w:lang w:eastAsia="es-ES"/>
    </w:rPr>
  </w:style>
  <w:style w:type="character" w:customStyle="1" w:styleId="TextocomentarioCar">
    <w:name w:val="Texto comentario Car"/>
    <w:basedOn w:val="Fuentedeprrafopredeter"/>
    <w:link w:val="Textocomentario"/>
    <w:uiPriority w:val="99"/>
    <w:semiHidden/>
    <w:rsid w:val="00B5520E"/>
    <w:rPr>
      <w:rFonts w:asciiTheme="minorHAnsi" w:eastAsiaTheme="minorEastAsia" w:hAnsiTheme="minorHAnsi"/>
      <w:sz w:val="20"/>
      <w:szCs w:val="20"/>
      <w:lang w:eastAsia="es-ES"/>
    </w:rPr>
  </w:style>
  <w:style w:type="character" w:customStyle="1" w:styleId="Ttulo2Car">
    <w:name w:val="Título 2 Car"/>
    <w:basedOn w:val="Fuentedeprrafopredeter"/>
    <w:link w:val="Ttulo2"/>
    <w:uiPriority w:val="9"/>
    <w:rsid w:val="00665BA1"/>
    <w:rPr>
      <w:rFonts w:asciiTheme="majorHAnsi" w:eastAsiaTheme="majorEastAsia" w:hAnsiTheme="majorHAnsi" w:cstheme="majorBidi"/>
      <w:b/>
      <w:bCs/>
      <w:color w:val="4F81BD" w:themeColor="accent1"/>
      <w:sz w:val="26"/>
      <w:szCs w:val="26"/>
    </w:rPr>
  </w:style>
  <w:style w:type="paragraph" w:customStyle="1" w:styleId="Cuerpodelboletn">
    <w:name w:val="Cuerpo del boletín"/>
    <w:basedOn w:val="Normal"/>
    <w:qFormat/>
    <w:rsid w:val="00665BA1"/>
    <w:pPr>
      <w:spacing w:line="240" w:lineRule="auto"/>
      <w:jc w:val="both"/>
    </w:pPr>
    <w:rPr>
      <w:rFonts w:ascii="Century Gothic" w:eastAsiaTheme="minorEastAsia" w:hAnsi="Century Gothic"/>
      <w:color w:val="000000"/>
      <w:sz w:val="22"/>
      <w:szCs w:val="24"/>
      <w:lang w:eastAsia="es-ES"/>
    </w:rPr>
  </w:style>
  <w:style w:type="character" w:customStyle="1" w:styleId="Ttulo3Car">
    <w:name w:val="Título 3 Car"/>
    <w:basedOn w:val="Fuentedeprrafopredeter"/>
    <w:link w:val="Ttulo3"/>
    <w:uiPriority w:val="9"/>
    <w:rsid w:val="00665BA1"/>
    <w:rPr>
      <w:rFonts w:asciiTheme="majorHAnsi" w:eastAsiaTheme="majorEastAsia" w:hAnsiTheme="majorHAnsi" w:cstheme="majorBidi"/>
      <w:b/>
      <w:bCs/>
      <w:color w:val="4F81BD" w:themeColor="accent1"/>
    </w:rPr>
  </w:style>
  <w:style w:type="paragraph" w:styleId="Asuntodelcomentario">
    <w:name w:val="annotation subject"/>
    <w:basedOn w:val="Textocomentario"/>
    <w:next w:val="Textocomentario"/>
    <w:link w:val="AsuntodelcomentarioCar"/>
    <w:uiPriority w:val="99"/>
    <w:semiHidden/>
    <w:unhideWhenUsed/>
    <w:rsid w:val="00241D6D"/>
    <w:pPr>
      <w:jc w:val="left"/>
    </w:pPr>
    <w:rPr>
      <w:rFonts w:ascii="Calibri" w:eastAsiaTheme="minorHAnsi" w:hAnsi="Calibri"/>
      <w:b/>
      <w:bCs/>
      <w:lang w:eastAsia="en-US"/>
    </w:rPr>
  </w:style>
  <w:style w:type="character" w:customStyle="1" w:styleId="AsuntodelcomentarioCar">
    <w:name w:val="Asunto del comentario Car"/>
    <w:basedOn w:val="TextocomentarioCar"/>
    <w:link w:val="Asuntodelcomentario"/>
    <w:uiPriority w:val="99"/>
    <w:semiHidden/>
    <w:rsid w:val="00241D6D"/>
    <w:rPr>
      <w:rFonts w:asciiTheme="minorHAnsi" w:eastAsiaTheme="minorEastAsia" w:hAnsiTheme="minorHAnsi"/>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C5"/>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65B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65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B5520E"/>
    <w:rPr>
      <w:sz w:val="16"/>
      <w:szCs w:val="16"/>
    </w:rPr>
  </w:style>
  <w:style w:type="paragraph" w:styleId="Textocomentario">
    <w:name w:val="annotation text"/>
    <w:basedOn w:val="Normal"/>
    <w:link w:val="TextocomentarioCar"/>
    <w:uiPriority w:val="99"/>
    <w:semiHidden/>
    <w:unhideWhenUsed/>
    <w:rsid w:val="00B5520E"/>
    <w:pPr>
      <w:spacing w:line="240" w:lineRule="auto"/>
      <w:jc w:val="both"/>
    </w:pPr>
    <w:rPr>
      <w:rFonts w:asciiTheme="minorHAnsi" w:eastAsiaTheme="minorEastAsia" w:hAnsiTheme="minorHAnsi"/>
      <w:sz w:val="20"/>
      <w:szCs w:val="20"/>
      <w:lang w:eastAsia="es-ES"/>
    </w:rPr>
  </w:style>
  <w:style w:type="character" w:customStyle="1" w:styleId="TextocomentarioCar">
    <w:name w:val="Texto comentario Car"/>
    <w:basedOn w:val="Fuentedeprrafopredeter"/>
    <w:link w:val="Textocomentario"/>
    <w:uiPriority w:val="99"/>
    <w:semiHidden/>
    <w:rsid w:val="00B5520E"/>
    <w:rPr>
      <w:rFonts w:asciiTheme="minorHAnsi" w:eastAsiaTheme="minorEastAsia" w:hAnsiTheme="minorHAnsi"/>
      <w:sz w:val="20"/>
      <w:szCs w:val="20"/>
      <w:lang w:eastAsia="es-ES"/>
    </w:rPr>
  </w:style>
  <w:style w:type="character" w:customStyle="1" w:styleId="Ttulo2Car">
    <w:name w:val="Título 2 Car"/>
    <w:basedOn w:val="Fuentedeprrafopredeter"/>
    <w:link w:val="Ttulo2"/>
    <w:uiPriority w:val="9"/>
    <w:rsid w:val="00665BA1"/>
    <w:rPr>
      <w:rFonts w:asciiTheme="majorHAnsi" w:eastAsiaTheme="majorEastAsia" w:hAnsiTheme="majorHAnsi" w:cstheme="majorBidi"/>
      <w:b/>
      <w:bCs/>
      <w:color w:val="4F81BD" w:themeColor="accent1"/>
      <w:sz w:val="26"/>
      <w:szCs w:val="26"/>
    </w:rPr>
  </w:style>
  <w:style w:type="paragraph" w:customStyle="1" w:styleId="Cuerpodelboletn">
    <w:name w:val="Cuerpo del boletín"/>
    <w:basedOn w:val="Normal"/>
    <w:qFormat/>
    <w:rsid w:val="00665BA1"/>
    <w:pPr>
      <w:spacing w:line="240" w:lineRule="auto"/>
      <w:jc w:val="both"/>
    </w:pPr>
    <w:rPr>
      <w:rFonts w:ascii="Century Gothic" w:eastAsiaTheme="minorEastAsia" w:hAnsi="Century Gothic"/>
      <w:color w:val="000000"/>
      <w:sz w:val="22"/>
      <w:szCs w:val="24"/>
      <w:lang w:eastAsia="es-ES"/>
    </w:rPr>
  </w:style>
  <w:style w:type="character" w:customStyle="1" w:styleId="Ttulo3Car">
    <w:name w:val="Título 3 Car"/>
    <w:basedOn w:val="Fuentedeprrafopredeter"/>
    <w:link w:val="Ttulo3"/>
    <w:uiPriority w:val="9"/>
    <w:rsid w:val="00665BA1"/>
    <w:rPr>
      <w:rFonts w:asciiTheme="majorHAnsi" w:eastAsiaTheme="majorEastAsia" w:hAnsiTheme="majorHAnsi" w:cstheme="majorBidi"/>
      <w:b/>
      <w:bCs/>
      <w:color w:val="4F81BD" w:themeColor="accent1"/>
    </w:rPr>
  </w:style>
  <w:style w:type="paragraph" w:styleId="Asuntodelcomentario">
    <w:name w:val="annotation subject"/>
    <w:basedOn w:val="Textocomentario"/>
    <w:next w:val="Textocomentario"/>
    <w:link w:val="AsuntodelcomentarioCar"/>
    <w:uiPriority w:val="99"/>
    <w:semiHidden/>
    <w:unhideWhenUsed/>
    <w:rsid w:val="00241D6D"/>
    <w:pPr>
      <w:jc w:val="left"/>
    </w:pPr>
    <w:rPr>
      <w:rFonts w:ascii="Calibri" w:eastAsiaTheme="minorHAnsi" w:hAnsi="Calibri"/>
      <w:b/>
      <w:bCs/>
      <w:lang w:eastAsia="en-US"/>
    </w:rPr>
  </w:style>
  <w:style w:type="character" w:customStyle="1" w:styleId="AsuntodelcomentarioCar">
    <w:name w:val="Asunto del comentario Car"/>
    <w:basedOn w:val="TextocomentarioCar"/>
    <w:link w:val="Asuntodelcomentario"/>
    <w:uiPriority w:val="99"/>
    <w:semiHidden/>
    <w:rsid w:val="00241D6D"/>
    <w:rPr>
      <w:rFonts w:asciiTheme="minorHAnsi" w:eastAsiaTheme="minorEastAsia" w:hAnsiTheme="minorHAns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2015-01-27T17:42:00Z</cp:lastPrinted>
  <dcterms:created xsi:type="dcterms:W3CDTF">2023-05-16T11:50:00Z</dcterms:created>
  <dcterms:modified xsi:type="dcterms:W3CDTF">2023-05-25T08:00:00Z</dcterms:modified>
</cp:coreProperties>
</file>