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FBE" w:rsidRDefault="00432FBE" w:rsidP="00961261">
      <w:pPr>
        <w:spacing w:after="0" w:line="240" w:lineRule="auto"/>
        <w:jc w:val="both"/>
        <w:rPr>
          <w:u w:val="single"/>
        </w:rPr>
      </w:pPr>
    </w:p>
    <w:p w:rsidR="00022B51" w:rsidRPr="0076793C" w:rsidRDefault="00B03B05" w:rsidP="00961261">
      <w:pPr>
        <w:spacing w:after="0" w:line="240" w:lineRule="auto"/>
        <w:jc w:val="both"/>
        <w:rPr>
          <w:sz w:val="24"/>
          <w:szCs w:val="24"/>
          <w:u w:val="single"/>
        </w:rPr>
      </w:pPr>
      <w:r w:rsidRPr="0076793C">
        <w:rPr>
          <w:sz w:val="24"/>
          <w:szCs w:val="24"/>
          <w:u w:val="single"/>
        </w:rPr>
        <w:t xml:space="preserve">Informe de revisión del cumplimiento de las </w:t>
      </w:r>
      <w:r w:rsidR="00532321">
        <w:rPr>
          <w:sz w:val="24"/>
          <w:szCs w:val="24"/>
          <w:u w:val="single"/>
        </w:rPr>
        <w:t>obligaciones de publicidad a</w:t>
      </w:r>
      <w:r w:rsidRPr="0076793C">
        <w:rPr>
          <w:sz w:val="24"/>
          <w:szCs w:val="24"/>
          <w:u w:val="single"/>
        </w:rPr>
        <w:t>ctiva por parte del Portal de Transparencia de la Administración General del Estado</w:t>
      </w:r>
    </w:p>
    <w:p w:rsidR="00AD6DE6" w:rsidRPr="0076793C" w:rsidRDefault="00AD6DE6" w:rsidP="00961261">
      <w:pPr>
        <w:spacing w:after="0" w:line="240" w:lineRule="auto"/>
        <w:jc w:val="both"/>
        <w:rPr>
          <w:b/>
          <w:sz w:val="24"/>
          <w:szCs w:val="24"/>
        </w:rPr>
      </w:pPr>
    </w:p>
    <w:p w:rsidR="006A4066" w:rsidRPr="0076793C" w:rsidRDefault="00532321" w:rsidP="00961261">
      <w:pPr>
        <w:spacing w:after="0" w:line="240" w:lineRule="auto"/>
        <w:jc w:val="both"/>
        <w:rPr>
          <w:b/>
          <w:sz w:val="24"/>
          <w:szCs w:val="24"/>
        </w:rPr>
      </w:pPr>
      <w:r>
        <w:rPr>
          <w:b/>
          <w:sz w:val="24"/>
          <w:szCs w:val="24"/>
        </w:rPr>
        <w:t xml:space="preserve">EL </w:t>
      </w:r>
      <w:r w:rsidR="006A4066" w:rsidRPr="0076793C">
        <w:rPr>
          <w:b/>
          <w:sz w:val="24"/>
          <w:szCs w:val="24"/>
        </w:rPr>
        <w:t>PORTAL DE LA A</w:t>
      </w:r>
      <w:r w:rsidR="00E058E4" w:rsidRPr="0076793C">
        <w:rPr>
          <w:b/>
          <w:sz w:val="24"/>
          <w:szCs w:val="24"/>
        </w:rPr>
        <w:t xml:space="preserve">DMINISTRACIÓN </w:t>
      </w:r>
      <w:r w:rsidR="006A4066" w:rsidRPr="0076793C">
        <w:rPr>
          <w:b/>
          <w:sz w:val="24"/>
          <w:szCs w:val="24"/>
        </w:rPr>
        <w:t>G</w:t>
      </w:r>
      <w:r w:rsidR="00E058E4" w:rsidRPr="0076793C">
        <w:rPr>
          <w:b/>
          <w:sz w:val="24"/>
          <w:szCs w:val="24"/>
        </w:rPr>
        <w:t xml:space="preserve">ENERAL DEL </w:t>
      </w:r>
      <w:r w:rsidR="006A4066" w:rsidRPr="0076793C">
        <w:rPr>
          <w:b/>
          <w:sz w:val="24"/>
          <w:szCs w:val="24"/>
        </w:rPr>
        <w:t>E</w:t>
      </w:r>
      <w:r w:rsidR="00E058E4" w:rsidRPr="0076793C">
        <w:rPr>
          <w:b/>
          <w:sz w:val="24"/>
          <w:szCs w:val="24"/>
        </w:rPr>
        <w:t>STADO</w:t>
      </w:r>
      <w:r>
        <w:rPr>
          <w:b/>
          <w:sz w:val="24"/>
          <w:szCs w:val="24"/>
        </w:rPr>
        <w:t xml:space="preserve"> MEJOR</w:t>
      </w:r>
      <w:r w:rsidR="006A4066" w:rsidRPr="0076793C">
        <w:rPr>
          <w:b/>
          <w:sz w:val="24"/>
          <w:szCs w:val="24"/>
        </w:rPr>
        <w:t xml:space="preserve">A EL </w:t>
      </w:r>
      <w:r>
        <w:rPr>
          <w:b/>
          <w:sz w:val="24"/>
          <w:szCs w:val="24"/>
        </w:rPr>
        <w:t xml:space="preserve">GRADO DE </w:t>
      </w:r>
      <w:r w:rsidR="006A4066" w:rsidRPr="0076793C">
        <w:rPr>
          <w:b/>
          <w:sz w:val="24"/>
          <w:szCs w:val="24"/>
        </w:rPr>
        <w:t>CUMPLIMIENTO DE LAS OBLIGACIONES DE TRANSPARENCIA</w:t>
      </w:r>
    </w:p>
    <w:p w:rsidR="00AD6DE6" w:rsidRPr="0076793C" w:rsidRDefault="00AD6DE6" w:rsidP="00961261">
      <w:pPr>
        <w:spacing w:after="0" w:line="240" w:lineRule="auto"/>
        <w:jc w:val="both"/>
        <w:rPr>
          <w:sz w:val="24"/>
          <w:szCs w:val="24"/>
          <w:highlight w:val="yellow"/>
        </w:rPr>
      </w:pPr>
    </w:p>
    <w:p w:rsidR="002723CA" w:rsidRDefault="006A4066" w:rsidP="00961261">
      <w:pPr>
        <w:pStyle w:val="Prrafodelista"/>
        <w:numPr>
          <w:ilvl w:val="0"/>
          <w:numId w:val="4"/>
        </w:numPr>
        <w:spacing w:line="240" w:lineRule="auto"/>
        <w:jc w:val="both"/>
        <w:rPr>
          <w:sz w:val="24"/>
          <w:szCs w:val="24"/>
        </w:rPr>
      </w:pPr>
      <w:r w:rsidRPr="0076793C">
        <w:rPr>
          <w:sz w:val="24"/>
          <w:szCs w:val="24"/>
        </w:rPr>
        <w:t xml:space="preserve">Con un Índice de Cumplimiento de la Información Obligatoria (ICIO) del </w:t>
      </w:r>
      <w:r w:rsidR="008D37A0">
        <w:rPr>
          <w:sz w:val="24"/>
          <w:szCs w:val="24"/>
        </w:rPr>
        <w:t>81</w:t>
      </w:r>
      <w:r w:rsidRPr="0076793C">
        <w:rPr>
          <w:sz w:val="24"/>
          <w:szCs w:val="24"/>
        </w:rPr>
        <w:t xml:space="preserve">%, la Administración General del Estado registra un incremento de </w:t>
      </w:r>
      <w:r w:rsidR="008D37A0">
        <w:rPr>
          <w:sz w:val="24"/>
          <w:szCs w:val="24"/>
        </w:rPr>
        <w:t>6</w:t>
      </w:r>
      <w:r w:rsidRPr="0076793C">
        <w:rPr>
          <w:sz w:val="24"/>
          <w:szCs w:val="24"/>
        </w:rPr>
        <w:t xml:space="preserve"> puntos porcentuales, respecto al año 202</w:t>
      </w:r>
      <w:r w:rsidR="008D37A0">
        <w:rPr>
          <w:sz w:val="24"/>
          <w:szCs w:val="24"/>
        </w:rPr>
        <w:t>2</w:t>
      </w:r>
      <w:r w:rsidRPr="0076793C">
        <w:rPr>
          <w:sz w:val="24"/>
          <w:szCs w:val="24"/>
        </w:rPr>
        <w:t>.</w:t>
      </w:r>
    </w:p>
    <w:p w:rsidR="00D62F13" w:rsidRPr="0076793C" w:rsidRDefault="00D62F13" w:rsidP="00D62F13">
      <w:pPr>
        <w:pStyle w:val="Prrafodelista"/>
        <w:spacing w:line="240" w:lineRule="auto"/>
        <w:ind w:left="360"/>
        <w:jc w:val="both"/>
        <w:rPr>
          <w:sz w:val="24"/>
          <w:szCs w:val="24"/>
        </w:rPr>
      </w:pPr>
    </w:p>
    <w:p w:rsidR="006A4066" w:rsidRDefault="006A4066" w:rsidP="00961261">
      <w:pPr>
        <w:pStyle w:val="Prrafodelista"/>
        <w:numPr>
          <w:ilvl w:val="0"/>
          <w:numId w:val="4"/>
        </w:numPr>
        <w:spacing w:line="240" w:lineRule="auto"/>
        <w:jc w:val="both"/>
        <w:rPr>
          <w:sz w:val="24"/>
          <w:szCs w:val="24"/>
        </w:rPr>
      </w:pPr>
      <w:r w:rsidRPr="0076793C">
        <w:rPr>
          <w:sz w:val="24"/>
          <w:szCs w:val="24"/>
        </w:rPr>
        <w:t>Esta mejora se sustenta en el cumplimiento</w:t>
      </w:r>
      <w:r w:rsidR="00F6711C" w:rsidRPr="0076793C">
        <w:rPr>
          <w:sz w:val="24"/>
          <w:szCs w:val="24"/>
        </w:rPr>
        <w:t xml:space="preserve"> en un </w:t>
      </w:r>
      <w:r w:rsidR="008D37A0">
        <w:rPr>
          <w:sz w:val="24"/>
          <w:szCs w:val="24"/>
        </w:rPr>
        <w:t>42,3</w:t>
      </w:r>
      <w:r w:rsidR="00F6711C" w:rsidRPr="0076793C">
        <w:rPr>
          <w:sz w:val="24"/>
          <w:szCs w:val="24"/>
        </w:rPr>
        <w:t xml:space="preserve">% de </w:t>
      </w:r>
      <w:r w:rsidRPr="0076793C">
        <w:rPr>
          <w:sz w:val="24"/>
          <w:szCs w:val="24"/>
        </w:rPr>
        <w:t xml:space="preserve">las recomendaciones realizadas por el Consejo de Transparencia y Buen Gobierno en su evaluación </w:t>
      </w:r>
      <w:r w:rsidR="00532321">
        <w:rPr>
          <w:sz w:val="24"/>
          <w:szCs w:val="24"/>
        </w:rPr>
        <w:t>del pasado año</w:t>
      </w:r>
      <w:r w:rsidRPr="0076793C">
        <w:rPr>
          <w:sz w:val="24"/>
          <w:szCs w:val="24"/>
        </w:rPr>
        <w:t>.</w:t>
      </w:r>
    </w:p>
    <w:p w:rsidR="00532321" w:rsidRPr="00532321" w:rsidRDefault="00532321" w:rsidP="00532321">
      <w:pPr>
        <w:pStyle w:val="Prrafodelista"/>
        <w:rPr>
          <w:sz w:val="24"/>
          <w:szCs w:val="24"/>
        </w:rPr>
      </w:pPr>
    </w:p>
    <w:p w:rsidR="00532321" w:rsidRDefault="00532321" w:rsidP="00961261">
      <w:pPr>
        <w:pStyle w:val="Prrafodelista"/>
        <w:numPr>
          <w:ilvl w:val="0"/>
          <w:numId w:val="4"/>
        </w:numPr>
        <w:spacing w:line="240" w:lineRule="auto"/>
        <w:jc w:val="both"/>
        <w:rPr>
          <w:sz w:val="24"/>
          <w:szCs w:val="24"/>
        </w:rPr>
      </w:pPr>
      <w:r>
        <w:rPr>
          <w:sz w:val="24"/>
          <w:szCs w:val="24"/>
        </w:rPr>
        <w:t xml:space="preserve">El CTBG reconoce el esfuerzo que están realizando los responsables del Portal al tiempo que reitera la necesidad de continuar implantando las medidas necesarias para alcanzar el nivel exigido por la Ley de Transparencia. </w:t>
      </w:r>
    </w:p>
    <w:p w:rsidR="0076793C" w:rsidRPr="0076793C" w:rsidRDefault="0076793C" w:rsidP="0076793C">
      <w:pPr>
        <w:pStyle w:val="Prrafodelista"/>
        <w:spacing w:line="240" w:lineRule="auto"/>
        <w:ind w:left="360"/>
        <w:jc w:val="both"/>
        <w:rPr>
          <w:sz w:val="24"/>
          <w:szCs w:val="24"/>
        </w:rPr>
      </w:pPr>
    </w:p>
    <w:p w:rsidR="006A4066" w:rsidRPr="0076793C" w:rsidRDefault="00E07A15" w:rsidP="00961261">
      <w:pPr>
        <w:spacing w:after="0" w:line="240" w:lineRule="auto"/>
        <w:jc w:val="both"/>
        <w:rPr>
          <w:b/>
          <w:sz w:val="24"/>
          <w:szCs w:val="24"/>
        </w:rPr>
      </w:pPr>
      <w:r>
        <w:rPr>
          <w:sz w:val="24"/>
          <w:szCs w:val="24"/>
          <w:u w:val="single"/>
        </w:rPr>
        <w:t xml:space="preserve">Madrid, </w:t>
      </w:r>
      <w:r w:rsidR="00711C0D">
        <w:rPr>
          <w:sz w:val="24"/>
          <w:szCs w:val="24"/>
          <w:u w:val="single"/>
        </w:rPr>
        <w:t>31</w:t>
      </w:r>
      <w:r w:rsidR="002723CA" w:rsidRPr="0076793C">
        <w:rPr>
          <w:sz w:val="24"/>
          <w:szCs w:val="24"/>
          <w:u w:val="single"/>
        </w:rPr>
        <w:t xml:space="preserve"> de </w:t>
      </w:r>
      <w:r w:rsidR="008D37A0">
        <w:rPr>
          <w:sz w:val="24"/>
          <w:szCs w:val="24"/>
          <w:u w:val="single"/>
        </w:rPr>
        <w:t>mayo</w:t>
      </w:r>
      <w:r w:rsidR="002723CA" w:rsidRPr="0076793C">
        <w:rPr>
          <w:sz w:val="24"/>
          <w:szCs w:val="24"/>
          <w:u w:val="single"/>
        </w:rPr>
        <w:t xml:space="preserve"> de 202</w:t>
      </w:r>
      <w:r w:rsidR="008D37A0">
        <w:rPr>
          <w:sz w:val="24"/>
          <w:szCs w:val="24"/>
          <w:u w:val="single"/>
        </w:rPr>
        <w:t>3</w:t>
      </w:r>
      <w:r w:rsidR="00AD6DE6" w:rsidRPr="0076793C">
        <w:rPr>
          <w:sz w:val="24"/>
          <w:szCs w:val="24"/>
        </w:rPr>
        <w:t>.</w:t>
      </w:r>
      <w:r w:rsidR="002723CA" w:rsidRPr="0076793C">
        <w:rPr>
          <w:sz w:val="24"/>
          <w:szCs w:val="24"/>
        </w:rPr>
        <w:t xml:space="preserve">- El Consejo de Transparencia y Buen Gobierno (CTBG) acaba de publicar el informe con los </w:t>
      </w:r>
      <w:r w:rsidR="002723CA" w:rsidRPr="0076793C">
        <w:rPr>
          <w:b/>
          <w:sz w:val="24"/>
          <w:szCs w:val="24"/>
        </w:rPr>
        <w:t xml:space="preserve">resultados </w:t>
      </w:r>
      <w:r w:rsidR="00AD6DE6" w:rsidRPr="0076793C">
        <w:rPr>
          <w:sz w:val="24"/>
          <w:szCs w:val="24"/>
        </w:rPr>
        <w:t xml:space="preserve">del </w:t>
      </w:r>
      <w:r w:rsidR="00AD6DE6" w:rsidRPr="0076793C">
        <w:rPr>
          <w:b/>
          <w:sz w:val="24"/>
          <w:szCs w:val="24"/>
        </w:rPr>
        <w:t>cumplimiento de las recomendaciones</w:t>
      </w:r>
      <w:r w:rsidR="00AD6DE6" w:rsidRPr="0076793C">
        <w:rPr>
          <w:sz w:val="24"/>
          <w:szCs w:val="24"/>
        </w:rPr>
        <w:t xml:space="preserve"> efectuadas por el CTBG a la Administración General del Estado </w:t>
      </w:r>
      <w:r w:rsidR="006A4066" w:rsidRPr="0076793C">
        <w:rPr>
          <w:sz w:val="24"/>
          <w:szCs w:val="24"/>
        </w:rPr>
        <w:t>en 202</w:t>
      </w:r>
      <w:r w:rsidR="008D37A0">
        <w:rPr>
          <w:sz w:val="24"/>
          <w:szCs w:val="24"/>
        </w:rPr>
        <w:t>2</w:t>
      </w:r>
      <w:r w:rsidR="006A4066" w:rsidRPr="0076793C">
        <w:rPr>
          <w:sz w:val="24"/>
          <w:szCs w:val="24"/>
        </w:rPr>
        <w:t xml:space="preserve">, así como del grado de </w:t>
      </w:r>
      <w:r w:rsidR="006A4066" w:rsidRPr="0076793C">
        <w:rPr>
          <w:b/>
          <w:sz w:val="24"/>
          <w:szCs w:val="24"/>
        </w:rPr>
        <w:t>cumplimiento de las obligaciones de publicidad activa.</w:t>
      </w:r>
    </w:p>
    <w:p w:rsidR="006A4066" w:rsidRPr="0076793C" w:rsidRDefault="006A4066" w:rsidP="00961261">
      <w:pPr>
        <w:spacing w:after="0" w:line="240" w:lineRule="auto"/>
        <w:jc w:val="both"/>
        <w:rPr>
          <w:b/>
          <w:sz w:val="24"/>
          <w:szCs w:val="24"/>
        </w:rPr>
      </w:pPr>
    </w:p>
    <w:p w:rsidR="002723CA" w:rsidRPr="0076793C" w:rsidRDefault="00F6711C" w:rsidP="00961261">
      <w:pPr>
        <w:spacing w:after="0" w:line="240" w:lineRule="auto"/>
        <w:jc w:val="both"/>
        <w:rPr>
          <w:sz w:val="24"/>
          <w:szCs w:val="24"/>
        </w:rPr>
      </w:pPr>
      <w:r w:rsidRPr="0076793C">
        <w:rPr>
          <w:sz w:val="24"/>
          <w:szCs w:val="24"/>
        </w:rPr>
        <w:t xml:space="preserve">En concreto, el CTBG ha evaluado el cumplimiento de las </w:t>
      </w:r>
      <w:r w:rsidR="008D37A0">
        <w:rPr>
          <w:b/>
          <w:sz w:val="24"/>
          <w:szCs w:val="24"/>
        </w:rPr>
        <w:t>26</w:t>
      </w:r>
      <w:r w:rsidRPr="00505A8C">
        <w:rPr>
          <w:b/>
          <w:sz w:val="24"/>
          <w:szCs w:val="24"/>
        </w:rPr>
        <w:t xml:space="preserve"> recomendaciones</w:t>
      </w:r>
      <w:r w:rsidRPr="0076793C">
        <w:rPr>
          <w:sz w:val="24"/>
          <w:szCs w:val="24"/>
        </w:rPr>
        <w:t xml:space="preserve"> que había formulado en relación con aspectos concretos del Portal de la AGE, tales como: la localización y estructuración de la información, la publicación de contenidos y el cumplimiento de los atributos de calidad</w:t>
      </w:r>
      <w:r w:rsidR="00CA5157" w:rsidRPr="0076793C">
        <w:rPr>
          <w:sz w:val="24"/>
          <w:szCs w:val="24"/>
        </w:rPr>
        <w:t xml:space="preserve"> en la publicación de la información</w:t>
      </w:r>
      <w:r w:rsidRPr="0076793C">
        <w:rPr>
          <w:sz w:val="24"/>
          <w:szCs w:val="24"/>
        </w:rPr>
        <w:t xml:space="preserve">. El Consejo concluye en su informe que la Administración General del Estado ha aplicado el  </w:t>
      </w:r>
      <w:r w:rsidR="008D37A0">
        <w:rPr>
          <w:b/>
          <w:sz w:val="24"/>
          <w:szCs w:val="24"/>
        </w:rPr>
        <w:t>42,3</w:t>
      </w:r>
      <w:r w:rsidRPr="0076793C">
        <w:rPr>
          <w:b/>
          <w:sz w:val="24"/>
          <w:szCs w:val="24"/>
        </w:rPr>
        <w:t>%</w:t>
      </w:r>
      <w:r w:rsidRPr="0076793C">
        <w:rPr>
          <w:sz w:val="24"/>
          <w:szCs w:val="24"/>
        </w:rPr>
        <w:t xml:space="preserve"> de las mismas, lo que ha llevado a la AGE a situar su índice de transparencia en un </w:t>
      </w:r>
      <w:r w:rsidR="008D37A0">
        <w:rPr>
          <w:b/>
          <w:sz w:val="24"/>
          <w:szCs w:val="24"/>
        </w:rPr>
        <w:t>81</w:t>
      </w:r>
      <w:r w:rsidRPr="0076793C">
        <w:rPr>
          <w:b/>
          <w:sz w:val="24"/>
          <w:szCs w:val="24"/>
        </w:rPr>
        <w:t>%</w:t>
      </w:r>
      <w:r w:rsidRPr="0076793C">
        <w:rPr>
          <w:sz w:val="24"/>
          <w:szCs w:val="24"/>
        </w:rPr>
        <w:t xml:space="preserve">, mejorando en </w:t>
      </w:r>
      <w:r w:rsidR="008D37A0">
        <w:rPr>
          <w:b/>
          <w:sz w:val="24"/>
          <w:szCs w:val="24"/>
        </w:rPr>
        <w:t>6</w:t>
      </w:r>
      <w:r w:rsidRPr="0076793C">
        <w:rPr>
          <w:b/>
          <w:sz w:val="24"/>
          <w:szCs w:val="24"/>
        </w:rPr>
        <w:t xml:space="preserve"> puntos porcentuales</w:t>
      </w:r>
      <w:r w:rsidRPr="0076793C">
        <w:rPr>
          <w:sz w:val="24"/>
          <w:szCs w:val="24"/>
        </w:rPr>
        <w:t xml:space="preserve"> </w:t>
      </w:r>
      <w:r w:rsidR="008D37A0">
        <w:rPr>
          <w:sz w:val="24"/>
          <w:szCs w:val="24"/>
        </w:rPr>
        <w:t>e</w:t>
      </w:r>
      <w:r w:rsidRPr="0076793C">
        <w:rPr>
          <w:sz w:val="24"/>
          <w:szCs w:val="24"/>
        </w:rPr>
        <w:t xml:space="preserve">l </w:t>
      </w:r>
      <w:r w:rsidR="008D37A0">
        <w:rPr>
          <w:sz w:val="24"/>
          <w:szCs w:val="24"/>
        </w:rPr>
        <w:t>alcanzado</w:t>
      </w:r>
      <w:r w:rsidRPr="0076793C">
        <w:rPr>
          <w:sz w:val="24"/>
          <w:szCs w:val="24"/>
        </w:rPr>
        <w:t xml:space="preserve"> en 202</w:t>
      </w:r>
      <w:r w:rsidR="008D37A0">
        <w:rPr>
          <w:sz w:val="24"/>
          <w:szCs w:val="24"/>
        </w:rPr>
        <w:t>2</w:t>
      </w:r>
      <w:r w:rsidRPr="0076793C">
        <w:rPr>
          <w:sz w:val="24"/>
          <w:szCs w:val="24"/>
        </w:rPr>
        <w:t>.</w:t>
      </w:r>
    </w:p>
    <w:p w:rsidR="00CA5157" w:rsidRPr="0076793C" w:rsidRDefault="00CA5157" w:rsidP="00961261">
      <w:pPr>
        <w:spacing w:after="0" w:line="240" w:lineRule="auto"/>
        <w:jc w:val="both"/>
        <w:rPr>
          <w:sz w:val="24"/>
          <w:szCs w:val="24"/>
        </w:rPr>
      </w:pPr>
    </w:p>
    <w:p w:rsidR="00432FBE" w:rsidRDefault="00F6711C" w:rsidP="00961261">
      <w:pPr>
        <w:spacing w:after="0" w:line="240" w:lineRule="auto"/>
        <w:jc w:val="both"/>
        <w:rPr>
          <w:sz w:val="24"/>
          <w:szCs w:val="24"/>
        </w:rPr>
      </w:pPr>
      <w:r w:rsidRPr="0076793C">
        <w:rPr>
          <w:sz w:val="24"/>
          <w:szCs w:val="24"/>
        </w:rPr>
        <w:t>El C</w:t>
      </w:r>
      <w:r w:rsidR="00532321">
        <w:rPr>
          <w:sz w:val="24"/>
          <w:szCs w:val="24"/>
        </w:rPr>
        <w:t>TBG</w:t>
      </w:r>
      <w:r w:rsidRPr="0076793C">
        <w:rPr>
          <w:sz w:val="24"/>
          <w:szCs w:val="24"/>
        </w:rPr>
        <w:t xml:space="preserve"> </w:t>
      </w:r>
      <w:r w:rsidRPr="00910E6E">
        <w:rPr>
          <w:b/>
          <w:sz w:val="24"/>
          <w:szCs w:val="24"/>
        </w:rPr>
        <w:t xml:space="preserve">valora </w:t>
      </w:r>
      <w:r w:rsidR="008D37A0">
        <w:rPr>
          <w:b/>
          <w:sz w:val="24"/>
          <w:szCs w:val="24"/>
        </w:rPr>
        <w:t xml:space="preserve">muy </w:t>
      </w:r>
      <w:r w:rsidRPr="00910E6E">
        <w:rPr>
          <w:b/>
          <w:sz w:val="24"/>
          <w:szCs w:val="24"/>
        </w:rPr>
        <w:t>positivamente el esfuerzo</w:t>
      </w:r>
      <w:r w:rsidRPr="0076793C">
        <w:rPr>
          <w:sz w:val="24"/>
          <w:szCs w:val="24"/>
        </w:rPr>
        <w:t xml:space="preserve"> </w:t>
      </w:r>
      <w:r w:rsidR="00CA5157" w:rsidRPr="0076793C">
        <w:rPr>
          <w:sz w:val="24"/>
          <w:szCs w:val="24"/>
        </w:rPr>
        <w:t>que están realizando los responsable</w:t>
      </w:r>
      <w:r w:rsidR="00D62F13">
        <w:rPr>
          <w:sz w:val="24"/>
          <w:szCs w:val="24"/>
        </w:rPr>
        <w:t>s</w:t>
      </w:r>
      <w:r w:rsidR="00CA5157" w:rsidRPr="0076793C">
        <w:rPr>
          <w:sz w:val="24"/>
          <w:szCs w:val="24"/>
        </w:rPr>
        <w:t xml:space="preserve"> del Portal </w:t>
      </w:r>
      <w:r w:rsidR="00961261" w:rsidRPr="0076793C">
        <w:rPr>
          <w:sz w:val="24"/>
          <w:szCs w:val="24"/>
        </w:rPr>
        <w:t xml:space="preserve">de Transparencia de la AGE </w:t>
      </w:r>
      <w:r w:rsidR="009C44B6" w:rsidRPr="0076793C">
        <w:rPr>
          <w:sz w:val="24"/>
          <w:szCs w:val="24"/>
        </w:rPr>
        <w:t>con el objetivo de</w:t>
      </w:r>
      <w:r w:rsidR="00CA5157" w:rsidRPr="0076793C">
        <w:rPr>
          <w:sz w:val="24"/>
          <w:szCs w:val="24"/>
        </w:rPr>
        <w:t xml:space="preserve"> mejora</w:t>
      </w:r>
      <w:r w:rsidR="009C44B6" w:rsidRPr="0076793C">
        <w:rPr>
          <w:sz w:val="24"/>
          <w:szCs w:val="24"/>
        </w:rPr>
        <w:t>r</w:t>
      </w:r>
      <w:r w:rsidR="00CA5157" w:rsidRPr="0076793C">
        <w:rPr>
          <w:sz w:val="24"/>
          <w:szCs w:val="24"/>
        </w:rPr>
        <w:t xml:space="preserve"> su organización y contenidos</w:t>
      </w:r>
      <w:r w:rsidR="00961261" w:rsidRPr="0076793C">
        <w:rPr>
          <w:sz w:val="24"/>
          <w:szCs w:val="24"/>
        </w:rPr>
        <w:t>,</w:t>
      </w:r>
      <w:r w:rsidR="00432FBE" w:rsidRPr="0076793C">
        <w:rPr>
          <w:sz w:val="24"/>
          <w:szCs w:val="24"/>
        </w:rPr>
        <w:t xml:space="preserve"> </w:t>
      </w:r>
      <w:r w:rsidR="00432FBE" w:rsidRPr="00910E6E">
        <w:rPr>
          <w:b/>
          <w:sz w:val="24"/>
          <w:szCs w:val="24"/>
        </w:rPr>
        <w:t xml:space="preserve">y </w:t>
      </w:r>
      <w:r w:rsidR="00532321">
        <w:rPr>
          <w:b/>
          <w:sz w:val="24"/>
          <w:szCs w:val="24"/>
        </w:rPr>
        <w:t>es consciente de</w:t>
      </w:r>
      <w:r w:rsidR="00D62F13" w:rsidRPr="00910E6E">
        <w:rPr>
          <w:b/>
          <w:sz w:val="24"/>
          <w:szCs w:val="24"/>
        </w:rPr>
        <w:t xml:space="preserve"> las </w:t>
      </w:r>
      <w:r w:rsidR="00CA5157" w:rsidRPr="00910E6E">
        <w:rPr>
          <w:b/>
          <w:sz w:val="24"/>
          <w:szCs w:val="24"/>
        </w:rPr>
        <w:t>dificultad</w:t>
      </w:r>
      <w:r w:rsidR="00D62F13" w:rsidRPr="00910E6E">
        <w:rPr>
          <w:b/>
          <w:sz w:val="24"/>
          <w:szCs w:val="24"/>
        </w:rPr>
        <w:t>es</w:t>
      </w:r>
      <w:r w:rsidR="00D62F13">
        <w:rPr>
          <w:sz w:val="24"/>
          <w:szCs w:val="24"/>
        </w:rPr>
        <w:t xml:space="preserve"> </w:t>
      </w:r>
      <w:r w:rsidR="00CA5157" w:rsidRPr="0076793C">
        <w:rPr>
          <w:sz w:val="24"/>
          <w:szCs w:val="24"/>
        </w:rPr>
        <w:t>qu</w:t>
      </w:r>
      <w:r w:rsidR="00961261" w:rsidRPr="0076793C">
        <w:rPr>
          <w:sz w:val="24"/>
          <w:szCs w:val="24"/>
        </w:rPr>
        <w:t xml:space="preserve">e entraña acometer una </w:t>
      </w:r>
      <w:r w:rsidR="00D62F13">
        <w:rPr>
          <w:sz w:val="24"/>
          <w:szCs w:val="24"/>
        </w:rPr>
        <w:t xml:space="preserve">profunda </w:t>
      </w:r>
      <w:r w:rsidR="00961261" w:rsidRPr="0076793C">
        <w:rPr>
          <w:sz w:val="24"/>
          <w:szCs w:val="24"/>
        </w:rPr>
        <w:t>revisión del mismo</w:t>
      </w:r>
      <w:r w:rsidR="00CA5157" w:rsidRPr="0076793C">
        <w:rPr>
          <w:sz w:val="24"/>
          <w:szCs w:val="24"/>
        </w:rPr>
        <w:t xml:space="preserve"> con el fin de incorporar todas</w:t>
      </w:r>
      <w:r w:rsidR="00D62F13">
        <w:rPr>
          <w:sz w:val="24"/>
          <w:szCs w:val="24"/>
        </w:rPr>
        <w:t xml:space="preserve"> las recomendaciones efectuadas,</w:t>
      </w:r>
      <w:r w:rsidR="00CA5157" w:rsidRPr="0076793C">
        <w:rPr>
          <w:sz w:val="24"/>
          <w:szCs w:val="24"/>
        </w:rPr>
        <w:t xml:space="preserve"> dado que</w:t>
      </w:r>
      <w:r w:rsidR="00961261" w:rsidRPr="0076793C">
        <w:rPr>
          <w:sz w:val="24"/>
          <w:szCs w:val="24"/>
        </w:rPr>
        <w:t>,</w:t>
      </w:r>
      <w:r w:rsidR="00CA5157" w:rsidRPr="0076793C">
        <w:rPr>
          <w:sz w:val="24"/>
          <w:szCs w:val="24"/>
        </w:rPr>
        <w:t xml:space="preserve"> </w:t>
      </w:r>
      <w:r w:rsidR="00D62F13">
        <w:rPr>
          <w:sz w:val="24"/>
          <w:szCs w:val="24"/>
        </w:rPr>
        <w:t xml:space="preserve">como </w:t>
      </w:r>
      <w:r w:rsidR="00532321">
        <w:rPr>
          <w:sz w:val="24"/>
          <w:szCs w:val="24"/>
        </w:rPr>
        <w:t>desde la Administración se ha</w:t>
      </w:r>
      <w:r w:rsidR="00D62F13">
        <w:rPr>
          <w:sz w:val="24"/>
          <w:szCs w:val="24"/>
        </w:rPr>
        <w:t xml:space="preserve"> alegado, </w:t>
      </w:r>
      <w:r w:rsidR="00CA5157" w:rsidRPr="0076793C">
        <w:rPr>
          <w:sz w:val="24"/>
          <w:szCs w:val="24"/>
        </w:rPr>
        <w:t>el ingente volumen de info</w:t>
      </w:r>
      <w:r w:rsidR="00532321">
        <w:rPr>
          <w:sz w:val="24"/>
          <w:szCs w:val="24"/>
        </w:rPr>
        <w:t xml:space="preserve">rmación </w:t>
      </w:r>
      <w:r w:rsidR="001F1E35">
        <w:rPr>
          <w:sz w:val="24"/>
          <w:szCs w:val="24"/>
        </w:rPr>
        <w:t xml:space="preserve">que se ha de publicar </w:t>
      </w:r>
      <w:r w:rsidR="00532321">
        <w:rPr>
          <w:sz w:val="24"/>
          <w:szCs w:val="24"/>
        </w:rPr>
        <w:t>y los numerosos actores implicados</w:t>
      </w:r>
      <w:r w:rsidR="00CA5157" w:rsidRPr="0076793C">
        <w:rPr>
          <w:sz w:val="24"/>
          <w:szCs w:val="24"/>
        </w:rPr>
        <w:t xml:space="preserve"> exige</w:t>
      </w:r>
      <w:r w:rsidR="00532321">
        <w:rPr>
          <w:sz w:val="24"/>
          <w:szCs w:val="24"/>
        </w:rPr>
        <w:t>n</w:t>
      </w:r>
      <w:r w:rsidR="00CA5157" w:rsidRPr="0076793C">
        <w:rPr>
          <w:sz w:val="24"/>
          <w:szCs w:val="24"/>
        </w:rPr>
        <w:t xml:space="preserve"> </w:t>
      </w:r>
      <w:r w:rsidR="001F1E35">
        <w:rPr>
          <w:sz w:val="24"/>
          <w:szCs w:val="24"/>
        </w:rPr>
        <w:t xml:space="preserve">una gestión compleja y </w:t>
      </w:r>
      <w:r w:rsidR="00CA5157" w:rsidRPr="0076793C">
        <w:rPr>
          <w:sz w:val="24"/>
          <w:szCs w:val="24"/>
        </w:rPr>
        <w:t>un alto nivel de cooperación</w:t>
      </w:r>
      <w:r w:rsidR="00961261" w:rsidRPr="0076793C">
        <w:rPr>
          <w:sz w:val="24"/>
          <w:szCs w:val="24"/>
        </w:rPr>
        <w:t>.</w:t>
      </w:r>
      <w:r w:rsidRPr="0076793C">
        <w:rPr>
          <w:sz w:val="24"/>
          <w:szCs w:val="24"/>
        </w:rPr>
        <w:t xml:space="preserve"> </w:t>
      </w:r>
      <w:r w:rsidR="00961261" w:rsidRPr="0076793C">
        <w:rPr>
          <w:sz w:val="24"/>
          <w:szCs w:val="24"/>
        </w:rPr>
        <w:t>N</w:t>
      </w:r>
      <w:r w:rsidR="009C44B6" w:rsidRPr="0076793C">
        <w:rPr>
          <w:sz w:val="24"/>
          <w:szCs w:val="24"/>
        </w:rPr>
        <w:t>o obstante</w:t>
      </w:r>
      <w:r w:rsidR="00432FBE" w:rsidRPr="0076793C">
        <w:rPr>
          <w:sz w:val="24"/>
          <w:szCs w:val="24"/>
        </w:rPr>
        <w:t xml:space="preserve">, </w:t>
      </w:r>
      <w:r w:rsidR="00D62F13">
        <w:rPr>
          <w:sz w:val="24"/>
          <w:szCs w:val="24"/>
        </w:rPr>
        <w:t xml:space="preserve">esta Autoridad Independiente </w:t>
      </w:r>
      <w:r w:rsidR="00D62F13" w:rsidRPr="00910E6E">
        <w:rPr>
          <w:b/>
          <w:sz w:val="24"/>
          <w:szCs w:val="24"/>
        </w:rPr>
        <w:t>reitera</w:t>
      </w:r>
      <w:r w:rsidR="009C44B6" w:rsidRPr="00910E6E">
        <w:rPr>
          <w:b/>
          <w:sz w:val="24"/>
          <w:szCs w:val="24"/>
        </w:rPr>
        <w:t xml:space="preserve"> </w:t>
      </w:r>
      <w:r w:rsidR="00562702" w:rsidRPr="00910E6E">
        <w:rPr>
          <w:b/>
          <w:sz w:val="24"/>
          <w:szCs w:val="24"/>
        </w:rPr>
        <w:t xml:space="preserve">la necesidad de </w:t>
      </w:r>
      <w:r w:rsidR="008D37A0">
        <w:rPr>
          <w:b/>
          <w:sz w:val="24"/>
          <w:szCs w:val="24"/>
        </w:rPr>
        <w:t xml:space="preserve">continuar </w:t>
      </w:r>
      <w:r w:rsidR="001F1E35">
        <w:rPr>
          <w:b/>
          <w:sz w:val="24"/>
          <w:szCs w:val="24"/>
        </w:rPr>
        <w:t xml:space="preserve">implantado las recomendaciones realizadas y adoptar todas las medidas necesarias </w:t>
      </w:r>
      <w:r w:rsidR="001F1E35">
        <w:rPr>
          <w:sz w:val="24"/>
          <w:szCs w:val="24"/>
        </w:rPr>
        <w:t xml:space="preserve">para </w:t>
      </w:r>
      <w:r w:rsidR="00562702" w:rsidRPr="0076793C">
        <w:rPr>
          <w:sz w:val="24"/>
          <w:szCs w:val="24"/>
        </w:rPr>
        <w:t xml:space="preserve">alcanzar </w:t>
      </w:r>
      <w:r w:rsidR="001F1E35">
        <w:rPr>
          <w:sz w:val="24"/>
          <w:szCs w:val="24"/>
        </w:rPr>
        <w:t xml:space="preserve">en un plazo razonable </w:t>
      </w:r>
      <w:r w:rsidR="00562702" w:rsidRPr="0076793C">
        <w:rPr>
          <w:sz w:val="24"/>
          <w:szCs w:val="24"/>
        </w:rPr>
        <w:t>el nivel de transparencia</w:t>
      </w:r>
      <w:r w:rsidR="00D62F13">
        <w:rPr>
          <w:sz w:val="24"/>
          <w:szCs w:val="24"/>
        </w:rPr>
        <w:t xml:space="preserve"> exigido por la LTAIBG</w:t>
      </w:r>
      <w:r w:rsidR="00562702" w:rsidRPr="0076793C">
        <w:rPr>
          <w:sz w:val="24"/>
          <w:szCs w:val="24"/>
        </w:rPr>
        <w:t>.</w:t>
      </w:r>
    </w:p>
    <w:p w:rsidR="00505A8C" w:rsidRDefault="00505A8C" w:rsidP="00961261">
      <w:pPr>
        <w:spacing w:after="0" w:line="240" w:lineRule="auto"/>
        <w:jc w:val="both"/>
        <w:rPr>
          <w:sz w:val="24"/>
          <w:szCs w:val="24"/>
        </w:rPr>
      </w:pPr>
    </w:p>
    <w:p w:rsidR="001F1E35" w:rsidRPr="0076793C" w:rsidRDefault="001F1E35" w:rsidP="00961261">
      <w:pPr>
        <w:spacing w:after="0" w:line="240" w:lineRule="auto"/>
        <w:jc w:val="both"/>
        <w:rPr>
          <w:sz w:val="24"/>
          <w:szCs w:val="24"/>
        </w:rPr>
      </w:pPr>
    </w:p>
    <w:p w:rsidR="00432FBE" w:rsidRPr="0076793C" w:rsidRDefault="00432FBE" w:rsidP="00961261">
      <w:pPr>
        <w:spacing w:after="0" w:line="240" w:lineRule="auto"/>
        <w:jc w:val="both"/>
        <w:rPr>
          <w:sz w:val="24"/>
          <w:szCs w:val="24"/>
        </w:rPr>
      </w:pPr>
    </w:p>
    <w:p w:rsidR="00E07A15" w:rsidRDefault="00432FBE" w:rsidP="00961261">
      <w:pPr>
        <w:spacing w:after="0" w:line="240" w:lineRule="auto"/>
        <w:jc w:val="both"/>
        <w:rPr>
          <w:sz w:val="24"/>
          <w:szCs w:val="24"/>
          <w:u w:val="single"/>
        </w:rPr>
      </w:pPr>
      <w:r w:rsidRPr="0076793C">
        <w:rPr>
          <w:sz w:val="24"/>
          <w:szCs w:val="24"/>
          <w:u w:val="single"/>
        </w:rPr>
        <w:t>El informe puede consultarse en la web del CTBG:</w:t>
      </w:r>
      <w:r w:rsidR="004D4FE3">
        <w:rPr>
          <w:sz w:val="24"/>
          <w:szCs w:val="24"/>
          <w:u w:val="single"/>
        </w:rPr>
        <w:t xml:space="preserve"> </w:t>
      </w:r>
    </w:p>
    <w:p w:rsidR="004D4FE3" w:rsidRDefault="00F41000" w:rsidP="00961261">
      <w:pPr>
        <w:spacing w:after="0" w:line="240" w:lineRule="auto"/>
        <w:jc w:val="both"/>
      </w:pPr>
      <w:hyperlink r:id="rId8" w:history="1">
        <w:r w:rsidR="00310D2D" w:rsidRPr="00F66B86">
          <w:rPr>
            <w:rStyle w:val="Hipervnculo"/>
          </w:rPr>
          <w:t>https://www.consejodetransparencia.es/ct_Home/Actividad/Evaluaciones/2023.html</w:t>
        </w:r>
      </w:hyperlink>
      <w:r w:rsidR="00310D2D">
        <w:t xml:space="preserve"> </w:t>
      </w:r>
    </w:p>
    <w:p w:rsidR="0076793C" w:rsidRDefault="00E07A15" w:rsidP="008D37A0">
      <w:pPr>
        <w:spacing w:after="0" w:line="240" w:lineRule="auto"/>
        <w:jc w:val="both"/>
        <w:rPr>
          <w:rFonts w:eastAsia="Times New Roman" w:cstheme="minorHAnsi"/>
          <w:b/>
          <w:color w:val="50866C"/>
          <w:sz w:val="24"/>
          <w:szCs w:val="24"/>
        </w:rPr>
      </w:pPr>
      <w:r w:rsidRPr="0076793C">
        <w:rPr>
          <w:sz w:val="24"/>
          <w:szCs w:val="24"/>
          <w:u w:val="single"/>
        </w:rPr>
        <w:t xml:space="preserve"> </w:t>
      </w:r>
    </w:p>
    <w:p w:rsidR="0076793C" w:rsidRDefault="0076793C" w:rsidP="00961261">
      <w:pPr>
        <w:spacing w:after="0" w:line="240" w:lineRule="auto"/>
        <w:rPr>
          <w:rFonts w:eastAsia="Times New Roman" w:cstheme="minorHAnsi"/>
          <w:b/>
          <w:color w:val="50866C"/>
          <w:sz w:val="24"/>
          <w:szCs w:val="24"/>
        </w:rPr>
      </w:pPr>
    </w:p>
    <w:p w:rsidR="0076793C" w:rsidRDefault="0076793C" w:rsidP="00961261">
      <w:pPr>
        <w:spacing w:after="0" w:line="240" w:lineRule="auto"/>
        <w:rPr>
          <w:rFonts w:eastAsia="Times New Roman" w:cstheme="minorHAnsi"/>
          <w:b/>
          <w:color w:val="50866C"/>
          <w:sz w:val="24"/>
          <w:szCs w:val="24"/>
        </w:rPr>
      </w:pPr>
    </w:p>
    <w:p w:rsidR="000575FB" w:rsidRDefault="000575FB" w:rsidP="000575FB">
      <w:pPr>
        <w:spacing w:after="0" w:line="240" w:lineRule="auto"/>
        <w:jc w:val="center"/>
        <w:rPr>
          <w:rFonts w:eastAsia="Times New Roman" w:cstheme="minorHAnsi"/>
          <w:b/>
          <w:color w:val="50866C"/>
          <w:sz w:val="24"/>
          <w:szCs w:val="24"/>
        </w:rPr>
      </w:pPr>
      <w:r>
        <w:rPr>
          <w:rFonts w:eastAsia="Times New Roman" w:cstheme="minorHAnsi"/>
          <w:b/>
          <w:color w:val="50866C"/>
          <w:sz w:val="24"/>
          <w:szCs w:val="24"/>
        </w:rPr>
        <w:t>GRADO DE CUMPLIMIENTO DE LAS OBLIGACIONES DE PUBLICIDAD ACTIVA</w:t>
      </w:r>
    </w:p>
    <w:p w:rsidR="00961261" w:rsidRDefault="00961261" w:rsidP="000575FB">
      <w:pPr>
        <w:spacing w:after="0" w:line="240" w:lineRule="auto"/>
        <w:jc w:val="center"/>
        <w:rPr>
          <w:rFonts w:eastAsia="Times New Roman" w:cstheme="minorHAnsi"/>
          <w:b/>
          <w:color w:val="50866C"/>
          <w:sz w:val="24"/>
          <w:szCs w:val="24"/>
        </w:rPr>
      </w:pPr>
      <w:r w:rsidRPr="00961261">
        <w:rPr>
          <w:rFonts w:eastAsia="Times New Roman" w:cstheme="minorHAnsi"/>
          <w:b/>
          <w:color w:val="50866C"/>
          <w:sz w:val="24"/>
          <w:szCs w:val="24"/>
        </w:rPr>
        <w:t>(</w:t>
      </w:r>
      <w:bookmarkStart w:id="0" w:name="_GoBack"/>
      <w:bookmarkEnd w:id="0"/>
      <w:r w:rsidR="00F41000" w:rsidRPr="00961261">
        <w:rPr>
          <w:rFonts w:eastAsia="Times New Roman" w:cstheme="minorHAnsi"/>
          <w:b/>
          <w:color w:val="50866C"/>
          <w:sz w:val="24"/>
          <w:szCs w:val="24"/>
        </w:rPr>
        <w:t>En</w:t>
      </w:r>
      <w:r w:rsidRPr="00961261">
        <w:rPr>
          <w:rFonts w:eastAsia="Times New Roman" w:cstheme="minorHAnsi"/>
          <w:b/>
          <w:color w:val="50866C"/>
          <w:sz w:val="24"/>
          <w:szCs w:val="24"/>
        </w:rPr>
        <w:t xml:space="preserve"> porcentaje)</w:t>
      </w:r>
    </w:p>
    <w:p w:rsidR="0076793C" w:rsidRPr="00961261" w:rsidRDefault="0076793C" w:rsidP="00961261">
      <w:pPr>
        <w:spacing w:after="0" w:line="240" w:lineRule="auto"/>
        <w:rPr>
          <w:rFonts w:eastAsia="Times New Roman" w:cstheme="minorHAnsi"/>
          <w:b/>
          <w:color w:val="50866C"/>
          <w:sz w:val="24"/>
          <w:szCs w:val="24"/>
        </w:rPr>
      </w:pPr>
    </w:p>
    <w:tbl>
      <w:tblPr>
        <w:tblStyle w:val="Sombreadomedio2-nfasis32"/>
        <w:tblW w:w="5000" w:type="pct"/>
        <w:tblLook w:val="04A0" w:firstRow="1" w:lastRow="0" w:firstColumn="1" w:lastColumn="0" w:noHBand="0" w:noVBand="1"/>
      </w:tblPr>
      <w:tblGrid>
        <w:gridCol w:w="3666"/>
        <w:gridCol w:w="631"/>
        <w:gridCol w:w="631"/>
        <w:gridCol w:w="632"/>
        <w:gridCol w:w="632"/>
        <w:gridCol w:w="632"/>
        <w:gridCol w:w="632"/>
        <w:gridCol w:w="632"/>
        <w:gridCol w:w="632"/>
      </w:tblGrid>
      <w:tr w:rsidR="008D37A0" w:rsidRPr="008D37A0" w:rsidTr="00F41000">
        <w:trPr>
          <w:cnfStyle w:val="100000000000" w:firstRow="1" w:lastRow="0" w:firstColumn="0" w:lastColumn="0" w:oddVBand="0" w:evenVBand="0" w:oddHBand="0" w:evenHBand="0" w:firstRowFirstColumn="0" w:firstRowLastColumn="0" w:lastRowFirstColumn="0" w:lastRowLastColumn="0"/>
          <w:cantSplit/>
          <w:trHeight w:val="1452"/>
        </w:trPr>
        <w:tc>
          <w:tcPr>
            <w:cnfStyle w:val="001000000100" w:firstRow="0" w:lastRow="0" w:firstColumn="1" w:lastColumn="0" w:oddVBand="0" w:evenVBand="0" w:oddHBand="0" w:evenHBand="0" w:firstRowFirstColumn="1" w:firstRowLastColumn="0" w:lastRowFirstColumn="0" w:lastRowLastColumn="0"/>
            <w:tcW w:w="2046" w:type="pct"/>
            <w:tcBorders>
              <w:top w:val="single" w:sz="18" w:space="0" w:color="FFFFFF" w:themeColor="background1"/>
              <w:bottom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rPr>
                <w:rFonts w:ascii="Century Gothic" w:eastAsia="Calibri" w:hAnsi="Century Gothic" w:cs="Calibri"/>
                <w:sz w:val="16"/>
                <w:szCs w:val="16"/>
              </w:rPr>
            </w:pPr>
          </w:p>
        </w:tc>
        <w:tc>
          <w:tcPr>
            <w:tcW w:w="369" w:type="pct"/>
            <w:tcBorders>
              <w:top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sz w:val="16"/>
                <w:szCs w:val="16"/>
              </w:rPr>
            </w:pPr>
            <w:r w:rsidRPr="008D37A0">
              <w:rPr>
                <w:rFonts w:ascii="Century Gothic" w:eastAsia="Calibri" w:hAnsi="Century Gothic" w:cs="Calibri"/>
                <w:sz w:val="16"/>
                <w:szCs w:val="16"/>
              </w:rPr>
              <w:t>Contenido</w:t>
            </w:r>
          </w:p>
        </w:tc>
        <w:tc>
          <w:tcPr>
            <w:tcW w:w="369" w:type="pct"/>
            <w:tcBorders>
              <w:top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sz w:val="16"/>
                <w:szCs w:val="16"/>
              </w:rPr>
            </w:pPr>
            <w:r w:rsidRPr="008D37A0">
              <w:rPr>
                <w:rFonts w:ascii="Century Gothic" w:eastAsia="Calibri" w:hAnsi="Century Gothic" w:cs="Calibri"/>
                <w:sz w:val="16"/>
                <w:szCs w:val="16"/>
              </w:rPr>
              <w:t>Forma</w:t>
            </w:r>
          </w:p>
        </w:tc>
        <w:tc>
          <w:tcPr>
            <w:tcW w:w="369" w:type="pct"/>
            <w:tcBorders>
              <w:top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sz w:val="16"/>
                <w:szCs w:val="16"/>
              </w:rPr>
            </w:pPr>
            <w:r w:rsidRPr="008D37A0">
              <w:rPr>
                <w:rFonts w:ascii="Century Gothic" w:eastAsia="Calibri" w:hAnsi="Century Gothic" w:cs="Calibri"/>
                <w:sz w:val="16"/>
                <w:szCs w:val="16"/>
              </w:rPr>
              <w:t>Estructuración</w:t>
            </w:r>
          </w:p>
        </w:tc>
        <w:tc>
          <w:tcPr>
            <w:tcW w:w="369" w:type="pct"/>
            <w:tcBorders>
              <w:top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sz w:val="16"/>
                <w:szCs w:val="16"/>
              </w:rPr>
            </w:pPr>
            <w:r w:rsidRPr="008D37A0">
              <w:rPr>
                <w:rFonts w:ascii="Century Gothic" w:eastAsia="Calibri" w:hAnsi="Century Gothic" w:cs="Calibri"/>
                <w:sz w:val="16"/>
                <w:szCs w:val="16"/>
              </w:rPr>
              <w:t>Accesibilidad</w:t>
            </w:r>
          </w:p>
        </w:tc>
        <w:tc>
          <w:tcPr>
            <w:tcW w:w="369" w:type="pct"/>
            <w:tcBorders>
              <w:top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sz w:val="16"/>
                <w:szCs w:val="16"/>
              </w:rPr>
            </w:pPr>
            <w:r w:rsidRPr="008D37A0">
              <w:rPr>
                <w:rFonts w:ascii="Century Gothic" w:eastAsia="Calibri" w:hAnsi="Century Gothic" w:cs="Calibri"/>
                <w:sz w:val="16"/>
                <w:szCs w:val="16"/>
              </w:rPr>
              <w:t>Claridad</w:t>
            </w:r>
          </w:p>
        </w:tc>
        <w:tc>
          <w:tcPr>
            <w:tcW w:w="369" w:type="pct"/>
            <w:tcBorders>
              <w:top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sz w:val="16"/>
                <w:szCs w:val="16"/>
              </w:rPr>
            </w:pPr>
            <w:r w:rsidRPr="008D37A0">
              <w:rPr>
                <w:rFonts w:ascii="Century Gothic" w:eastAsia="Calibri" w:hAnsi="Century Gothic" w:cs="Calibri"/>
                <w:sz w:val="16"/>
                <w:szCs w:val="16"/>
              </w:rPr>
              <w:t>Reutilización</w:t>
            </w:r>
          </w:p>
        </w:tc>
        <w:tc>
          <w:tcPr>
            <w:tcW w:w="369" w:type="pct"/>
            <w:tcBorders>
              <w:top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sz w:val="16"/>
                <w:szCs w:val="16"/>
              </w:rPr>
            </w:pPr>
            <w:r w:rsidRPr="008D37A0">
              <w:rPr>
                <w:rFonts w:ascii="Century Gothic" w:eastAsia="Calibri" w:hAnsi="Century Gothic" w:cs="Calibri"/>
                <w:sz w:val="16"/>
                <w:szCs w:val="16"/>
              </w:rPr>
              <w:t>Actualización</w:t>
            </w:r>
          </w:p>
        </w:tc>
        <w:tc>
          <w:tcPr>
            <w:tcW w:w="369" w:type="pct"/>
            <w:tcBorders>
              <w:top w:val="single" w:sz="18" w:space="0" w:color="FFFFFF" w:themeColor="background1"/>
            </w:tcBorders>
            <w:shd w:val="clear" w:color="auto" w:fill="00642D"/>
            <w:noWrap/>
            <w:textDirection w:val="btLr"/>
            <w:hideMark/>
          </w:tcPr>
          <w:p w:rsidR="008D37A0" w:rsidRPr="008D37A0" w:rsidRDefault="008D37A0" w:rsidP="008D37A0">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sz w:val="16"/>
                <w:szCs w:val="16"/>
              </w:rPr>
            </w:pPr>
            <w:r w:rsidRPr="008D37A0">
              <w:rPr>
                <w:rFonts w:ascii="Century Gothic" w:eastAsia="Calibri" w:hAnsi="Century Gothic" w:cs="Calibri"/>
                <w:sz w:val="16"/>
                <w:szCs w:val="16"/>
              </w:rPr>
              <w:t>Total</w:t>
            </w:r>
          </w:p>
        </w:tc>
      </w:tr>
      <w:tr w:rsidR="008D37A0" w:rsidRPr="008D37A0" w:rsidTr="00F4100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46"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8D37A0" w:rsidRPr="008D37A0" w:rsidRDefault="008D37A0" w:rsidP="008D37A0">
            <w:pPr>
              <w:spacing w:before="120" w:after="120" w:line="312" w:lineRule="auto"/>
              <w:jc w:val="both"/>
              <w:rPr>
                <w:rFonts w:ascii="Century Gothic" w:eastAsia="Calibri" w:hAnsi="Century Gothic" w:cs="Calibri"/>
                <w:sz w:val="16"/>
                <w:szCs w:val="16"/>
              </w:rPr>
            </w:pPr>
            <w:r w:rsidRPr="008D37A0">
              <w:rPr>
                <w:rFonts w:ascii="Century Gothic" w:eastAsia="Calibri" w:hAnsi="Century Gothic" w:cs="Calibri"/>
                <w:sz w:val="16"/>
                <w:szCs w:val="16"/>
              </w:rPr>
              <w:t>Institucional, Organizativa y de Planificación</w:t>
            </w:r>
          </w:p>
        </w:tc>
        <w:tc>
          <w:tcPr>
            <w:tcW w:w="369" w:type="pct"/>
            <w:tcBorders>
              <w:left w:val="single" w:sz="18" w:space="0" w:color="FFFFFF" w:themeColor="background1"/>
            </w:tcBorders>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86,9</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92,8</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92,8</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92,8</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92,8</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92,8</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92,8</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92,0</w:t>
            </w:r>
          </w:p>
        </w:tc>
      </w:tr>
      <w:tr w:rsidR="008D37A0" w:rsidRPr="008D37A0" w:rsidTr="00F41000">
        <w:trPr>
          <w:trHeight w:val="559"/>
        </w:trPr>
        <w:tc>
          <w:tcPr>
            <w:cnfStyle w:val="001000000000" w:firstRow="0" w:lastRow="0" w:firstColumn="1" w:lastColumn="0" w:oddVBand="0" w:evenVBand="0" w:oddHBand="0" w:evenHBand="0" w:firstRowFirstColumn="0" w:firstRowLastColumn="0" w:lastRowFirstColumn="0" w:lastRowLastColumn="0"/>
            <w:tcW w:w="2046"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8D37A0" w:rsidRPr="008D37A0" w:rsidRDefault="008D37A0" w:rsidP="008D37A0">
            <w:pPr>
              <w:spacing w:before="120" w:after="120" w:line="312" w:lineRule="auto"/>
              <w:jc w:val="both"/>
              <w:rPr>
                <w:rFonts w:ascii="Century Gothic" w:eastAsia="Calibri" w:hAnsi="Century Gothic" w:cs="Calibri"/>
                <w:sz w:val="16"/>
                <w:szCs w:val="16"/>
              </w:rPr>
            </w:pPr>
            <w:r w:rsidRPr="008D37A0">
              <w:rPr>
                <w:rFonts w:ascii="Century Gothic" w:eastAsia="Calibri" w:hAnsi="Century Gothic" w:cs="Calibri"/>
                <w:sz w:val="16"/>
                <w:szCs w:val="16"/>
              </w:rPr>
              <w:t xml:space="preserve">De relevancia jurídica </w:t>
            </w:r>
          </w:p>
        </w:tc>
        <w:tc>
          <w:tcPr>
            <w:tcW w:w="369" w:type="pct"/>
            <w:tcBorders>
              <w:left w:val="single" w:sz="18" w:space="0" w:color="FFFFFF" w:themeColor="background1"/>
            </w:tcBorders>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46,7</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50,8</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50,8</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50,8</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50,8</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50,8</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50,8</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50,2</w:t>
            </w:r>
          </w:p>
        </w:tc>
      </w:tr>
      <w:tr w:rsidR="008D37A0" w:rsidRPr="008D37A0" w:rsidTr="00F4100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46"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8D37A0" w:rsidRPr="008D37A0" w:rsidRDefault="008D37A0" w:rsidP="008D37A0">
            <w:pPr>
              <w:spacing w:before="120" w:after="120" w:line="312" w:lineRule="auto"/>
              <w:jc w:val="both"/>
              <w:rPr>
                <w:rFonts w:ascii="Century Gothic" w:eastAsia="Calibri" w:hAnsi="Century Gothic" w:cs="Calibri"/>
                <w:sz w:val="16"/>
                <w:szCs w:val="16"/>
              </w:rPr>
            </w:pPr>
            <w:r w:rsidRPr="008D37A0">
              <w:rPr>
                <w:rFonts w:ascii="Century Gothic" w:eastAsia="Calibri" w:hAnsi="Century Gothic" w:cs="Calibri"/>
                <w:sz w:val="16"/>
                <w:szCs w:val="16"/>
              </w:rPr>
              <w:t>Económica , Presupuestaria y Estadística</w:t>
            </w:r>
          </w:p>
        </w:tc>
        <w:tc>
          <w:tcPr>
            <w:tcW w:w="369" w:type="pct"/>
            <w:tcBorders>
              <w:left w:val="single" w:sz="18" w:space="0" w:color="FFFFFF" w:themeColor="background1"/>
            </w:tcBorders>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85,2</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76,2</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86,2</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81,2</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86,2</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86,2</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86,2</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83,9</w:t>
            </w:r>
          </w:p>
        </w:tc>
      </w:tr>
      <w:tr w:rsidR="008D37A0" w:rsidRPr="008D37A0" w:rsidTr="00F41000">
        <w:trPr>
          <w:trHeight w:val="559"/>
        </w:trPr>
        <w:tc>
          <w:tcPr>
            <w:cnfStyle w:val="001000000000" w:firstRow="0" w:lastRow="0" w:firstColumn="1" w:lastColumn="0" w:oddVBand="0" w:evenVBand="0" w:oddHBand="0" w:evenHBand="0" w:firstRowFirstColumn="0" w:firstRowLastColumn="0" w:lastRowFirstColumn="0" w:lastRowLastColumn="0"/>
            <w:tcW w:w="2046"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8D37A0" w:rsidRPr="008D37A0" w:rsidRDefault="008D37A0" w:rsidP="008D37A0">
            <w:pPr>
              <w:spacing w:before="120" w:after="120" w:line="312" w:lineRule="auto"/>
              <w:jc w:val="both"/>
              <w:rPr>
                <w:rFonts w:ascii="Century Gothic" w:eastAsia="Calibri" w:hAnsi="Century Gothic" w:cs="Calibri"/>
                <w:sz w:val="16"/>
                <w:szCs w:val="16"/>
              </w:rPr>
            </w:pPr>
            <w:r w:rsidRPr="008D37A0">
              <w:rPr>
                <w:rFonts w:ascii="Century Gothic" w:eastAsia="Calibri" w:hAnsi="Century Gothic" w:cs="Calibri"/>
                <w:sz w:val="16"/>
                <w:szCs w:val="16"/>
              </w:rPr>
              <w:t>Información patrimonial</w:t>
            </w:r>
          </w:p>
        </w:tc>
        <w:tc>
          <w:tcPr>
            <w:tcW w:w="369" w:type="pct"/>
            <w:tcBorders>
              <w:left w:val="single" w:sz="18" w:space="0" w:color="FFFFFF" w:themeColor="background1"/>
            </w:tcBorders>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100,0</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100,0</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100,0</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100,0</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100,0</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100,0</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100,0</w:t>
            </w:r>
          </w:p>
        </w:tc>
        <w:tc>
          <w:tcPr>
            <w:tcW w:w="369" w:type="pct"/>
            <w:noWrap/>
            <w:vAlign w:val="center"/>
          </w:tcPr>
          <w:p w:rsidR="008D37A0" w:rsidRPr="008D37A0" w:rsidRDefault="008D37A0" w:rsidP="008D37A0">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rPr>
            </w:pPr>
            <w:r w:rsidRPr="008D37A0">
              <w:rPr>
                <w:rFonts w:ascii="Century Gothic" w:eastAsia="Calibri" w:hAnsi="Century Gothic" w:cs="Times New Roman"/>
                <w:sz w:val="16"/>
              </w:rPr>
              <w:t>100,0</w:t>
            </w:r>
          </w:p>
        </w:tc>
      </w:tr>
      <w:tr w:rsidR="008D37A0" w:rsidRPr="008D37A0" w:rsidTr="00F4100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46"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8D37A0" w:rsidRPr="008D37A0" w:rsidRDefault="008D37A0" w:rsidP="008D37A0">
            <w:pPr>
              <w:spacing w:before="120" w:after="120" w:line="312" w:lineRule="auto"/>
              <w:jc w:val="both"/>
              <w:rPr>
                <w:rFonts w:ascii="Century Gothic" w:eastAsia="Calibri" w:hAnsi="Century Gothic" w:cs="Calibri"/>
                <w:i/>
                <w:sz w:val="16"/>
                <w:szCs w:val="16"/>
              </w:rPr>
            </w:pPr>
            <w:r w:rsidRPr="008D37A0">
              <w:rPr>
                <w:rFonts w:ascii="Century Gothic" w:eastAsia="Calibri" w:hAnsi="Century Gothic" w:cs="Calibri"/>
                <w:i/>
                <w:sz w:val="16"/>
                <w:szCs w:val="16"/>
              </w:rPr>
              <w:t>Índice de Cumplimiento de la Información Obligatoria</w:t>
            </w:r>
          </w:p>
        </w:tc>
        <w:tc>
          <w:tcPr>
            <w:tcW w:w="369" w:type="pct"/>
            <w:tcBorders>
              <w:left w:val="single" w:sz="18" w:space="0" w:color="FFFFFF" w:themeColor="background1"/>
            </w:tcBorders>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i/>
                <w:sz w:val="16"/>
              </w:rPr>
            </w:pPr>
            <w:r w:rsidRPr="008D37A0">
              <w:rPr>
                <w:rFonts w:ascii="Century Gothic" w:eastAsia="Calibri" w:hAnsi="Century Gothic" w:cs="Times New Roman"/>
                <w:i/>
                <w:sz w:val="16"/>
              </w:rPr>
              <w:t>79,8</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i/>
                <w:sz w:val="16"/>
              </w:rPr>
            </w:pPr>
            <w:r w:rsidRPr="008D37A0">
              <w:rPr>
                <w:rFonts w:ascii="Century Gothic" w:eastAsia="Calibri" w:hAnsi="Century Gothic" w:cs="Times New Roman"/>
                <w:i/>
                <w:sz w:val="16"/>
              </w:rPr>
              <w:t>77,2</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i/>
                <w:sz w:val="16"/>
              </w:rPr>
            </w:pPr>
            <w:r w:rsidRPr="008D37A0">
              <w:rPr>
                <w:rFonts w:ascii="Century Gothic" w:eastAsia="Calibri" w:hAnsi="Century Gothic" w:cs="Times New Roman"/>
                <w:i/>
                <w:sz w:val="16"/>
              </w:rPr>
              <w:t>82,6</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i/>
                <w:sz w:val="16"/>
              </w:rPr>
            </w:pPr>
            <w:r w:rsidRPr="008D37A0">
              <w:rPr>
                <w:rFonts w:ascii="Century Gothic" w:eastAsia="Calibri" w:hAnsi="Century Gothic" w:cs="Times New Roman"/>
                <w:i/>
                <w:sz w:val="16"/>
              </w:rPr>
              <w:t>79,9</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i/>
                <w:sz w:val="16"/>
              </w:rPr>
            </w:pPr>
            <w:r w:rsidRPr="008D37A0">
              <w:rPr>
                <w:rFonts w:ascii="Century Gothic" w:eastAsia="Calibri" w:hAnsi="Century Gothic" w:cs="Times New Roman"/>
                <w:i/>
                <w:sz w:val="16"/>
              </w:rPr>
              <w:t>82,6</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i/>
                <w:sz w:val="16"/>
              </w:rPr>
            </w:pPr>
            <w:r w:rsidRPr="008D37A0">
              <w:rPr>
                <w:rFonts w:ascii="Century Gothic" w:eastAsia="Calibri" w:hAnsi="Century Gothic" w:cs="Times New Roman"/>
                <w:i/>
                <w:sz w:val="16"/>
              </w:rPr>
              <w:t>82,6</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i/>
                <w:sz w:val="16"/>
              </w:rPr>
            </w:pPr>
            <w:r w:rsidRPr="008D37A0">
              <w:rPr>
                <w:rFonts w:ascii="Century Gothic" w:eastAsia="Calibri" w:hAnsi="Century Gothic" w:cs="Times New Roman"/>
                <w:i/>
                <w:sz w:val="16"/>
              </w:rPr>
              <w:t>82,6</w:t>
            </w:r>
          </w:p>
        </w:tc>
        <w:tc>
          <w:tcPr>
            <w:tcW w:w="369" w:type="pct"/>
            <w:noWrap/>
            <w:vAlign w:val="center"/>
          </w:tcPr>
          <w:p w:rsidR="008D37A0" w:rsidRPr="008D37A0" w:rsidRDefault="008D37A0" w:rsidP="008D37A0">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i/>
                <w:sz w:val="16"/>
              </w:rPr>
            </w:pPr>
            <w:r w:rsidRPr="008D37A0">
              <w:rPr>
                <w:rFonts w:ascii="Century Gothic" w:eastAsia="Calibri" w:hAnsi="Century Gothic" w:cs="Times New Roman"/>
                <w:i/>
                <w:sz w:val="16"/>
              </w:rPr>
              <w:t>81,0</w:t>
            </w:r>
          </w:p>
        </w:tc>
      </w:tr>
    </w:tbl>
    <w:p w:rsidR="00961261" w:rsidRPr="005759CC" w:rsidRDefault="00961261" w:rsidP="008D37A0">
      <w:pPr>
        <w:spacing w:after="0"/>
        <w:ind w:left="-567"/>
        <w:rPr>
          <w:rFonts w:ascii="Times New Roman" w:hAnsi="Times New Roman" w:cs="Times New Roman"/>
        </w:rPr>
      </w:pPr>
    </w:p>
    <w:p w:rsidR="0076793C" w:rsidRDefault="0076793C" w:rsidP="0076793C">
      <w:pPr>
        <w:spacing w:after="0" w:line="240" w:lineRule="auto"/>
        <w:jc w:val="both"/>
        <w:rPr>
          <w:sz w:val="24"/>
          <w:szCs w:val="24"/>
          <w:u w:val="single"/>
        </w:rPr>
      </w:pPr>
    </w:p>
    <w:p w:rsidR="00432FBE" w:rsidRPr="0076793C" w:rsidRDefault="00432FBE" w:rsidP="0076793C">
      <w:pPr>
        <w:spacing w:after="0" w:line="240" w:lineRule="auto"/>
        <w:jc w:val="both"/>
        <w:rPr>
          <w:sz w:val="24"/>
          <w:szCs w:val="24"/>
          <w:u w:val="single"/>
        </w:rPr>
      </w:pPr>
      <w:r w:rsidRPr="0076793C">
        <w:rPr>
          <w:sz w:val="24"/>
          <w:szCs w:val="24"/>
          <w:u w:val="single"/>
        </w:rPr>
        <w:t>Más información:</w:t>
      </w:r>
    </w:p>
    <w:p w:rsidR="006A4066" w:rsidRPr="0076793C" w:rsidRDefault="00432FBE" w:rsidP="0076793C">
      <w:pPr>
        <w:spacing w:after="0" w:line="240" w:lineRule="auto"/>
        <w:jc w:val="both"/>
        <w:rPr>
          <w:sz w:val="24"/>
          <w:szCs w:val="24"/>
        </w:rPr>
      </w:pPr>
      <w:proofErr w:type="gramStart"/>
      <w:r w:rsidRPr="0076793C">
        <w:rPr>
          <w:rStyle w:val="Hipervnculo"/>
          <w:sz w:val="24"/>
          <w:szCs w:val="24"/>
        </w:rPr>
        <w:t>prensa</w:t>
      </w:r>
      <w:proofErr w:type="gramEnd"/>
      <w:hyperlink r:id="rId9" w:history="1">
        <w:r w:rsidRPr="0076793C">
          <w:rPr>
            <w:rStyle w:val="Hipervnculo"/>
            <w:sz w:val="24"/>
            <w:szCs w:val="24"/>
          </w:rPr>
          <w:t>@consejodetransparencia.es</w:t>
        </w:r>
      </w:hyperlink>
    </w:p>
    <w:sectPr w:rsidR="006A4066" w:rsidRPr="0076793C" w:rsidSect="00977E06">
      <w:headerReference w:type="default" r:id="rId10"/>
      <w:pgSz w:w="11906" w:h="16838"/>
      <w:pgMar w:top="2382"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D2D" w:rsidRDefault="00310D2D" w:rsidP="00432FBE">
      <w:pPr>
        <w:spacing w:after="0" w:line="240" w:lineRule="auto"/>
      </w:pPr>
      <w:r>
        <w:separator/>
      </w:r>
    </w:p>
  </w:endnote>
  <w:endnote w:type="continuationSeparator" w:id="0">
    <w:p w:rsidR="00310D2D" w:rsidRDefault="00310D2D" w:rsidP="00432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D2D" w:rsidRDefault="00310D2D" w:rsidP="00432FBE">
      <w:pPr>
        <w:spacing w:after="0" w:line="240" w:lineRule="auto"/>
      </w:pPr>
      <w:r>
        <w:separator/>
      </w:r>
    </w:p>
  </w:footnote>
  <w:footnote w:type="continuationSeparator" w:id="0">
    <w:p w:rsidR="00310D2D" w:rsidRDefault="00310D2D" w:rsidP="00432F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D2D" w:rsidRDefault="00310D2D" w:rsidP="00432FBE">
    <w:pPr>
      <w:pStyle w:val="Encabezado"/>
      <w:jc w:val="center"/>
    </w:pPr>
    <w:r w:rsidRPr="00460CD9">
      <w:rPr>
        <w:noProof/>
        <w:lang w:eastAsia="es-ES"/>
      </w:rPr>
      <w:drawing>
        <wp:inline distT="0" distB="0" distL="0" distR="0" wp14:anchorId="14DF2F10" wp14:editId="511D31AF">
          <wp:extent cx="1689811" cy="982509"/>
          <wp:effectExtent l="0" t="0" r="571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22889" cy="100174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BD14654_"/>
      </v:shape>
    </w:pict>
  </w:numPicBullet>
  <w:abstractNum w:abstractNumId="0">
    <w:nsid w:val="17DF6D21"/>
    <w:multiLevelType w:val="hybridMultilevel"/>
    <w:tmpl w:val="7C7AF540"/>
    <w:lvl w:ilvl="0" w:tplc="FA7C346E">
      <w:start w:val="1"/>
      <w:numFmt w:val="bullet"/>
      <w:lvlText w:val=""/>
      <w:lvlPicBulletId w:val="0"/>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1A985DF1"/>
    <w:multiLevelType w:val="hybridMultilevel"/>
    <w:tmpl w:val="7C9E1B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36563429"/>
    <w:multiLevelType w:val="hybridMultilevel"/>
    <w:tmpl w:val="A1CA4F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480D691E"/>
    <w:multiLevelType w:val="hybridMultilevel"/>
    <w:tmpl w:val="9466ACCE"/>
    <w:lvl w:ilvl="0" w:tplc="6FB86ABC">
      <w:start w:val="1"/>
      <w:numFmt w:val="decimal"/>
      <w:lvlText w:val="%1."/>
      <w:lvlJc w:val="left"/>
      <w:pPr>
        <w:ind w:left="720" w:hanging="360"/>
      </w:pPr>
      <w:rPr>
        <w:rFonts w:hint="default"/>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5C346C5"/>
    <w:multiLevelType w:val="hybridMultilevel"/>
    <w:tmpl w:val="C1AEC7D2"/>
    <w:lvl w:ilvl="0" w:tplc="53CAE9F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69604524"/>
    <w:multiLevelType w:val="hybridMultilevel"/>
    <w:tmpl w:val="1B920682"/>
    <w:lvl w:ilvl="0" w:tplc="23E089C4">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3B5254D"/>
    <w:multiLevelType w:val="hybridMultilevel"/>
    <w:tmpl w:val="5F223898"/>
    <w:lvl w:ilvl="0" w:tplc="FA7C346E">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CAD50D8"/>
    <w:multiLevelType w:val="hybridMultilevel"/>
    <w:tmpl w:val="82E2A3B0"/>
    <w:lvl w:ilvl="0" w:tplc="6B88DE4E">
      <w:start w:val="1"/>
      <w:numFmt w:val="bullet"/>
      <w:lvlText w:val=""/>
      <w:lvlJc w:val="left"/>
      <w:pPr>
        <w:ind w:left="720" w:hanging="360"/>
      </w:pPr>
      <w:rPr>
        <w:rFonts w:ascii="Wingdings" w:hAnsi="Wingdings" w:hint="default"/>
        <w:color w:val="00B05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3"/>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B51"/>
    <w:rsid w:val="00022B51"/>
    <w:rsid w:val="000575FB"/>
    <w:rsid w:val="001F1E35"/>
    <w:rsid w:val="001F4168"/>
    <w:rsid w:val="002723CA"/>
    <w:rsid w:val="002C1280"/>
    <w:rsid w:val="00310D2D"/>
    <w:rsid w:val="003343CF"/>
    <w:rsid w:val="003D4EFE"/>
    <w:rsid w:val="00432FBE"/>
    <w:rsid w:val="00452A82"/>
    <w:rsid w:val="004D4FE3"/>
    <w:rsid w:val="004F4426"/>
    <w:rsid w:val="00505A8C"/>
    <w:rsid w:val="00532321"/>
    <w:rsid w:val="00562702"/>
    <w:rsid w:val="006A4066"/>
    <w:rsid w:val="00711C0D"/>
    <w:rsid w:val="00711E94"/>
    <w:rsid w:val="0076793C"/>
    <w:rsid w:val="00770617"/>
    <w:rsid w:val="0088534C"/>
    <w:rsid w:val="008D37A0"/>
    <w:rsid w:val="00910E6E"/>
    <w:rsid w:val="0095354B"/>
    <w:rsid w:val="00961261"/>
    <w:rsid w:val="00977E06"/>
    <w:rsid w:val="009973AE"/>
    <w:rsid w:val="009C44B6"/>
    <w:rsid w:val="00A041B9"/>
    <w:rsid w:val="00A1090A"/>
    <w:rsid w:val="00A84B9D"/>
    <w:rsid w:val="00AA25F6"/>
    <w:rsid w:val="00AD6DE6"/>
    <w:rsid w:val="00B03B05"/>
    <w:rsid w:val="00CA5157"/>
    <w:rsid w:val="00CC4B64"/>
    <w:rsid w:val="00D5431A"/>
    <w:rsid w:val="00D62F13"/>
    <w:rsid w:val="00D8771A"/>
    <w:rsid w:val="00E058E4"/>
    <w:rsid w:val="00E07A15"/>
    <w:rsid w:val="00F41000"/>
    <w:rsid w:val="00F6711C"/>
    <w:rsid w:val="00F723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3B05"/>
    <w:pPr>
      <w:ind w:left="720"/>
      <w:contextualSpacing/>
    </w:pPr>
  </w:style>
  <w:style w:type="paragraph" w:customStyle="1" w:styleId="Cuerpodelboletn">
    <w:name w:val="Cuerpo del boletín"/>
    <w:basedOn w:val="Normal"/>
    <w:qFormat/>
    <w:rsid w:val="006A4066"/>
    <w:pPr>
      <w:spacing w:line="240" w:lineRule="auto"/>
      <w:jc w:val="both"/>
    </w:pPr>
    <w:rPr>
      <w:rFonts w:ascii="Century Gothic" w:eastAsiaTheme="minorEastAsia" w:hAnsi="Century Gothic"/>
      <w:color w:val="000000"/>
      <w:szCs w:val="24"/>
      <w:lang w:eastAsia="es-ES"/>
    </w:rPr>
  </w:style>
  <w:style w:type="character" w:styleId="Hipervnculo">
    <w:name w:val="Hyperlink"/>
    <w:basedOn w:val="Fuentedeprrafopredeter"/>
    <w:uiPriority w:val="99"/>
    <w:unhideWhenUsed/>
    <w:rsid w:val="00432FBE"/>
    <w:rPr>
      <w:color w:val="0000FF" w:themeColor="hyperlink"/>
      <w:u w:val="single"/>
    </w:rPr>
  </w:style>
  <w:style w:type="paragraph" w:styleId="Encabezado">
    <w:name w:val="header"/>
    <w:basedOn w:val="Normal"/>
    <w:link w:val="EncabezadoCar"/>
    <w:uiPriority w:val="99"/>
    <w:unhideWhenUsed/>
    <w:rsid w:val="00432F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2FBE"/>
  </w:style>
  <w:style w:type="paragraph" w:styleId="Piedepgina">
    <w:name w:val="footer"/>
    <w:basedOn w:val="Normal"/>
    <w:link w:val="PiedepginaCar"/>
    <w:uiPriority w:val="99"/>
    <w:unhideWhenUsed/>
    <w:rsid w:val="00432F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2FBE"/>
  </w:style>
  <w:style w:type="paragraph" w:styleId="Textodeglobo">
    <w:name w:val="Balloon Text"/>
    <w:basedOn w:val="Normal"/>
    <w:link w:val="TextodegloboCar"/>
    <w:uiPriority w:val="99"/>
    <w:semiHidden/>
    <w:unhideWhenUsed/>
    <w:rsid w:val="00432F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FBE"/>
    <w:rPr>
      <w:rFonts w:ascii="Tahoma" w:hAnsi="Tahoma" w:cs="Tahoma"/>
      <w:sz w:val="16"/>
      <w:szCs w:val="16"/>
    </w:rPr>
  </w:style>
  <w:style w:type="table" w:customStyle="1" w:styleId="Sombreadomedio2-nfasis31">
    <w:name w:val="Sombreado medio 2 - Énfasis 31"/>
    <w:basedOn w:val="Tablanormal"/>
    <w:next w:val="Sombreadomedio2-nfasis3"/>
    <w:uiPriority w:val="64"/>
    <w:rsid w:val="00961261"/>
    <w:pPr>
      <w:spacing w:after="0" w:line="240" w:lineRule="auto"/>
    </w:pPr>
    <w:rPr>
      <w:rFonts w:eastAsia="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6126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32">
    <w:name w:val="Sombreado medio 2 - Énfasis 32"/>
    <w:basedOn w:val="Tablanormal"/>
    <w:next w:val="Sombreadomedio2-nfasis3"/>
    <w:uiPriority w:val="64"/>
    <w:rsid w:val="008D37A0"/>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3B05"/>
    <w:pPr>
      <w:ind w:left="720"/>
      <w:contextualSpacing/>
    </w:pPr>
  </w:style>
  <w:style w:type="paragraph" w:customStyle="1" w:styleId="Cuerpodelboletn">
    <w:name w:val="Cuerpo del boletín"/>
    <w:basedOn w:val="Normal"/>
    <w:qFormat/>
    <w:rsid w:val="006A4066"/>
    <w:pPr>
      <w:spacing w:line="240" w:lineRule="auto"/>
      <w:jc w:val="both"/>
    </w:pPr>
    <w:rPr>
      <w:rFonts w:ascii="Century Gothic" w:eastAsiaTheme="minorEastAsia" w:hAnsi="Century Gothic"/>
      <w:color w:val="000000"/>
      <w:szCs w:val="24"/>
      <w:lang w:eastAsia="es-ES"/>
    </w:rPr>
  </w:style>
  <w:style w:type="character" w:styleId="Hipervnculo">
    <w:name w:val="Hyperlink"/>
    <w:basedOn w:val="Fuentedeprrafopredeter"/>
    <w:uiPriority w:val="99"/>
    <w:unhideWhenUsed/>
    <w:rsid w:val="00432FBE"/>
    <w:rPr>
      <w:color w:val="0000FF" w:themeColor="hyperlink"/>
      <w:u w:val="single"/>
    </w:rPr>
  </w:style>
  <w:style w:type="paragraph" w:styleId="Encabezado">
    <w:name w:val="header"/>
    <w:basedOn w:val="Normal"/>
    <w:link w:val="EncabezadoCar"/>
    <w:uiPriority w:val="99"/>
    <w:unhideWhenUsed/>
    <w:rsid w:val="00432F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2FBE"/>
  </w:style>
  <w:style w:type="paragraph" w:styleId="Piedepgina">
    <w:name w:val="footer"/>
    <w:basedOn w:val="Normal"/>
    <w:link w:val="PiedepginaCar"/>
    <w:uiPriority w:val="99"/>
    <w:unhideWhenUsed/>
    <w:rsid w:val="00432F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2FBE"/>
  </w:style>
  <w:style w:type="paragraph" w:styleId="Textodeglobo">
    <w:name w:val="Balloon Text"/>
    <w:basedOn w:val="Normal"/>
    <w:link w:val="TextodegloboCar"/>
    <w:uiPriority w:val="99"/>
    <w:semiHidden/>
    <w:unhideWhenUsed/>
    <w:rsid w:val="00432F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FBE"/>
    <w:rPr>
      <w:rFonts w:ascii="Tahoma" w:hAnsi="Tahoma" w:cs="Tahoma"/>
      <w:sz w:val="16"/>
      <w:szCs w:val="16"/>
    </w:rPr>
  </w:style>
  <w:style w:type="table" w:customStyle="1" w:styleId="Sombreadomedio2-nfasis31">
    <w:name w:val="Sombreado medio 2 - Énfasis 31"/>
    <w:basedOn w:val="Tablanormal"/>
    <w:next w:val="Sombreadomedio2-nfasis3"/>
    <w:uiPriority w:val="64"/>
    <w:rsid w:val="00961261"/>
    <w:pPr>
      <w:spacing w:after="0" w:line="240" w:lineRule="auto"/>
    </w:pPr>
    <w:rPr>
      <w:rFonts w:eastAsia="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6126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32">
    <w:name w:val="Sombreado medio 2 - Énfasis 32"/>
    <w:basedOn w:val="Tablanormal"/>
    <w:next w:val="Sombreadomedio2-nfasis3"/>
    <w:uiPriority w:val="64"/>
    <w:rsid w:val="008D37A0"/>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ejodetransparencia.es/ct_Home/Actividad/Evaluaciones/2023.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xxx@consejodetransparenci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528</Words>
  <Characters>2904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SGAD</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 DIEZ DOMINGUEZ</dc:creator>
  <cp:lastModifiedBy>YOLANDA DIEZ DOMINGUEZ</cp:lastModifiedBy>
  <cp:revision>2</cp:revision>
  <dcterms:created xsi:type="dcterms:W3CDTF">2023-06-01T12:11:00Z</dcterms:created>
  <dcterms:modified xsi:type="dcterms:W3CDTF">2023-06-01T12:11:00Z</dcterms:modified>
</cp:coreProperties>
</file>