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DE54" w14:textId="77777777"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E6D67" wp14:editId="5B77DD4F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1E4C07BE" w14:textId="77777777" w:rsidR="002749EE" w:rsidRPr="00006957" w:rsidRDefault="002749E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E6D67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1E4C07BE" w14:textId="77777777" w:rsidR="002749EE" w:rsidRPr="00006957" w:rsidRDefault="002749EE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5671E25" w14:textId="77777777"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21830" wp14:editId="54169FE9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53F158" w14:textId="77777777" w:rsidR="002749EE" w:rsidRDefault="002749EE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B5808" wp14:editId="23DCED98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21830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3A53F158" w14:textId="77777777" w:rsidR="002749EE" w:rsidRDefault="002749EE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2B5808" wp14:editId="23DCED98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FFC6547" w14:textId="77777777" w:rsidR="00B40246" w:rsidRPr="00B1184C" w:rsidRDefault="00B40246" w:rsidP="00B40246">
      <w:pPr>
        <w:spacing w:before="120" w:after="120" w:line="312" w:lineRule="auto"/>
      </w:pPr>
    </w:p>
    <w:p w14:paraId="40C64DF4" w14:textId="77777777" w:rsidR="00B40246" w:rsidRPr="00B1184C" w:rsidRDefault="00B40246" w:rsidP="00B40246">
      <w:pPr>
        <w:spacing w:before="120" w:after="120" w:line="312" w:lineRule="auto"/>
      </w:pPr>
    </w:p>
    <w:p w14:paraId="12A9588B" w14:textId="77777777"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14:paraId="05B68A3E" w14:textId="77777777"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18983" wp14:editId="6D050E39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941AF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46E21369" w14:textId="77777777" w:rsidR="000C6CFF" w:rsidRDefault="000C6CFF"/>
    <w:p w14:paraId="6A0F8765" w14:textId="77777777"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14:paraId="204318B5" w14:textId="77777777" w:rsidTr="00BB6799">
        <w:tc>
          <w:tcPr>
            <w:tcW w:w="3652" w:type="dxa"/>
          </w:tcPr>
          <w:p w14:paraId="70CA2F3D" w14:textId="77777777"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1783398A" w14:textId="77777777" w:rsidR="000C6CFF" w:rsidRPr="00CB5511" w:rsidRDefault="003A6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ACB Asociación de Clubs de Baloncesto</w:t>
            </w:r>
          </w:p>
        </w:tc>
      </w:tr>
      <w:tr w:rsidR="000C6CFF" w:rsidRPr="00CB5511" w14:paraId="704A1663" w14:textId="77777777" w:rsidTr="00BB6799">
        <w:tc>
          <w:tcPr>
            <w:tcW w:w="3652" w:type="dxa"/>
          </w:tcPr>
          <w:p w14:paraId="4917ACB9" w14:textId="77777777"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2C4A0E4C" w14:textId="77777777" w:rsidR="000C6CFF" w:rsidRDefault="003A6C1B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19/06</w:t>
            </w:r>
            <w:r w:rsidR="00C727F4">
              <w:rPr>
                <w:sz w:val="24"/>
                <w:szCs w:val="24"/>
              </w:rPr>
              <w:t>/2023</w:t>
            </w:r>
          </w:p>
          <w:p w14:paraId="30135253" w14:textId="77777777" w:rsidR="00171D1E" w:rsidRPr="00CB5511" w:rsidRDefault="00171D1E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20/07/2023</w:t>
            </w:r>
          </w:p>
        </w:tc>
      </w:tr>
      <w:tr w:rsidR="000C6CFF" w:rsidRPr="00CB5511" w14:paraId="3327D5CB" w14:textId="77777777" w:rsidTr="00171D1E">
        <w:trPr>
          <w:trHeight w:val="155"/>
        </w:trPr>
        <w:tc>
          <w:tcPr>
            <w:tcW w:w="3652" w:type="dxa"/>
          </w:tcPr>
          <w:p w14:paraId="6549C4CE" w14:textId="77777777"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5A1001F4" w14:textId="77777777" w:rsidR="00F42079" w:rsidRPr="00CB5511" w:rsidRDefault="00887847" w:rsidP="003A6C1B">
            <w:pPr>
              <w:rPr>
                <w:sz w:val="24"/>
                <w:szCs w:val="24"/>
              </w:rPr>
            </w:pPr>
            <w:hyperlink r:id="rId10" w:history="1">
              <w:r w:rsidR="003A6C1B" w:rsidRPr="00E07EFD">
                <w:rPr>
                  <w:rStyle w:val="Hipervnculo"/>
                </w:rPr>
                <w:t>https://www.acb.com</w:t>
              </w:r>
            </w:hyperlink>
            <w:hyperlink r:id="rId11" w:history="1"/>
          </w:p>
        </w:tc>
      </w:tr>
    </w:tbl>
    <w:p w14:paraId="1A4192A8" w14:textId="77777777" w:rsidR="000C6CFF" w:rsidRDefault="000C6CFF"/>
    <w:p w14:paraId="60A3FC90" w14:textId="77777777" w:rsidR="00561402" w:rsidRDefault="00561402"/>
    <w:p w14:paraId="0E1D0FBC" w14:textId="77777777"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14:paraId="43F483CF" w14:textId="77777777" w:rsidTr="001B3851">
        <w:tc>
          <w:tcPr>
            <w:tcW w:w="1760" w:type="dxa"/>
            <w:shd w:val="clear" w:color="auto" w:fill="4D7F52"/>
          </w:tcPr>
          <w:p w14:paraId="0BF15699" w14:textId="77777777"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4493E102" w14:textId="77777777"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782BD0C1" w14:textId="77777777"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14:paraId="5DB2D4ED" w14:textId="77777777" w:rsidTr="001B3851">
        <w:tc>
          <w:tcPr>
            <w:tcW w:w="1760" w:type="dxa"/>
          </w:tcPr>
          <w:p w14:paraId="1671743E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19853269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25EBAF5A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4A33BC25" w14:textId="77777777" w:rsidTr="001B3851">
        <w:tc>
          <w:tcPr>
            <w:tcW w:w="1760" w:type="dxa"/>
          </w:tcPr>
          <w:p w14:paraId="309F8202" w14:textId="77777777"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724B4E81" w14:textId="77777777"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14:paraId="4E0FAB84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7312388C" w14:textId="77777777" w:rsidTr="001B3851">
        <w:tc>
          <w:tcPr>
            <w:tcW w:w="1760" w:type="dxa"/>
          </w:tcPr>
          <w:p w14:paraId="3DC5C570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14:paraId="6734260A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14:paraId="56A42AFE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7855A4A0" w14:textId="77777777" w:rsidTr="001B3851">
        <w:tc>
          <w:tcPr>
            <w:tcW w:w="1760" w:type="dxa"/>
          </w:tcPr>
          <w:p w14:paraId="1D1050BE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5F6427F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361C1D4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4702FD1B" w14:textId="77777777" w:rsidTr="001B3851">
        <w:tc>
          <w:tcPr>
            <w:tcW w:w="1760" w:type="dxa"/>
          </w:tcPr>
          <w:p w14:paraId="08997A53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14:paraId="02F680B9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45B4E005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3A9F9A14" w14:textId="77777777" w:rsidTr="001B3851">
        <w:tc>
          <w:tcPr>
            <w:tcW w:w="1760" w:type="dxa"/>
          </w:tcPr>
          <w:p w14:paraId="58B4C4C2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14:paraId="29ED190D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14:paraId="07E6C1A5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2175312D" w14:textId="77777777" w:rsidTr="001B3851">
        <w:tc>
          <w:tcPr>
            <w:tcW w:w="1760" w:type="dxa"/>
          </w:tcPr>
          <w:p w14:paraId="17E6C184" w14:textId="77777777"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14:paraId="0A9AAD0A" w14:textId="77777777"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6AED0211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6135B576" w14:textId="77777777" w:rsidTr="001B3851">
        <w:tc>
          <w:tcPr>
            <w:tcW w:w="1760" w:type="dxa"/>
          </w:tcPr>
          <w:p w14:paraId="27EC4D83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14:paraId="2F665CFA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0509BA1E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3434D6A5" w14:textId="77777777" w:rsidTr="001B3851">
        <w:tc>
          <w:tcPr>
            <w:tcW w:w="1760" w:type="dxa"/>
          </w:tcPr>
          <w:p w14:paraId="647F6248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05EA4C03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14:paraId="0872B921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63B5A308" w14:textId="77777777" w:rsidTr="001B3851">
        <w:tc>
          <w:tcPr>
            <w:tcW w:w="1760" w:type="dxa"/>
          </w:tcPr>
          <w:p w14:paraId="6A1B3F7F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325FD6E2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21C37D96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5D79C993" w14:textId="77777777" w:rsidTr="001B3851">
        <w:tc>
          <w:tcPr>
            <w:tcW w:w="1760" w:type="dxa"/>
          </w:tcPr>
          <w:p w14:paraId="4A3C44F2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052DC5FE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48115F17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14:paraId="2436EC8A" w14:textId="77777777" w:rsidR="00F14DA4" w:rsidRDefault="00F14DA4"/>
    <w:p w14:paraId="6A1D1F54" w14:textId="77777777" w:rsidR="00F14DA4" w:rsidRDefault="00F14DA4"/>
    <w:p w14:paraId="7A47D85E" w14:textId="77777777" w:rsidR="00F14DA4" w:rsidRDefault="00F14DA4"/>
    <w:p w14:paraId="31447BD8" w14:textId="77777777" w:rsidR="00F14DA4" w:rsidRDefault="00F14DA4"/>
    <w:p w14:paraId="2B4FE450" w14:textId="77777777" w:rsidR="00F14DA4" w:rsidRDefault="00F14DA4"/>
    <w:p w14:paraId="32F6988C" w14:textId="77777777" w:rsidR="00561402" w:rsidRDefault="00561402"/>
    <w:p w14:paraId="3946F146" w14:textId="77777777" w:rsidR="00F14DA4" w:rsidRDefault="00F14DA4"/>
    <w:p w14:paraId="71A2F008" w14:textId="77777777"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14:paraId="1232ECDB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12DF4870" w14:textId="77777777"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1AEAA8F6" w14:textId="77777777"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3760A8A7" w14:textId="77777777"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14:paraId="79213A3B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46B54D66" w14:textId="77777777"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3467129B" w14:textId="77777777"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714181E6" w14:textId="77777777"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14:paraId="5E0D788C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AC3D602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5F5C5D9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10B3D560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46A56B14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5D6874C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21152CA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7DA1E399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5E9B70FE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309B9E7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72DB261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6F20F672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1384D2C7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C4AAA9A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77F7FC2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6154F696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16965FDF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996E08D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C316D45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6F39C70E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2AA4526B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1E8A430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4EF856C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23DE8516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44330822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CFA99E6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4EF1440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52E8B34A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26D4398B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4CBC98E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900382F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2878369F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30E63D7F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36B063C9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7F0EB24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607984BD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14:paraId="786DEAFF" w14:textId="77777777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0BD20E20" w14:textId="77777777"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1474A510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59ED1C92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69670293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2BDD304C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F92B098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198DA105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2039EEF7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2FDA9F5D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1208414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0777F68B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6A253243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6991439C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4DB9543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76F9D9CB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15E7860B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30061560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46EBFF7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57C75A7E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4A541909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6E0E078B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B445E80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14:paraId="78EA29D7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14:paraId="6CF3B190" w14:textId="77777777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175158E5" w14:textId="77777777"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26CC0EE0" w14:textId="77777777"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7D637E5D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7ED9745D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BEFE436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D12D20C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14:paraId="7610D572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4C141495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7522106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4C9CC28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6CA9E070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43796FD7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966878C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D6AE385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78A7411A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5225989A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4C46C70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E80DCA8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509DD5F3" w14:textId="77777777"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14:paraId="0652AFA6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75C372C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7BD43AF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32DA9353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067DDB6D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D291446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BFB9846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1E0D7CEA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41283BCE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557A3D7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E352E45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493CEBA0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0F2A90E5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F8B3024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9C2BAE8" w14:textId="77777777"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1E892A5A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14:paraId="2F0705C8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F055EA1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C0C4498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3DB049AB" w14:textId="77777777"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14:paraId="1A8BFE1D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B758945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71FFE13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1162E8DC" w14:textId="77777777" w:rsidR="005B6CF5" w:rsidRDefault="005B6CF5" w:rsidP="005B6CF5">
            <w:pPr>
              <w:jc w:val="center"/>
            </w:pPr>
          </w:p>
        </w:tc>
      </w:tr>
      <w:tr w:rsidR="00AD2022" w:rsidRPr="00BB6799" w14:paraId="7F1C5CBC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7A06F3D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0D81C53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DC37996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3EA92EE8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E1E9234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5DBC31B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0AD8EA82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14:paraId="0C7C2CBE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B793E2A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552C0D3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02BC4A54" w14:textId="77777777"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14:paraId="09185FE7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2CD3FA8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70FD734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65BFC5E9" w14:textId="77777777"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14:paraId="7E6BED38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723D5BF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4CBB60A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16135336" w14:textId="77777777"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14:paraId="134C5733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D787CCD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25876E6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76D638C2" w14:textId="77777777" w:rsidR="005B6CF5" w:rsidRDefault="005B6CF5" w:rsidP="005B6CF5">
            <w:pPr>
              <w:jc w:val="center"/>
            </w:pPr>
          </w:p>
        </w:tc>
      </w:tr>
      <w:tr w:rsidR="00544E0C" w:rsidRPr="00BB6799" w14:paraId="655ABCC1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2BA0894" w14:textId="77777777"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5E819CA" w14:textId="77777777"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14:paraId="14323653" w14:textId="77777777" w:rsidR="00544E0C" w:rsidRDefault="00544E0C" w:rsidP="005B6CF5">
            <w:pPr>
              <w:jc w:val="center"/>
            </w:pPr>
          </w:p>
        </w:tc>
      </w:tr>
      <w:tr w:rsidR="00544E0C" w:rsidRPr="00BB6799" w14:paraId="511D7B27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5083790" w14:textId="77777777"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7488E65" w14:textId="77777777"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14:paraId="058B6E92" w14:textId="77777777" w:rsidR="00544E0C" w:rsidRDefault="00544E0C" w:rsidP="005B6CF5">
            <w:pPr>
              <w:jc w:val="center"/>
            </w:pPr>
          </w:p>
        </w:tc>
      </w:tr>
      <w:tr w:rsidR="005F29B8" w:rsidRPr="00BB6799" w14:paraId="5FE109E5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30A7622" w14:textId="77777777"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362F6ED" w14:textId="77777777"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36A7D69D" w14:textId="77777777" w:rsidR="005F29B8" w:rsidRDefault="005F29B8" w:rsidP="005B6CF5">
            <w:pPr>
              <w:jc w:val="center"/>
            </w:pPr>
          </w:p>
        </w:tc>
      </w:tr>
      <w:tr w:rsidR="005F29B8" w:rsidRPr="00BB6799" w14:paraId="069F1442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7456D42" w14:textId="77777777"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D7D595E" w14:textId="77777777"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6CDA1D33" w14:textId="77777777" w:rsidR="005F29B8" w:rsidRDefault="005F29B8" w:rsidP="005B6CF5">
            <w:pPr>
              <w:jc w:val="center"/>
            </w:pPr>
          </w:p>
        </w:tc>
      </w:tr>
      <w:tr w:rsidR="00AD2022" w:rsidRPr="00BB6799" w14:paraId="663D281C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FD8DCA7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5D95C0BE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5101D34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616DC8B0" w14:textId="77777777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53389A4E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3D847DE6" w14:textId="77777777"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EDEB90C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14:paraId="4BB90524" w14:textId="77777777" w:rsidR="00BB6799" w:rsidRDefault="00BB6799">
      <w:pPr>
        <w:rPr>
          <w:b/>
          <w:color w:val="00642D"/>
          <w:sz w:val="30"/>
          <w:szCs w:val="30"/>
        </w:rPr>
      </w:pPr>
    </w:p>
    <w:p w14:paraId="140723ED" w14:textId="77777777" w:rsidR="00BB6799" w:rsidRDefault="00BB6799">
      <w:pPr>
        <w:rPr>
          <w:b/>
          <w:color w:val="00642D"/>
          <w:sz w:val="30"/>
          <w:szCs w:val="30"/>
        </w:rPr>
      </w:pPr>
    </w:p>
    <w:p w14:paraId="70F9F983" w14:textId="77777777" w:rsidR="00561402" w:rsidRDefault="00561402">
      <w:pPr>
        <w:rPr>
          <w:b/>
          <w:color w:val="00642D"/>
          <w:sz w:val="30"/>
          <w:szCs w:val="30"/>
        </w:rPr>
      </w:pPr>
    </w:p>
    <w:p w14:paraId="40E5FC31" w14:textId="77777777" w:rsidR="00B40246" w:rsidRPr="00E34195" w:rsidRDefault="00887847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5208C954" w14:textId="77777777"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14:paraId="6280BB3C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36207A13" w14:textId="77777777"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16F80D96" w14:textId="77777777"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14:paraId="452DEF6F" w14:textId="77777777" w:rsidR="00CB5511" w:rsidRPr="00CB5511" w:rsidRDefault="003A6C1B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0E475B28" w14:textId="77777777" w:rsidR="00CB5511" w:rsidRPr="000C6CFF" w:rsidRDefault="003A6C1B" w:rsidP="00171D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enlace al Portal de Transparencia se publica en la parte </w:t>
            </w:r>
            <w:r w:rsidR="00171D1E">
              <w:rPr>
                <w:sz w:val="20"/>
                <w:szCs w:val="20"/>
              </w:rPr>
              <w:t>inferior</w:t>
            </w:r>
            <w:r>
              <w:rPr>
                <w:sz w:val="20"/>
                <w:szCs w:val="20"/>
              </w:rPr>
              <w:t xml:space="preserve"> de la página home.</w:t>
            </w:r>
          </w:p>
        </w:tc>
      </w:tr>
      <w:tr w:rsidR="00CB5511" w:rsidRPr="000C6CFF" w14:paraId="06E5FC10" w14:textId="77777777" w:rsidTr="00E34195">
        <w:tc>
          <w:tcPr>
            <w:tcW w:w="2235" w:type="dxa"/>
            <w:vMerge/>
            <w:shd w:val="clear" w:color="auto" w:fill="00642D"/>
          </w:tcPr>
          <w:p w14:paraId="7F9BE55A" w14:textId="77777777"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ABAB7DE" w14:textId="77777777"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082C7108" w14:textId="77777777"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BF8E7EB" w14:textId="77777777"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14:paraId="3765952F" w14:textId="77777777" w:rsidTr="00E34195">
        <w:tc>
          <w:tcPr>
            <w:tcW w:w="2235" w:type="dxa"/>
            <w:vMerge/>
            <w:shd w:val="clear" w:color="auto" w:fill="00642D"/>
          </w:tcPr>
          <w:p w14:paraId="4003B58C" w14:textId="77777777"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9589D7D" w14:textId="77777777"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079EB841" w14:textId="77777777"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F0F420B" w14:textId="77777777"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14:paraId="4F190936" w14:textId="77777777" w:rsidR="00CB5511" w:rsidRDefault="00CB5511"/>
    <w:p w14:paraId="0E832DFE" w14:textId="77777777"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14:paraId="6C35C2E4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598826CA" w14:textId="77777777"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5744F217" w14:textId="77777777"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0B084CFA" w14:textId="77777777"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587DC685" w14:textId="77777777" w:rsidR="00932008" w:rsidRPr="00932008" w:rsidRDefault="003A6C1B" w:rsidP="003A6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aparece estructurada en los siguientes apartados: Normativa, Información institucional, Organigrama, Convenios y contratos, Subvenciones.</w:t>
            </w:r>
          </w:p>
        </w:tc>
      </w:tr>
      <w:tr w:rsidR="00932008" w:rsidRPr="00932008" w14:paraId="07F36622" w14:textId="77777777" w:rsidTr="00E34195">
        <w:tc>
          <w:tcPr>
            <w:tcW w:w="2235" w:type="dxa"/>
            <w:vMerge/>
            <w:shd w:val="clear" w:color="auto" w:fill="00642D"/>
          </w:tcPr>
          <w:p w14:paraId="65829837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E166BB1" w14:textId="77777777"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14:paraId="1D2E4CDB" w14:textId="77777777" w:rsidR="00932008" w:rsidRPr="00CB5511" w:rsidRDefault="003A6C1B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14472216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14:paraId="026C144A" w14:textId="77777777" w:rsidTr="00E34195">
        <w:tc>
          <w:tcPr>
            <w:tcW w:w="2235" w:type="dxa"/>
            <w:vMerge/>
            <w:shd w:val="clear" w:color="auto" w:fill="00642D"/>
          </w:tcPr>
          <w:p w14:paraId="1FA1EC69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1F74B9E" w14:textId="77777777"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271CAD37" w14:textId="77777777"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122DCF08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14:paraId="07531F12" w14:textId="77777777" w:rsidR="00561402" w:rsidRDefault="00561402"/>
    <w:p w14:paraId="1ADBB442" w14:textId="77777777" w:rsidR="00C727F4" w:rsidRDefault="003A6C1B" w:rsidP="00AF3D56">
      <w:pPr>
        <w:jc w:val="center"/>
      </w:pPr>
      <w:r>
        <w:rPr>
          <w:noProof/>
        </w:rPr>
        <w:drawing>
          <wp:inline distT="0" distB="0" distL="0" distR="0" wp14:anchorId="75FFA448" wp14:editId="6B4E4D93">
            <wp:extent cx="6645910" cy="2909570"/>
            <wp:effectExtent l="0" t="0" r="2540" b="508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47D8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F13B7" w14:textId="77777777" w:rsidR="00C727F4" w:rsidRDefault="00C727F4"/>
    <w:p w14:paraId="66C45CEF" w14:textId="77777777" w:rsidR="00561402" w:rsidRDefault="00561402">
      <w:r>
        <w:br w:type="page"/>
      </w:r>
    </w:p>
    <w:p w14:paraId="162E3264" w14:textId="77777777"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14:paraId="054FD995" w14:textId="77777777"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14:paraId="6B0D17FE" w14:textId="77777777" w:rsidTr="00C4351F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14:paraId="635AE5E5" w14:textId="77777777"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313267F2" w14:textId="77777777"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75CA7C03" w14:textId="77777777"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14:paraId="74047BC5" w14:textId="77777777"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14:paraId="6D0E90B7" w14:textId="77777777" w:rsidTr="00C4351F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05E6CF9" w14:textId="77777777"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187767A" w14:textId="77777777"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4D9276B" w14:textId="77777777" w:rsidR="00E34195" w:rsidRPr="00CB5511" w:rsidRDefault="00E34195" w:rsidP="00C4351F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9CA32E0" w14:textId="77777777" w:rsidR="00E34195" w:rsidRPr="009F1191" w:rsidRDefault="00C4351F" w:rsidP="0033372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el Portal de Transparencia/Normativa. </w:t>
            </w:r>
          </w:p>
        </w:tc>
      </w:tr>
      <w:tr w:rsidR="00E34195" w:rsidRPr="00CB5511" w14:paraId="7A736EF0" w14:textId="77777777" w:rsidTr="00C4351F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2D2B869" w14:textId="77777777"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F97EC4" w14:textId="77777777"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6811140" w14:textId="77777777" w:rsidR="00E34195" w:rsidRPr="00CB5511" w:rsidRDefault="00E34195" w:rsidP="00C4351F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07F9B3E" w14:textId="77777777" w:rsidR="00E34195" w:rsidRPr="009F1191" w:rsidRDefault="00C4351F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institucional. La información no está datada y no existen referencias a la última vez que se revisó o actualizó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14:paraId="5CE6F2D3" w14:textId="77777777" w:rsidTr="00C4351F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973F017" w14:textId="77777777"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FCE626C" w14:textId="77777777"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A28854" w14:textId="77777777" w:rsidR="00E34195" w:rsidRPr="00CB5511" w:rsidRDefault="00E34195" w:rsidP="00C4351F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54AFBE" w14:textId="77777777" w:rsidR="00E34195" w:rsidRPr="009F1191" w:rsidRDefault="00C4351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Transparencia/Información institucional. La información no está datada y no existen referencias a la última vez que se revisó o actualizó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14:paraId="363E456B" w14:textId="77777777" w:rsidTr="00C4351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2FE6A96" w14:textId="77777777"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4BBF7B" w14:textId="77777777"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FD93FF" w14:textId="77777777" w:rsidR="00E34195" w:rsidRPr="00CB5511" w:rsidRDefault="00E34195" w:rsidP="00C4351F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236DF6" w14:textId="77777777" w:rsidR="00E34195" w:rsidRPr="009F1191" w:rsidRDefault="00C4351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Transparencia/Organigrama. La información no está datada y no existen referencias a la última vez que se revisó o actualizó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2327A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información no se publica en formato reutilizable.</w:t>
            </w:r>
          </w:p>
        </w:tc>
      </w:tr>
      <w:tr w:rsidR="00B213ED" w:rsidRPr="00CB5511" w14:paraId="17737F8C" w14:textId="77777777" w:rsidTr="00C4351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DF9E58D" w14:textId="77777777"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6E8173B" w14:textId="77777777"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D01770" w14:textId="77777777" w:rsidR="00B213ED" w:rsidRPr="00CB5511" w:rsidRDefault="00B213ED" w:rsidP="00C4351F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A1FF7D5" w14:textId="77777777" w:rsidR="00B213ED" w:rsidRPr="00B35A03" w:rsidRDefault="00C4351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Transparencia/Organigrama. La información no está datada y no existen referencias a la última vez que se revisó o actualizó.</w:t>
            </w:r>
          </w:p>
        </w:tc>
      </w:tr>
      <w:tr w:rsidR="00B213ED" w:rsidRPr="00B35A03" w14:paraId="37EA6EB1" w14:textId="77777777" w:rsidTr="00C4351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44F0D72E" w14:textId="77777777"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7BD7D3" w14:textId="77777777"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13AADF" w14:textId="77777777" w:rsidR="00B213ED" w:rsidRPr="00CB5511" w:rsidRDefault="00B213ED" w:rsidP="00C4351F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58EF218" w14:textId="77777777" w:rsidR="00B213ED" w:rsidRPr="00B35A03" w:rsidRDefault="00C4351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Transparencia/Organigrama. La información no está datada y no existen referencias a la última vez que se revisó o actualizó.</w:t>
            </w:r>
          </w:p>
        </w:tc>
      </w:tr>
    </w:tbl>
    <w:p w14:paraId="37A54C53" w14:textId="77777777" w:rsidR="0033372F" w:rsidRDefault="0033372F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5B6DE5B1" w14:textId="77777777"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14:paraId="22119377" w14:textId="77777777"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2DE23" wp14:editId="2710C78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73355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A082" w14:textId="77777777" w:rsidR="002749EE" w:rsidRDefault="002749E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491F8E3E" w14:textId="77777777" w:rsidR="002749EE" w:rsidRDefault="002749EE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>La información publicada recoge los contenidos obligatorios establecidos en el artículo 6 y 6 bis de la LTAIBG.</w:t>
                            </w:r>
                          </w:p>
                          <w:p w14:paraId="5AA0B365" w14:textId="77777777" w:rsidR="002749EE" w:rsidRDefault="002749EE" w:rsidP="006B64F3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B53D32"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  <w:t xml:space="preserve">Calidad de la Información: </w:t>
                            </w:r>
                          </w:p>
                          <w:p w14:paraId="620EFF7C" w14:textId="77777777" w:rsidR="002749EE" w:rsidRPr="00B53D32" w:rsidRDefault="002749EE" w:rsidP="006B64F3">
                            <w:pPr>
                              <w:jc w:val="both"/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Parte de l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>a información no está datada y no se publica la fecha de la última revisión o actualización de la información.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 toda la información se publica en formato reutilizable.</w:t>
                            </w:r>
                          </w:p>
                          <w:p w14:paraId="746C110F" w14:textId="77777777" w:rsidR="002749EE" w:rsidRPr="00026650" w:rsidRDefault="002749EE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2DE23" id="Cuadro de texto 2" o:spid="_x0000_s1028" type="#_x0000_t202" style="position:absolute;left:0;text-align:left;margin-left:0;margin-top:0;width:433.8pt;height:136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">
                <v:textbox>
                  <w:txbxContent>
                    <w:p w14:paraId="63C9A082" w14:textId="77777777" w:rsidR="002749EE" w:rsidRDefault="002749EE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491F8E3E" w14:textId="77777777" w:rsidR="002749EE" w:rsidRDefault="002749EE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>La información publicada recoge los contenidos obligatorios establecidos en el artículo 6 y 6 bis de la LTAIBG.</w:t>
                      </w:r>
                    </w:p>
                    <w:p w14:paraId="5AA0B365" w14:textId="77777777" w:rsidR="002749EE" w:rsidRDefault="002749EE" w:rsidP="006B64F3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B53D32">
                        <w:rPr>
                          <w:b/>
                          <w:color w:val="00642D"/>
                          <w:sz w:val="20"/>
                          <w:szCs w:val="20"/>
                        </w:rPr>
                        <w:t xml:space="preserve">Calidad de la Información: </w:t>
                      </w:r>
                    </w:p>
                    <w:p w14:paraId="620EFF7C" w14:textId="77777777" w:rsidR="002749EE" w:rsidRPr="00B53D32" w:rsidRDefault="002749EE" w:rsidP="006B64F3">
                      <w:pPr>
                        <w:jc w:val="both"/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Parte de l</w:t>
                      </w:r>
                      <w:r w:rsidRPr="00026650">
                        <w:rPr>
                          <w:sz w:val="20"/>
                          <w:szCs w:val="20"/>
                        </w:rPr>
                        <w:t>a información no está datada y no se publica la fecha de la última revisión o actualización de la información.</w:t>
                      </w:r>
                      <w:r>
                        <w:rPr>
                          <w:sz w:val="20"/>
                          <w:szCs w:val="20"/>
                        </w:rPr>
                        <w:t xml:space="preserve"> No toda la información se publica en formato reutilizable.</w:t>
                      </w:r>
                    </w:p>
                    <w:p w14:paraId="746C110F" w14:textId="77777777" w:rsidR="002749EE" w:rsidRPr="00026650" w:rsidRDefault="002749EE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52FFBE" w14:textId="77777777"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6629E8BF" w14:textId="77777777" w:rsidR="00505E13" w:rsidRDefault="00505E13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70D2E796" w14:textId="77777777" w:rsidR="002327A7" w:rsidRDefault="002327A7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660B5D86" w14:textId="77777777"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14:paraId="5D0FDD95" w14:textId="77777777"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14:paraId="44B4794A" w14:textId="77777777"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14:paraId="18C13292" w14:textId="77777777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5A9DF5C1" w14:textId="77777777"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8E9E033" w14:textId="77777777"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3F4B04BB" w14:textId="77777777"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14:paraId="3C014BAE" w14:textId="77777777"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14:paraId="7D24E5C4" w14:textId="77777777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6BDD525" w14:textId="77777777"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BA6B891" w14:textId="77777777"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603817F" w14:textId="77777777"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8BB17E" w14:textId="77777777" w:rsidR="00AE557E" w:rsidRPr="0089480B" w:rsidRDefault="00AC2255" w:rsidP="00D83E6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 pesar de que en el Portal de Transparencia </w:t>
            </w:r>
            <w:r w:rsidR="00D83E63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existe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un apartado denominado Convenios y contratos, no se ha localizado ninguna </w:t>
            </w:r>
            <w:r w:rsidR="002749E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información</w:t>
            </w:r>
            <w:r w:rsidR="00171D1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específica </w:t>
            </w:r>
            <w:r w:rsidR="002749E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sobre</w:t>
            </w:r>
            <w:r w:rsidR="00171D1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contratos. Por esta razón,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la obligación no puede darse por cumplida.</w:t>
            </w:r>
          </w:p>
        </w:tc>
      </w:tr>
      <w:tr w:rsidR="00C33A23" w:rsidRPr="00CB5511" w14:paraId="243B0310" w14:textId="77777777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0B8F9CD9" w14:textId="77777777"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F80E210" w14:textId="77777777"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E6D4041" w14:textId="77777777" w:rsidR="00C33A23" w:rsidRPr="00CB5511" w:rsidRDefault="00C33A23" w:rsidP="00AC225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46B92F" w14:textId="77777777" w:rsidR="00C33A23" w:rsidRPr="0089480B" w:rsidRDefault="00171D1E" w:rsidP="00171D1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Aunque se informa sobre dos convenios, no se publican los ítems informativos </w:t>
            </w:r>
            <w:r w:rsidR="00AC225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que la Ley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de Transparencia establece para esta obligación:</w:t>
            </w:r>
            <w:r w:rsidR="00AC225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objeto, plazo, obligaciones económicas y posibles modificaciones. Por ello, no puede darse por cumplida la obligación.</w:t>
            </w:r>
          </w:p>
        </w:tc>
      </w:tr>
      <w:tr w:rsidR="009609E9" w:rsidRPr="00CB5511" w14:paraId="1453F40C" w14:textId="77777777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6F13F21" w14:textId="77777777"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0F7EF2" w14:textId="77777777"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85FF54" w14:textId="77777777" w:rsidR="009609E9" w:rsidRPr="00CB5511" w:rsidRDefault="009609E9" w:rsidP="00171D1E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8A10545" w14:textId="77777777" w:rsidR="009609E9" w:rsidRPr="0089480B" w:rsidRDefault="00ED4F3C" w:rsidP="00171D1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 en el Portal de Transparencia/Subvenciones. </w:t>
            </w:r>
            <w:r w:rsidR="00171D1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última información publicada corresponde a 2021. Dado el desfase temporal existente no puede considerarse cumplida esta obligación.</w:t>
            </w:r>
          </w:p>
        </w:tc>
      </w:tr>
      <w:tr w:rsidR="00F47C3B" w:rsidRPr="00CB5511" w14:paraId="55229B11" w14:textId="77777777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3C62AE0" w14:textId="77777777"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467CE43" w14:textId="77777777"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6D608F9E" w14:textId="77777777"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7291D7" w14:textId="77777777"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251BF3F" w14:textId="77777777"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14:paraId="09004E80" w14:textId="77777777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BA3CA72" w14:textId="77777777"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9A4723" w14:textId="77777777"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AA7EDBE" w14:textId="77777777"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7587EAC" w14:textId="77777777"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14:paraId="1C88F1A4" w14:textId="77777777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BD038F3" w14:textId="77777777"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E25A1D0" w14:textId="77777777"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4BD72D0" w14:textId="77777777"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2EA95FE" w14:textId="77777777"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14:paraId="2F49AEAA" w14:textId="77777777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CAAD52D" w14:textId="77777777"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0C10CD1" w14:textId="77777777"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15963B" w14:textId="77777777"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3102EA" w14:textId="77777777"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38BE79B6" w14:textId="77777777"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7E501FAB" w14:textId="77777777"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62DBDA2E" w14:textId="77777777"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14:paraId="274E08AE" w14:textId="77777777"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C40FBD" wp14:editId="019CA340">
                <wp:simplePos x="0" y="0"/>
                <wp:positionH relativeFrom="column">
                  <wp:posOffset>714375</wp:posOffset>
                </wp:positionH>
                <wp:positionV relativeFrom="paragraph">
                  <wp:posOffset>144779</wp:posOffset>
                </wp:positionV>
                <wp:extent cx="5509523" cy="37242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9A263" w14:textId="77777777" w:rsidR="002749EE" w:rsidRDefault="002749EE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48175AC0" w14:textId="77777777" w:rsidR="002749EE" w:rsidRPr="00EF7E5C" w:rsidRDefault="002749EE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14:paraId="430146B9" w14:textId="77777777" w:rsidR="002749EE" w:rsidRDefault="002749EE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031248" w14:textId="77777777" w:rsidR="002749EE" w:rsidRDefault="002749EE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completa sobre posibles convenios suscritos.</w:t>
                            </w:r>
                          </w:p>
                          <w:p w14:paraId="47E11D49" w14:textId="77777777" w:rsidR="002749EE" w:rsidRDefault="002749EE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sobre subvenciones está desactualizada</w:t>
                            </w:r>
                          </w:p>
                          <w:p w14:paraId="222D5E26" w14:textId="77777777" w:rsidR="002749EE" w:rsidRDefault="002749EE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presupuestos de la entidad.</w:t>
                            </w:r>
                          </w:p>
                          <w:p w14:paraId="4181AF79" w14:textId="77777777" w:rsidR="002749EE" w:rsidRDefault="002749EE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14:paraId="27357C5E" w14:textId="77777777" w:rsidR="002749EE" w:rsidRDefault="002749EE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14:paraId="49F0D998" w14:textId="77777777" w:rsidR="002749EE" w:rsidRDefault="002749EE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  <w:p w14:paraId="37D885F2" w14:textId="77777777" w:rsidR="002749EE" w:rsidRPr="00ED4F3C" w:rsidRDefault="002749EE" w:rsidP="00ED4F3C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ED4F3C"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  <w:r w:rsidRPr="00ED4F3C"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89753B5" w14:textId="77777777" w:rsidR="002749EE" w:rsidRPr="00ED4F3C" w:rsidRDefault="002749EE" w:rsidP="00ED4F3C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ED4F3C">
                              <w:rPr>
                                <w:sz w:val="20"/>
                                <w:szCs w:val="20"/>
                              </w:rPr>
                              <w:t>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40FBD" id="_x0000_s1029" type="#_x0000_t202" style="position:absolute;left:0;text-align:left;margin-left:56.25pt;margin-top:11.4pt;width:433.8pt;height:29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">
                <v:textbox>
                  <w:txbxContent>
                    <w:p w14:paraId="1239A263" w14:textId="77777777" w:rsidR="002749EE" w:rsidRDefault="002749EE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48175AC0" w14:textId="77777777" w:rsidR="002749EE" w:rsidRPr="00EF7E5C" w:rsidRDefault="002749EE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14:paraId="430146B9" w14:textId="77777777" w:rsidR="002749EE" w:rsidRDefault="002749EE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3031248" w14:textId="77777777" w:rsidR="002749EE" w:rsidRDefault="002749EE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completa sobre posibles convenios suscritos.</w:t>
                      </w:r>
                    </w:p>
                    <w:p w14:paraId="47E11D49" w14:textId="77777777" w:rsidR="002749EE" w:rsidRDefault="002749EE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sobre subvenciones está desactualizada</w:t>
                      </w:r>
                    </w:p>
                    <w:p w14:paraId="222D5E26" w14:textId="77777777" w:rsidR="002749EE" w:rsidRDefault="002749EE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presupuestos de la entidad.</w:t>
                      </w:r>
                    </w:p>
                    <w:p w14:paraId="4181AF79" w14:textId="77777777" w:rsidR="002749EE" w:rsidRDefault="002749EE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14:paraId="27357C5E" w14:textId="77777777" w:rsidR="002749EE" w:rsidRDefault="002749EE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14:paraId="49F0D998" w14:textId="77777777" w:rsidR="002749EE" w:rsidRDefault="002749EE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  <w:p w14:paraId="37D885F2" w14:textId="77777777" w:rsidR="002749EE" w:rsidRPr="00ED4F3C" w:rsidRDefault="002749EE" w:rsidP="00ED4F3C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ED4F3C">
                        <w:rPr>
                          <w:b/>
                          <w:color w:val="00642D"/>
                        </w:rPr>
                        <w:t>Calidad de la Información</w:t>
                      </w:r>
                      <w:r w:rsidRPr="00ED4F3C">
                        <w:rPr>
                          <w:b/>
                          <w:color w:val="00642D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89753B5" w14:textId="77777777" w:rsidR="002749EE" w:rsidRPr="00ED4F3C" w:rsidRDefault="002749EE" w:rsidP="00ED4F3C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Pr="00ED4F3C">
                        <w:rPr>
                          <w:sz w:val="20"/>
                          <w:szCs w:val="20"/>
                        </w:rPr>
                        <w:t>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77AFB940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2B62B560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04D4F7B9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7930317F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48E7C54E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7E891806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6C6BA473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7890BCCB" w14:textId="77777777"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63A7C309" w14:textId="77777777"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35F223E3" w14:textId="77777777"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2557795C" w14:textId="77777777"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27D77340" w14:textId="77777777" w:rsidR="00E25861" w:rsidRDefault="00E25861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0F6D13E7" w14:textId="77777777" w:rsidR="00BD5EA9" w:rsidRDefault="00BD5EA9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66A13A7D" w14:textId="77777777"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FD0689" w14:paraId="75E1076F" w14:textId="77777777" w:rsidTr="00887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24DC8BE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D1AFA1E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EFA0340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85B8A7D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ADCA7E4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E219E6E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AC7E28A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14A964A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574334E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2749EE" w:rsidRPr="00FD0689" w14:paraId="1B5F6860" w14:textId="77777777" w:rsidTr="00887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54E71955" w14:textId="77777777" w:rsidR="002749EE" w:rsidRPr="00FD0689" w:rsidRDefault="002749EE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40C3B89B" w14:textId="77777777" w:rsidR="002749EE" w:rsidRPr="00302B45" w:rsidRDefault="002749EE" w:rsidP="0030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02B45">
              <w:rPr>
                <w:sz w:val="16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14:paraId="2F8DED46" w14:textId="77777777" w:rsidR="002749EE" w:rsidRPr="00302B45" w:rsidRDefault="002749EE" w:rsidP="0030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02B45">
              <w:rPr>
                <w:sz w:val="16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14:paraId="72D45D89" w14:textId="77777777" w:rsidR="002749EE" w:rsidRPr="00302B45" w:rsidRDefault="002749EE" w:rsidP="0030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02B45">
              <w:rPr>
                <w:sz w:val="16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14:paraId="58153912" w14:textId="77777777" w:rsidR="002749EE" w:rsidRPr="00302B45" w:rsidRDefault="002749EE" w:rsidP="0030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02B45">
              <w:rPr>
                <w:sz w:val="16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14:paraId="413B3B62" w14:textId="77777777" w:rsidR="002749EE" w:rsidRPr="00302B45" w:rsidRDefault="002749EE" w:rsidP="0030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02B45">
              <w:rPr>
                <w:sz w:val="16"/>
              </w:rPr>
              <w:t>100,0</w:t>
            </w:r>
          </w:p>
        </w:tc>
        <w:tc>
          <w:tcPr>
            <w:tcW w:w="344" w:type="pct"/>
            <w:noWrap/>
            <w:vAlign w:val="center"/>
          </w:tcPr>
          <w:p w14:paraId="18620242" w14:textId="77777777" w:rsidR="002749EE" w:rsidRPr="00302B45" w:rsidRDefault="002749EE" w:rsidP="0030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02B45">
              <w:rPr>
                <w:sz w:val="16"/>
              </w:rPr>
              <w:t>83,3</w:t>
            </w:r>
          </w:p>
        </w:tc>
        <w:tc>
          <w:tcPr>
            <w:tcW w:w="344" w:type="pct"/>
            <w:noWrap/>
            <w:vAlign w:val="center"/>
          </w:tcPr>
          <w:p w14:paraId="02FD67C9" w14:textId="77777777" w:rsidR="002749EE" w:rsidRPr="00302B45" w:rsidRDefault="002749EE" w:rsidP="0030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02B45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14:paraId="4E833A46" w14:textId="77777777" w:rsidR="002749EE" w:rsidRPr="00302B45" w:rsidRDefault="002749EE" w:rsidP="0030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02B45">
              <w:rPr>
                <w:sz w:val="16"/>
              </w:rPr>
              <w:t>85,7</w:t>
            </w:r>
          </w:p>
        </w:tc>
      </w:tr>
      <w:tr w:rsidR="002749EE" w:rsidRPr="00FD0689" w14:paraId="426EA794" w14:textId="77777777" w:rsidTr="0088784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3633E64B" w14:textId="77777777" w:rsidR="002749EE" w:rsidRPr="00FD0689" w:rsidRDefault="002749EE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0016A6AA" w14:textId="77777777" w:rsidR="002749EE" w:rsidRPr="00302B45" w:rsidRDefault="002749EE" w:rsidP="0030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02B45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00046BF4" w14:textId="77777777" w:rsidR="002749EE" w:rsidRPr="00302B45" w:rsidRDefault="002749EE" w:rsidP="0030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02B45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44AE18DA" w14:textId="77777777" w:rsidR="002749EE" w:rsidRPr="00302B45" w:rsidRDefault="002749EE" w:rsidP="0030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02B45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65FC46F1" w14:textId="77777777" w:rsidR="002749EE" w:rsidRPr="00302B45" w:rsidRDefault="002749EE" w:rsidP="0030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02B45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1A3A76B3" w14:textId="77777777" w:rsidR="002749EE" w:rsidRPr="00302B45" w:rsidRDefault="002749EE" w:rsidP="0030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02B45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4FE88120" w14:textId="77777777" w:rsidR="002749EE" w:rsidRPr="00302B45" w:rsidRDefault="002749EE" w:rsidP="0030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02B45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25AE8922" w14:textId="77777777" w:rsidR="002749EE" w:rsidRPr="00302B45" w:rsidRDefault="002749EE" w:rsidP="0030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02B45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33CFB565" w14:textId="77777777" w:rsidR="002749EE" w:rsidRPr="00302B45" w:rsidRDefault="002749EE" w:rsidP="00302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02B45">
              <w:rPr>
                <w:sz w:val="16"/>
              </w:rPr>
              <w:t>0,0</w:t>
            </w:r>
          </w:p>
        </w:tc>
      </w:tr>
      <w:tr w:rsidR="002749EE" w:rsidRPr="00A94BCA" w14:paraId="2DBEC6A2" w14:textId="77777777" w:rsidTr="00887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2A1FA1F9" w14:textId="77777777" w:rsidR="002749EE" w:rsidRPr="002A154B" w:rsidRDefault="002749EE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1A9592B2" w14:textId="77777777" w:rsidR="002749EE" w:rsidRPr="00302B45" w:rsidRDefault="002749EE" w:rsidP="0030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02B45">
              <w:rPr>
                <w:b/>
                <w:i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772963D8" w14:textId="77777777" w:rsidR="002749EE" w:rsidRPr="00302B45" w:rsidRDefault="002749EE" w:rsidP="0030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02B45">
              <w:rPr>
                <w:b/>
                <w:i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09E8439E" w14:textId="77777777" w:rsidR="002749EE" w:rsidRPr="00302B45" w:rsidRDefault="002749EE" w:rsidP="0030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02B45">
              <w:rPr>
                <w:b/>
                <w:i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2E76B87A" w14:textId="77777777" w:rsidR="002749EE" w:rsidRPr="00302B45" w:rsidRDefault="002749EE" w:rsidP="0030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02B45">
              <w:rPr>
                <w:b/>
                <w:i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1B8FDD04" w14:textId="77777777" w:rsidR="002749EE" w:rsidRPr="00302B45" w:rsidRDefault="002749EE" w:rsidP="0030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02B45">
              <w:rPr>
                <w:b/>
                <w:i/>
                <w:sz w:val="16"/>
              </w:rPr>
              <w:t>42,9</w:t>
            </w:r>
          </w:p>
        </w:tc>
        <w:tc>
          <w:tcPr>
            <w:tcW w:w="344" w:type="pct"/>
            <w:noWrap/>
            <w:vAlign w:val="center"/>
          </w:tcPr>
          <w:p w14:paraId="791E9ADF" w14:textId="77777777" w:rsidR="002749EE" w:rsidRPr="00302B45" w:rsidRDefault="002749EE" w:rsidP="0030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02B45">
              <w:rPr>
                <w:b/>
                <w:i/>
                <w:sz w:val="16"/>
              </w:rPr>
              <w:t>35,7</w:t>
            </w:r>
          </w:p>
        </w:tc>
        <w:tc>
          <w:tcPr>
            <w:tcW w:w="344" w:type="pct"/>
            <w:noWrap/>
            <w:vAlign w:val="center"/>
          </w:tcPr>
          <w:p w14:paraId="26285499" w14:textId="77777777" w:rsidR="002749EE" w:rsidRPr="00302B45" w:rsidRDefault="002749EE" w:rsidP="0030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02B45">
              <w:rPr>
                <w:b/>
                <w:i/>
                <w:sz w:val="16"/>
              </w:rPr>
              <w:t>7,1</w:t>
            </w:r>
          </w:p>
        </w:tc>
        <w:tc>
          <w:tcPr>
            <w:tcW w:w="344" w:type="pct"/>
            <w:noWrap/>
            <w:vAlign w:val="center"/>
          </w:tcPr>
          <w:p w14:paraId="74424786" w14:textId="77777777" w:rsidR="002749EE" w:rsidRPr="00302B45" w:rsidRDefault="002749EE" w:rsidP="0030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02B45">
              <w:rPr>
                <w:b/>
                <w:i/>
                <w:sz w:val="16"/>
              </w:rPr>
              <w:t>36,7</w:t>
            </w:r>
          </w:p>
        </w:tc>
      </w:tr>
    </w:tbl>
    <w:p w14:paraId="0AD6FE82" w14:textId="77777777" w:rsidR="00814E93" w:rsidRDefault="00814E93" w:rsidP="00814E93">
      <w:pPr>
        <w:pStyle w:val="Cuerpodelboletn"/>
        <w:spacing w:before="120" w:after="120" w:line="312" w:lineRule="auto"/>
        <w:ind w:left="720"/>
      </w:pPr>
    </w:p>
    <w:p w14:paraId="74EE89E7" w14:textId="77777777"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302B45">
        <w:t>36,7</w:t>
      </w:r>
      <w:r w:rsidRPr="00A63D61">
        <w:t xml:space="preserve">%. La falta de publicación de contenidos </w:t>
      </w:r>
      <w:r w:rsidR="00302B45">
        <w:t>obligatorios – no se publica el 57,1</w:t>
      </w:r>
      <w:r w:rsidRPr="00A63D61">
        <w:t>% de estos contenidos</w:t>
      </w:r>
      <w:r>
        <w:t>-</w:t>
      </w:r>
      <w:r w:rsidRPr="00A63D61">
        <w:t xml:space="preserve"> </w:t>
      </w:r>
      <w:r w:rsidR="00E25861">
        <w:t>y la falta de datación de lo publicado son los</w:t>
      </w:r>
      <w:r w:rsidR="00CB45FC">
        <w:t xml:space="preserve"> factor</w:t>
      </w:r>
      <w:r w:rsidR="00E25861">
        <w:t>es</w:t>
      </w:r>
      <w:r w:rsidR="00CB45FC">
        <w:t xml:space="preserve"> que explica</w:t>
      </w:r>
      <w:r w:rsidR="00E25861">
        <w:t>n</w:t>
      </w:r>
      <w:r w:rsidRPr="00A63D61">
        <w:t xml:space="preserve"> el nivel de cumplimiento alcanzado.</w:t>
      </w:r>
    </w:p>
    <w:p w14:paraId="7E2D6A76" w14:textId="77777777" w:rsidR="00BE2197" w:rsidRDefault="00BE2197" w:rsidP="00814E93">
      <w:pPr>
        <w:pStyle w:val="Cuerpodelboletn"/>
        <w:spacing w:before="120" w:after="120" w:line="312" w:lineRule="auto"/>
        <w:ind w:left="720"/>
      </w:pPr>
    </w:p>
    <w:p w14:paraId="2F5A2156" w14:textId="77777777"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14:paraId="2FBDAC72" w14:textId="77777777"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F7CB4" wp14:editId="45CFF6E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2ACE1" w14:textId="77777777" w:rsidR="002749EE" w:rsidRDefault="002749E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14:paraId="7E1F142B" w14:textId="77777777" w:rsidR="002749EE" w:rsidRPr="002A154B" w:rsidRDefault="002749EE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ACB-Asociación de Clubs de Baloncesto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7CB4"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14:paraId="4732ACE1" w14:textId="77777777" w:rsidR="002749EE" w:rsidRDefault="002749EE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14:paraId="7E1F142B" w14:textId="77777777" w:rsidR="002749EE" w:rsidRPr="002A154B" w:rsidRDefault="002749EE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ACB-Asociación de Clubs de Baloncesto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14:paraId="1A8D60D7" w14:textId="77777777" w:rsidR="00932008" w:rsidRDefault="00E67A3E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400EDA" wp14:editId="7286A299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CE09B" w14:textId="77777777" w:rsidR="002749EE" w:rsidRDefault="002749EE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14:paraId="52A17113" w14:textId="77777777" w:rsidR="002749EE" w:rsidRPr="008E49C3" w:rsidRDefault="002749EE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00EDA"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14:paraId="36DCE09B" w14:textId="77777777" w:rsidR="002749EE" w:rsidRDefault="002749EE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14:paraId="52A17113" w14:textId="77777777" w:rsidR="002749EE" w:rsidRPr="008E49C3" w:rsidRDefault="002749EE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CC8E043" w14:textId="77777777" w:rsidR="000C6CFF" w:rsidRDefault="000C6CFF"/>
    <w:p w14:paraId="0150411C" w14:textId="77777777" w:rsidR="008C1E1E" w:rsidRDefault="008C1E1E"/>
    <w:p w14:paraId="7EDE8FAE" w14:textId="77777777"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14:paraId="3B3B157A" w14:textId="77777777" w:rsidR="004D4907" w:rsidRPr="00CA6E55" w:rsidRDefault="004D4907" w:rsidP="004D4907">
      <w:pPr>
        <w:jc w:val="both"/>
      </w:pPr>
      <w:r w:rsidRPr="00CA6E55">
        <w:t>Como se ha indicado</w:t>
      </w:r>
      <w:r w:rsidR="00E25861">
        <w:t>,</w:t>
      </w:r>
      <w:r w:rsidRPr="00CA6E55">
        <w:t xml:space="preserve"> el cumplimiento de las obligaciones de transparencia de la LTAIBG por parte </w:t>
      </w:r>
      <w:r>
        <w:t xml:space="preserve">de </w:t>
      </w:r>
      <w:r w:rsidR="00E25861">
        <w:t>la ACB-Asociación de Clubs de Baloncesto en función</w:t>
      </w:r>
      <w:r w:rsidRPr="00CA6E55">
        <w:t xml:space="preserve"> de la información disponible en su web, alcanza el</w:t>
      </w:r>
      <w:r w:rsidR="00302B45">
        <w:t xml:space="preserve"> 36,7</w:t>
      </w:r>
      <w:r>
        <w:t>%.</w:t>
      </w:r>
    </w:p>
    <w:p w14:paraId="64B3B3B9" w14:textId="77777777"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3E41AF">
        <w:t>la ACB-Asociación de Clubs de Baloncesto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14:paraId="5D02A835" w14:textId="77777777"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14:paraId="49FBD797" w14:textId="77777777"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14:paraId="5D8A89A1" w14:textId="77777777" w:rsidR="00BE2197" w:rsidRPr="00BF1400" w:rsidRDefault="003E41AF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La ACB-Asociación de Clubs de Baloncesto</w:t>
      </w:r>
      <w:r w:rsidR="00BE2197" w:rsidRPr="00BF1400">
        <w:rPr>
          <w:rFonts w:cs="Calibri"/>
          <w:color w:val="000000"/>
        </w:rPr>
        <w:t xml:space="preserve"> </w:t>
      </w:r>
      <w:r w:rsidR="00302B45">
        <w:rPr>
          <w:rFonts w:cs="Calibri"/>
          <w:color w:val="000000"/>
        </w:rPr>
        <w:t xml:space="preserve">podría valorar reubicar el enlace a su Portal de Transparencia a un lugar más visible de su web institucional. También debería </w:t>
      </w:r>
      <w:r>
        <w:t>estructurar su Portal de Transparencia</w:t>
      </w:r>
      <w:r w:rsidR="00BE2197" w:rsidRPr="00BF1400">
        <w:t xml:space="preserve"> conforme al patrón que establece la LTAIBG: Información Institucional y Organizativa; e Información Económica y Presupuestaria.</w:t>
      </w:r>
    </w:p>
    <w:p w14:paraId="26CED429" w14:textId="77777777"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14:paraId="67ADE73C" w14:textId="77777777"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14:paraId="158CC76F" w14:textId="77777777" w:rsidR="004D4907" w:rsidRDefault="004D4907" w:rsidP="004D4907">
      <w:pPr>
        <w:rPr>
          <w:b/>
          <w:color w:val="00642D"/>
        </w:rPr>
      </w:pPr>
    </w:p>
    <w:p w14:paraId="54CBB09C" w14:textId="77777777"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14:paraId="25432EDC" w14:textId="77777777"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14:paraId="1D696DC3" w14:textId="77777777" w:rsidR="00894BD4" w:rsidRPr="00BF1400" w:rsidRDefault="00894BD4" w:rsidP="003E41AF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14:paraId="70A4A263" w14:textId="77777777" w:rsidR="00894BD4" w:rsidRDefault="00894BD4" w:rsidP="003E41AF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14:paraId="76F693EB" w14:textId="77777777" w:rsidR="00894BD4" w:rsidRPr="00BF1400" w:rsidRDefault="00894BD4" w:rsidP="003E41AF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el presupuesto.</w:t>
      </w:r>
    </w:p>
    <w:p w14:paraId="6C958432" w14:textId="77777777" w:rsidR="00894BD4" w:rsidRPr="00BF1400" w:rsidRDefault="00894BD4" w:rsidP="003E41AF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 las cuentas anuales.</w:t>
      </w:r>
    </w:p>
    <w:p w14:paraId="3EFD6CAC" w14:textId="77777777" w:rsidR="00894BD4" w:rsidRPr="00BF1400" w:rsidRDefault="00894BD4" w:rsidP="003E41AF">
      <w:pPr>
        <w:numPr>
          <w:ilvl w:val="0"/>
          <w:numId w:val="22"/>
        </w:numPr>
        <w:spacing w:before="120" w:after="120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14:paraId="1B3EDBBA" w14:textId="77777777" w:rsidR="00894BD4" w:rsidRPr="00BF1400" w:rsidRDefault="00894BD4" w:rsidP="003E41AF">
      <w:pPr>
        <w:numPr>
          <w:ilvl w:val="0"/>
          <w:numId w:val="22"/>
        </w:numPr>
        <w:spacing w:before="120" w:after="0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14:paraId="55802EDC" w14:textId="77777777" w:rsidR="00894BD4" w:rsidRPr="00BF1400" w:rsidRDefault="00894BD4" w:rsidP="003E41AF">
      <w:pPr>
        <w:rPr>
          <w:rFonts w:cs="Arial"/>
          <w:bCs/>
        </w:rPr>
      </w:pPr>
    </w:p>
    <w:p w14:paraId="319281EB" w14:textId="77777777"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14:paraId="5C8EDF99" w14:textId="77777777" w:rsidR="00894BD4" w:rsidRPr="00BF1400" w:rsidRDefault="00894BD4" w:rsidP="003E41AF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302B45">
        <w:rPr>
          <w:rFonts w:eastAsiaTheme="minorHAnsi"/>
          <w:szCs w:val="24"/>
          <w:lang w:eastAsia="en-US"/>
        </w:rPr>
        <w:t xml:space="preserve"> Para ello bastaría con que la fecha de la última revisión o actualización de la información se publique en la página inicial del Portal de Transparencia.</w:t>
      </w:r>
    </w:p>
    <w:p w14:paraId="7024D881" w14:textId="77777777" w:rsidR="00894BD4" w:rsidRPr="00BF1400" w:rsidRDefault="00894BD4" w:rsidP="003E41AF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14:paraId="5092CA98" w14:textId="77777777" w:rsidR="00302B45" w:rsidRPr="00302B45" w:rsidRDefault="00302B45" w:rsidP="00302B45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302B45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14:paraId="2A72FB44" w14:textId="77777777" w:rsidR="00302B45" w:rsidRPr="00302B45" w:rsidRDefault="00302B45" w:rsidP="00302B45">
      <w:pPr>
        <w:spacing w:before="120" w:after="120"/>
        <w:ind w:left="720"/>
        <w:contextualSpacing/>
        <w:jc w:val="both"/>
        <w:rPr>
          <w:rFonts w:eastAsiaTheme="minorHAnsi"/>
          <w:szCs w:val="24"/>
          <w:lang w:eastAsia="en-US"/>
        </w:rPr>
      </w:pPr>
    </w:p>
    <w:p w14:paraId="181E3593" w14:textId="77777777" w:rsidR="00A55F6E" w:rsidRPr="00A55F6E" w:rsidRDefault="00A55F6E" w:rsidP="003E41AF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14:paraId="59FA0205" w14:textId="77777777" w:rsidR="00704CD9" w:rsidRPr="00704CD9" w:rsidRDefault="00704CD9" w:rsidP="00704CD9"/>
    <w:p w14:paraId="672C6DCE" w14:textId="77777777"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302B45">
        <w:t>julio</w:t>
      </w:r>
      <w:r w:rsidR="005B3AEE">
        <w:t xml:space="preserve"> de 2023</w:t>
      </w:r>
      <w:r>
        <w:t xml:space="preserve"> </w:t>
      </w:r>
    </w:p>
    <w:p w14:paraId="2E7D5892" w14:textId="77777777" w:rsidR="00905D36" w:rsidRDefault="00905D36" w:rsidP="00FC4E4F">
      <w:pPr>
        <w:jc w:val="right"/>
      </w:pPr>
    </w:p>
    <w:p w14:paraId="19BB9FA0" w14:textId="77777777" w:rsidR="00121FBA" w:rsidRDefault="00121FBA" w:rsidP="00FC4E4F">
      <w:pPr>
        <w:jc w:val="right"/>
      </w:pPr>
    </w:p>
    <w:p w14:paraId="4DE774A5" w14:textId="77777777" w:rsidR="00121FBA" w:rsidRDefault="00121FBA" w:rsidP="00FC4E4F">
      <w:pPr>
        <w:jc w:val="right"/>
      </w:pPr>
    </w:p>
    <w:p w14:paraId="4372CEA2" w14:textId="77777777" w:rsidR="00121FBA" w:rsidRDefault="00121FBA" w:rsidP="00FC4E4F">
      <w:pPr>
        <w:jc w:val="right"/>
      </w:pPr>
    </w:p>
    <w:p w14:paraId="266DFDE3" w14:textId="77777777" w:rsidR="00121FBA" w:rsidRDefault="00121FBA" w:rsidP="00FC4E4F">
      <w:pPr>
        <w:jc w:val="right"/>
      </w:pPr>
    </w:p>
    <w:p w14:paraId="64B1A98E" w14:textId="77777777" w:rsidR="00121FBA" w:rsidRDefault="00121FBA" w:rsidP="00FC4E4F">
      <w:pPr>
        <w:jc w:val="right"/>
      </w:pPr>
    </w:p>
    <w:p w14:paraId="0EC2A05A" w14:textId="77777777" w:rsidR="0096428E" w:rsidRDefault="0096428E" w:rsidP="00FC4E4F">
      <w:pPr>
        <w:jc w:val="right"/>
      </w:pPr>
    </w:p>
    <w:p w14:paraId="5B8E6885" w14:textId="77777777" w:rsidR="0096428E" w:rsidRDefault="0096428E" w:rsidP="00FC4E4F">
      <w:pPr>
        <w:jc w:val="right"/>
      </w:pPr>
    </w:p>
    <w:p w14:paraId="014CAFA1" w14:textId="77777777" w:rsidR="0096428E" w:rsidRDefault="0096428E" w:rsidP="00FC4E4F">
      <w:pPr>
        <w:jc w:val="right"/>
      </w:pPr>
    </w:p>
    <w:p w14:paraId="75FA69E2" w14:textId="77777777" w:rsidR="0096428E" w:rsidRDefault="0096428E" w:rsidP="00FC4E4F">
      <w:pPr>
        <w:jc w:val="right"/>
      </w:pPr>
    </w:p>
    <w:p w14:paraId="22BCFE5D" w14:textId="77777777" w:rsidR="00894BD4" w:rsidRDefault="00894BD4" w:rsidP="00FC4E4F">
      <w:pPr>
        <w:jc w:val="right"/>
      </w:pPr>
    </w:p>
    <w:p w14:paraId="4776ED28" w14:textId="77777777" w:rsidR="00894BD4" w:rsidRDefault="00894BD4" w:rsidP="00FC4E4F">
      <w:pPr>
        <w:jc w:val="right"/>
      </w:pPr>
    </w:p>
    <w:p w14:paraId="3874FA4A" w14:textId="77777777" w:rsidR="00894BD4" w:rsidRDefault="00894BD4" w:rsidP="00FC4E4F">
      <w:pPr>
        <w:jc w:val="right"/>
      </w:pPr>
    </w:p>
    <w:p w14:paraId="7AB2ABCA" w14:textId="77777777" w:rsidR="00121FBA" w:rsidRDefault="00121FBA" w:rsidP="00FC4E4F">
      <w:pPr>
        <w:jc w:val="right"/>
      </w:pPr>
    </w:p>
    <w:p w14:paraId="33756C74" w14:textId="77777777" w:rsidR="003E41AF" w:rsidRDefault="003E41AF" w:rsidP="00FC4E4F">
      <w:pPr>
        <w:jc w:val="right"/>
      </w:pPr>
    </w:p>
    <w:p w14:paraId="3ACE7296" w14:textId="77777777" w:rsidR="003E41AF" w:rsidRDefault="003E41AF" w:rsidP="00FC4E4F">
      <w:pPr>
        <w:jc w:val="right"/>
      </w:pPr>
    </w:p>
    <w:p w14:paraId="1D0EB32B" w14:textId="77777777" w:rsidR="003E41AF" w:rsidRDefault="003E41AF" w:rsidP="00FC4E4F">
      <w:pPr>
        <w:jc w:val="right"/>
      </w:pPr>
    </w:p>
    <w:p w14:paraId="57FC47D2" w14:textId="77777777" w:rsidR="003E41AF" w:rsidRDefault="003E41AF" w:rsidP="00FC4E4F">
      <w:pPr>
        <w:jc w:val="right"/>
      </w:pPr>
    </w:p>
    <w:p w14:paraId="045C1CE8" w14:textId="77777777" w:rsidR="001F645B" w:rsidRPr="001F645B" w:rsidRDefault="00887847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14:paraId="6D637014" w14:textId="77777777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CCDAD0C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9748B1C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709A4A2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7FDD787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0425FD6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14:paraId="7EAB969F" w14:textId="77777777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993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A6D4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050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3080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9B7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14:paraId="1B253500" w14:textId="77777777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42E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7C8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DE8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A899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E15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14:paraId="29264617" w14:textId="77777777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008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892C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2B22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280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D89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14:paraId="044C0DFA" w14:textId="77777777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B86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FBF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330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6624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6CE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14:paraId="75F3405B" w14:textId="77777777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CF7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EE8E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829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E639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ECD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14:paraId="7DFEC840" w14:textId="77777777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E91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88F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96D3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DD9D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BC6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14:paraId="65D443D5" w14:textId="77777777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387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C2F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4AD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C9CA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2B7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14:paraId="2E1C42A0" w14:textId="77777777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3206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DC62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6B06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B3B3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B0C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14:paraId="1F26BEC6" w14:textId="77777777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4B6A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56A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FAD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CA5E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329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14:paraId="1D7F364A" w14:textId="77777777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1656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187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F38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76A2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F09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14:paraId="325EB362" w14:textId="77777777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6F6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96F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4AD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9875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9A7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14:paraId="5E88F8E0" w14:textId="77777777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487B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9FB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676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BE0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EEE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14:paraId="7608C6D4" w14:textId="77777777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0901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106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534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A68E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4311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14:paraId="3193E93E" w14:textId="77777777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0A32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18C3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F71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DA31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6EA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14:paraId="5D5D216D" w14:textId="77777777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7AA9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5B9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4ED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0F14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5A0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14:paraId="121ECE36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82CB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15D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C86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DAAC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E37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14:paraId="63D400E3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9B00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04A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8941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75DA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13F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14:paraId="7B5216D7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2DE9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A77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55A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C3EF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8BD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14:paraId="52C2FB43" w14:textId="77777777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1E7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2F93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DA8A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CC8F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370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14:paraId="2EBB6FE3" w14:textId="77777777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17C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F57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CD5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A7DF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CAC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14:paraId="0C24C35B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0112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267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660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BB23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081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14:paraId="7F11A8B7" w14:textId="77777777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7369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82C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7F4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EFAE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D01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14:paraId="0F655664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274A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2F53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3D2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A4EA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4AC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14:paraId="168C5CE5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FEBB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BD11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F9A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A2FD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682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14:paraId="7F0E6649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68C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4F5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D39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21A5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C18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14:paraId="6443F11E" w14:textId="77777777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6E88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F73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915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6B3D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BD7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14:paraId="7E0BCDA6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5EDE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A73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8D5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8665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9C4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14:paraId="3CF7A28B" w14:textId="77777777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D426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49C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477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7694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E26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14:paraId="3D15D858" w14:textId="77777777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3794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56E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F26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3385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680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14:paraId="2EEF11C7" w14:textId="77777777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96ED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749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A511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3957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B95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14:paraId="460C3DA2" w14:textId="77777777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9CA9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181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FE3C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41ED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0BD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14:paraId="0AAE7BCB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3E9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701E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DE07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960C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2C9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14:paraId="2B4A4A22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D38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493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EAD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091D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556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14:paraId="5A69DD18" w14:textId="77777777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6DA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847F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B3CF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E476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820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14:paraId="432C9AE5" w14:textId="77777777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D56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E20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176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B37F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F57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14:paraId="1BEE810E" w14:textId="77777777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F1EF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4A3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0151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3207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19D3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27D9C1EA" w14:textId="77777777"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14:paraId="67F100F4" w14:textId="77777777"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8DD4" w14:textId="77777777" w:rsidR="002749EE" w:rsidRDefault="002749EE" w:rsidP="00932008">
      <w:pPr>
        <w:spacing w:after="0" w:line="240" w:lineRule="auto"/>
      </w:pPr>
      <w:r>
        <w:separator/>
      </w:r>
    </w:p>
  </w:endnote>
  <w:endnote w:type="continuationSeparator" w:id="0">
    <w:p w14:paraId="2A80C8C4" w14:textId="77777777" w:rsidR="002749EE" w:rsidRDefault="002749EE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DDB0" w14:textId="77777777" w:rsidR="002749EE" w:rsidRDefault="002749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5560" w14:textId="77777777" w:rsidR="002749EE" w:rsidRDefault="002749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2D81" w14:textId="77777777" w:rsidR="002749EE" w:rsidRDefault="002749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CCE1" w14:textId="77777777" w:rsidR="002749EE" w:rsidRDefault="002749EE" w:rsidP="00932008">
      <w:pPr>
        <w:spacing w:after="0" w:line="240" w:lineRule="auto"/>
      </w:pPr>
      <w:r>
        <w:separator/>
      </w:r>
    </w:p>
  </w:footnote>
  <w:footnote w:type="continuationSeparator" w:id="0">
    <w:p w14:paraId="3D76CF20" w14:textId="77777777" w:rsidR="002749EE" w:rsidRDefault="002749EE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A8B6" w14:textId="77777777" w:rsidR="002749EE" w:rsidRDefault="002749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A962" w14:textId="77777777" w:rsidR="002749EE" w:rsidRDefault="002749E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C524" w14:textId="77777777" w:rsidR="002749EE" w:rsidRDefault="002749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533_"/>
      </v:shape>
    </w:pict>
  </w:numPicBullet>
  <w:numPicBullet w:numPicBulletId="1">
    <w:pict>
      <v:shape w14:anchorId="20721830" id="_x0000_i1027" type="#_x0000_t75" style="width:11.25pt;height:11.25pt" o:bullet="t">
        <v:imagedata r:id="rId2" o:title="BD14654_"/>
      </v:shape>
    </w:pict>
  </w:numPicBullet>
  <w:numPicBullet w:numPicBulletId="2">
    <w:pict>
      <v:shape id="_x0000_i1028" type="#_x0000_t75" style="width:9.2pt;height:9.2pt" o:bullet="t">
        <v:imagedata r:id="rId3" o:title="BD21296_"/>
      </v:shape>
    </w:pict>
  </w:numPicBullet>
  <w:numPicBullet w:numPicBulletId="3">
    <w:pict>
      <v:shape id="_x0000_i1029" type="#_x0000_t75" style="width:9.2pt;height:9.2pt" o:bullet="t">
        <v:imagedata r:id="rId4" o:title="BD14533_"/>
      </v:shape>
    </w:pict>
  </w:numPicBullet>
  <w:numPicBullet w:numPicBulletId="4">
    <w:pict>
      <v:shape id="_x0000_i1030" type="#_x0000_t75" style="width:9.2pt;height:9.2pt" o:bullet="t">
        <v:imagedata r:id="rId5" o:title="BD14532_"/>
      </v:shape>
    </w:pict>
  </w:numPicBullet>
  <w:abstractNum w:abstractNumId="0" w15:restartNumberingAfterBreak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35137"/>
    <w:multiLevelType w:val="hybridMultilevel"/>
    <w:tmpl w:val="949A61D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2"/>
  </w:num>
  <w:num w:numId="5">
    <w:abstractNumId w:val="10"/>
  </w:num>
  <w:num w:numId="6">
    <w:abstractNumId w:val="13"/>
  </w:num>
  <w:num w:numId="7">
    <w:abstractNumId w:val="20"/>
  </w:num>
  <w:num w:numId="8">
    <w:abstractNumId w:val="22"/>
  </w:num>
  <w:num w:numId="9">
    <w:abstractNumId w:val="3"/>
  </w:num>
  <w:num w:numId="10">
    <w:abstractNumId w:val="17"/>
  </w:num>
  <w:num w:numId="11">
    <w:abstractNumId w:val="9"/>
  </w:num>
  <w:num w:numId="12">
    <w:abstractNumId w:val="0"/>
  </w:num>
  <w:num w:numId="13">
    <w:abstractNumId w:val="4"/>
  </w:num>
  <w:num w:numId="14">
    <w:abstractNumId w:val="16"/>
  </w:num>
  <w:num w:numId="15">
    <w:abstractNumId w:val="8"/>
  </w:num>
  <w:num w:numId="16">
    <w:abstractNumId w:val="7"/>
  </w:num>
  <w:num w:numId="17">
    <w:abstractNumId w:val="18"/>
  </w:num>
  <w:num w:numId="18">
    <w:abstractNumId w:val="11"/>
  </w:num>
  <w:num w:numId="19">
    <w:abstractNumId w:val="5"/>
  </w:num>
  <w:num w:numId="20">
    <w:abstractNumId w:val="21"/>
  </w:num>
  <w:num w:numId="21">
    <w:abstractNumId w:val="6"/>
  </w:num>
  <w:num w:numId="22">
    <w:abstractNumId w:val="2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564BE"/>
    <w:rsid w:val="00171D1E"/>
    <w:rsid w:val="00175C2F"/>
    <w:rsid w:val="001B3851"/>
    <w:rsid w:val="001F645B"/>
    <w:rsid w:val="002327A7"/>
    <w:rsid w:val="00272D2D"/>
    <w:rsid w:val="002749EE"/>
    <w:rsid w:val="00295EEB"/>
    <w:rsid w:val="002A154B"/>
    <w:rsid w:val="002D0E9C"/>
    <w:rsid w:val="00302B45"/>
    <w:rsid w:val="00326862"/>
    <w:rsid w:val="0033372F"/>
    <w:rsid w:val="00361AC5"/>
    <w:rsid w:val="0036594B"/>
    <w:rsid w:val="00382D7B"/>
    <w:rsid w:val="003A6C1B"/>
    <w:rsid w:val="003E41AF"/>
    <w:rsid w:val="003F05F5"/>
    <w:rsid w:val="003F271E"/>
    <w:rsid w:val="003F572A"/>
    <w:rsid w:val="00454391"/>
    <w:rsid w:val="00456EA7"/>
    <w:rsid w:val="004D37B6"/>
    <w:rsid w:val="004D4907"/>
    <w:rsid w:val="004F2655"/>
    <w:rsid w:val="004F3953"/>
    <w:rsid w:val="00505E1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440D3"/>
    <w:rsid w:val="00676C76"/>
    <w:rsid w:val="006A2766"/>
    <w:rsid w:val="006B3064"/>
    <w:rsid w:val="006B64F3"/>
    <w:rsid w:val="006C1999"/>
    <w:rsid w:val="006E708E"/>
    <w:rsid w:val="00704CD9"/>
    <w:rsid w:val="00710031"/>
    <w:rsid w:val="00743756"/>
    <w:rsid w:val="007A488E"/>
    <w:rsid w:val="007B0F99"/>
    <w:rsid w:val="007D1EA8"/>
    <w:rsid w:val="008063AC"/>
    <w:rsid w:val="00814E93"/>
    <w:rsid w:val="00843911"/>
    <w:rsid w:val="00844FA9"/>
    <w:rsid w:val="008640BD"/>
    <w:rsid w:val="00887847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F1191"/>
    <w:rsid w:val="00A122E8"/>
    <w:rsid w:val="00A55F6E"/>
    <w:rsid w:val="00AB3044"/>
    <w:rsid w:val="00AC12DB"/>
    <w:rsid w:val="00AC2255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D5EA9"/>
    <w:rsid w:val="00BE2197"/>
    <w:rsid w:val="00BE6A46"/>
    <w:rsid w:val="00C33A23"/>
    <w:rsid w:val="00C4351F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D83E63"/>
    <w:rsid w:val="00D96F84"/>
    <w:rsid w:val="00DA702C"/>
    <w:rsid w:val="00DD2A83"/>
    <w:rsid w:val="00DF63E7"/>
    <w:rsid w:val="00E10590"/>
    <w:rsid w:val="00E25861"/>
    <w:rsid w:val="00E3088D"/>
    <w:rsid w:val="00E34195"/>
    <w:rsid w:val="00E47613"/>
    <w:rsid w:val="00E67A3E"/>
    <w:rsid w:val="00EC39D5"/>
    <w:rsid w:val="00ED4F3C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1799F"/>
  <w15:docId w15:val="{E4BC8D4C-EE10-44CA-BCF3-386043A8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7.tmp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elsabarcelona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acb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6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215B4A"/>
    <w:rsid w:val="00283F96"/>
    <w:rsid w:val="003D088C"/>
    <w:rsid w:val="00543E16"/>
    <w:rsid w:val="005B0190"/>
    <w:rsid w:val="008F4F2E"/>
    <w:rsid w:val="00AB6DFB"/>
    <w:rsid w:val="00AC3AC2"/>
    <w:rsid w:val="00B76BBA"/>
    <w:rsid w:val="00D051CA"/>
    <w:rsid w:val="00D35513"/>
    <w:rsid w:val="00DE55C7"/>
    <w:rsid w:val="00E2366A"/>
    <w:rsid w:val="00E8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5DA5C16-8E94-4CBF-856E-993695724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1223</TotalTime>
  <Pages>9</Pages>
  <Words>1981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14</cp:revision>
  <cp:lastPrinted>2022-05-12T06:51:00Z</cp:lastPrinted>
  <dcterms:created xsi:type="dcterms:W3CDTF">2023-06-19T08:45:00Z</dcterms:created>
  <dcterms:modified xsi:type="dcterms:W3CDTF">2023-10-24T07:57:00Z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