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113D1B" w:rsidRPr="00006957" w:rsidRDefault="00113D1B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113D1B" w:rsidRPr="00006957" w:rsidRDefault="00113D1B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3D1B" w:rsidRDefault="00113D1B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113D1B" w:rsidRDefault="00113D1B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2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Energía Sur de Europa SL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234F1F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08/06</w:t>
            </w:r>
            <w:r w:rsidR="00C727F4">
              <w:rPr>
                <w:sz w:val="24"/>
                <w:szCs w:val="24"/>
              </w:rPr>
              <w:t>/2023</w:t>
            </w:r>
          </w:p>
          <w:p w:rsidR="00D85C0A" w:rsidRPr="00CB5511" w:rsidRDefault="00D85C0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19/07/2023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234F1F" w:rsidRPr="00CB5511" w:rsidRDefault="00107166" w:rsidP="00234F1F">
            <w:pPr>
              <w:rPr>
                <w:sz w:val="24"/>
                <w:szCs w:val="24"/>
              </w:rPr>
            </w:pPr>
            <w:hyperlink r:id="rId11" w:history="1"/>
            <w:hyperlink r:id="rId12" w:history="1">
              <w:r w:rsidR="00234F1F" w:rsidRPr="001B2796">
                <w:rPr>
                  <w:rStyle w:val="Hipervnculo"/>
                  <w:sz w:val="24"/>
                  <w:szCs w:val="24"/>
                </w:rPr>
                <w:t>http://energiasurdeeuropa.com</w:t>
              </w:r>
            </w:hyperlink>
          </w:p>
        </w:tc>
      </w:tr>
    </w:tbl>
    <w:p w:rsidR="000C6CFF" w:rsidRDefault="00AF3D56">
      <w:r>
        <w:t>H</w:t>
      </w:r>
    </w:p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10716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1253B5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1253B5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253B5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D85C0A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D85C0A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home</w:t>
            </w:r>
          </w:p>
        </w:tc>
      </w:tr>
      <w:tr w:rsidR="00E34195" w:rsidRPr="00CB5511" w:rsidTr="001253B5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1253B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253B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253B5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web/Organigrama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F31B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actualizó.</w:t>
            </w:r>
          </w:p>
        </w:tc>
      </w:tr>
      <w:tr w:rsidR="00B213ED" w:rsidRPr="00CB5511" w:rsidTr="001253B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253B5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253B5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la página web/Organigrama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  <w:r w:rsidR="00CF31B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La información no está datada ni existen referencias a la última vez que se revisó o actualizó.</w:t>
            </w:r>
          </w:p>
        </w:tc>
      </w:tr>
      <w:tr w:rsidR="00B213ED" w:rsidRPr="00B35A03" w:rsidTr="001253B5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1B" w:rsidRDefault="00113D1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13D1B" w:rsidRPr="00026650" w:rsidRDefault="00113D1B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113D1B" w:rsidRDefault="00113D1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113D1B" w:rsidRDefault="00113D1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113D1B" w:rsidRDefault="00113D1B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  <w:p w:rsidR="00113D1B" w:rsidRPr="00F27D20" w:rsidRDefault="00113D1B" w:rsidP="002C0D6C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F27D20">
                              <w:rPr>
                                <w:b/>
                                <w:color w:val="00642D"/>
                              </w:rPr>
                              <w:t xml:space="preserve">Calidad de la Información: </w:t>
                            </w:r>
                          </w:p>
                          <w:p w:rsidR="00113D1B" w:rsidRPr="002C0D6C" w:rsidRDefault="00113D1B" w:rsidP="002C0D6C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2C0D6C">
                              <w:rPr>
                                <w:sz w:val="20"/>
                                <w:szCs w:val="20"/>
                              </w:rPr>
                              <w:t>La información no está datada y no se publica la fecha de la última revisión o actualización de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113D1B" w:rsidRDefault="00113D1B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13D1B" w:rsidRPr="00026650" w:rsidRDefault="00113D1B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113D1B" w:rsidRDefault="00113D1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113D1B" w:rsidRDefault="00113D1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113D1B" w:rsidRDefault="00113D1B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  <w:p w:rsidR="00113D1B" w:rsidRPr="00F27D20" w:rsidRDefault="00113D1B" w:rsidP="002C0D6C">
                      <w:pPr>
                        <w:rPr>
                          <w:b/>
                          <w:color w:val="00642D"/>
                        </w:rPr>
                      </w:pPr>
                      <w:r w:rsidRPr="00F27D20">
                        <w:rPr>
                          <w:b/>
                          <w:color w:val="00642D"/>
                        </w:rPr>
                        <w:t xml:space="preserve">Calidad de la Información: </w:t>
                      </w:r>
                    </w:p>
                    <w:p w:rsidR="00113D1B" w:rsidRPr="002C0D6C" w:rsidRDefault="00113D1B" w:rsidP="002C0D6C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2C0D6C">
                        <w:rPr>
                          <w:sz w:val="20"/>
                          <w:szCs w:val="20"/>
                        </w:rPr>
                        <w:t>La información no está datada y no se publica la fecha de la última revisión o actualización de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113D1B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Aunque en la página home, en el apartado </w:t>
            </w:r>
            <w:proofErr w:type="spellStart"/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I+D+i</w:t>
            </w:r>
            <w:proofErr w:type="spellEnd"/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se hace referencia a `proyectos financiados por el FEDER o el CDTI, no se publica la cuantía de la subvención percibida. Por esta razón no puede considerarse cumplida esta obligación.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107166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bookmarkStart w:id="0" w:name="_GoBack"/>
            <w:bookmarkEnd w:id="0"/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113D1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7146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1B" w:rsidRDefault="00113D1B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113D1B" w:rsidRPr="00EF7E5C" w:rsidRDefault="00113D1B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113D1B" w:rsidRDefault="00113D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13D1B" w:rsidRDefault="00113D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113D1B" w:rsidRDefault="00113D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113D1B" w:rsidRDefault="00113D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113D1B" w:rsidRDefault="00113D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113D1B" w:rsidRDefault="00113D1B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">
                <v:textbox>
                  <w:txbxContent>
                    <w:p w:rsidR="00113D1B" w:rsidRDefault="00113D1B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113D1B" w:rsidRPr="00EF7E5C" w:rsidRDefault="00113D1B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113D1B" w:rsidRDefault="00113D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13D1B" w:rsidRDefault="00113D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113D1B" w:rsidRDefault="00113D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113D1B" w:rsidRDefault="00113D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113D1B" w:rsidRDefault="00113D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113D1B" w:rsidRDefault="00113D1B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32E71" w:rsidRPr="00FD0689" w:rsidTr="00E3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32E71" w:rsidRPr="00FD0689" w:rsidRDefault="00E32E71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42,9</w:t>
            </w:r>
          </w:p>
        </w:tc>
      </w:tr>
      <w:tr w:rsidR="00E32E71" w:rsidRPr="00FD0689" w:rsidTr="00E32E7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32E71" w:rsidRPr="00FD0689" w:rsidRDefault="00E32E71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32E71">
              <w:rPr>
                <w:sz w:val="16"/>
              </w:rPr>
              <w:t>0,0</w:t>
            </w:r>
          </w:p>
        </w:tc>
      </w:tr>
      <w:tr w:rsidR="00E32E71" w:rsidRPr="00A94BCA" w:rsidTr="00E3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32E71" w:rsidRPr="002A154B" w:rsidRDefault="00E32E71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23,1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E32E71" w:rsidRPr="00E32E71" w:rsidRDefault="00E32E71" w:rsidP="00E32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32E71">
              <w:rPr>
                <w:b/>
                <w:i/>
                <w:sz w:val="16"/>
              </w:rPr>
              <w:t>19,8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E32E71">
        <w:t>19,8</w:t>
      </w:r>
      <w:r w:rsidRPr="00A63D61">
        <w:t xml:space="preserve">%. La falta de publicación de contenidos obligatorios – no se publica el </w:t>
      </w:r>
      <w:r w:rsidR="00E32E71">
        <w:t>76,9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1B" w:rsidRDefault="00113D1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113D1B" w:rsidRPr="002A154B" w:rsidRDefault="00113D1B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Energía Sur de Europa SL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113D1B" w:rsidRDefault="00113D1B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113D1B" w:rsidRPr="002A154B" w:rsidRDefault="00113D1B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Energía Sur de Europa SL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E67A3E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1B" w:rsidRDefault="00113D1B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113D1B" w:rsidRPr="008E49C3" w:rsidRDefault="00113D1B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113D1B" w:rsidRDefault="00113D1B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113D1B" w:rsidRPr="008E49C3" w:rsidRDefault="00113D1B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CD46FA">
        <w:t>Energía Sur de Europa SL</w:t>
      </w:r>
      <w:r w:rsidRPr="00CA6E55">
        <w:t>, en función de la información disponible en su web, alcanza el</w:t>
      </w:r>
      <w:r w:rsidR="00E32E71">
        <w:t xml:space="preserve"> 19,8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CD46FA">
        <w:t>Energía Sur de Europa SL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CD46FA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Energía Sur de Europa SL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 y Presupuestaria.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E32E71" w:rsidRDefault="00E32E71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</w:t>
      </w:r>
      <w:r w:rsidR="00E32E71">
        <w:rPr>
          <w:rFonts w:eastAsia="Times New Roman" w:cs="Arial"/>
          <w:bCs/>
          <w:szCs w:val="36"/>
        </w:rPr>
        <w:t>, incluyendo la cuantía de la subvención o ayuda percibida</w:t>
      </w:r>
      <w:r>
        <w:rPr>
          <w:rFonts w:eastAsia="Times New Roman" w:cs="Arial"/>
          <w:bCs/>
          <w:szCs w:val="36"/>
        </w:rPr>
        <w:t>.</w:t>
      </w:r>
    </w:p>
    <w:p w:rsidR="00894BD4" w:rsidRPr="00E32E71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E32E71">
        <w:rPr>
          <w:rFonts w:eastAsia="Times New Roman" w:cs="Arial"/>
          <w:bCs/>
          <w:szCs w:val="36"/>
        </w:rPr>
        <w:t xml:space="preserve"> </w:t>
      </w:r>
      <w:r w:rsidRPr="00E32E71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821FA9" w:rsidRPr="00BF1400" w:rsidRDefault="00894BD4" w:rsidP="00821FA9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821FA9" w:rsidRPr="00821FA9">
        <w:rPr>
          <w:rFonts w:eastAsiaTheme="minorHAnsi"/>
          <w:szCs w:val="24"/>
          <w:lang w:eastAsia="en-US"/>
        </w:rPr>
        <w:t xml:space="preserve"> </w:t>
      </w:r>
      <w:r w:rsidR="00821FA9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821FA9" w:rsidRPr="00BF1400" w:rsidRDefault="00821FA9" w:rsidP="00821FA9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821FA9" w:rsidRDefault="00821FA9" w:rsidP="00821FA9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E32E71" w:rsidRPr="009E35FC" w:rsidRDefault="00E32E71" w:rsidP="00821FA9">
      <w:pPr>
        <w:spacing w:before="120" w:after="120"/>
        <w:ind w:left="714"/>
        <w:contextualSpacing/>
        <w:jc w:val="both"/>
      </w:pPr>
    </w:p>
    <w:p w:rsidR="00A55F6E" w:rsidRPr="00A55F6E" w:rsidRDefault="00A55F6E" w:rsidP="008227D0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8227D0"/>
    <w:p w:rsidR="00905D36" w:rsidRDefault="004F3953" w:rsidP="00FC4E4F">
      <w:pPr>
        <w:jc w:val="right"/>
      </w:pPr>
      <w:r>
        <w:t>Madrid,</w:t>
      </w:r>
      <w:r w:rsidR="008227D0">
        <w:t xml:space="preserve"> </w:t>
      </w:r>
      <w:r w:rsidR="00E32E71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B66F79" w:rsidRDefault="00B66F79" w:rsidP="00FC4E4F">
      <w:pPr>
        <w:jc w:val="right"/>
      </w:pPr>
    </w:p>
    <w:p w:rsidR="00B66F79" w:rsidRDefault="00B66F79" w:rsidP="00FC4E4F">
      <w:pPr>
        <w:jc w:val="right"/>
      </w:pPr>
    </w:p>
    <w:p w:rsidR="0096428E" w:rsidRDefault="0096428E" w:rsidP="00FC4E4F">
      <w:pPr>
        <w:jc w:val="right"/>
      </w:pPr>
    </w:p>
    <w:p w:rsidR="0096428E" w:rsidRDefault="0096428E" w:rsidP="00FC4E4F">
      <w:pPr>
        <w:jc w:val="right"/>
      </w:pPr>
    </w:p>
    <w:p w:rsidR="00894BD4" w:rsidRDefault="00894BD4" w:rsidP="00FC4E4F">
      <w:pPr>
        <w:jc w:val="right"/>
      </w:pPr>
    </w:p>
    <w:p w:rsidR="001F645B" w:rsidRPr="001F645B" w:rsidRDefault="00107166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1B" w:rsidRDefault="00113D1B" w:rsidP="00932008">
      <w:pPr>
        <w:spacing w:after="0" w:line="240" w:lineRule="auto"/>
      </w:pPr>
      <w:r>
        <w:separator/>
      </w:r>
    </w:p>
  </w:endnote>
  <w:endnote w:type="continuationSeparator" w:id="0">
    <w:p w:rsidR="00113D1B" w:rsidRDefault="00113D1B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1B" w:rsidRDefault="00113D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1B" w:rsidRDefault="00113D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1B" w:rsidRDefault="00113D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1B" w:rsidRDefault="00113D1B" w:rsidP="00932008">
      <w:pPr>
        <w:spacing w:after="0" w:line="240" w:lineRule="auto"/>
      </w:pPr>
      <w:r>
        <w:separator/>
      </w:r>
    </w:p>
  </w:footnote>
  <w:footnote w:type="continuationSeparator" w:id="0">
    <w:p w:rsidR="00113D1B" w:rsidRDefault="00113D1B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1B" w:rsidRDefault="001071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1" o:spid="_x0000_s43010" type="#_x0000_t136" style="position:absolute;margin-left:0;margin-top:0;width:624.25pt;height:11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1B" w:rsidRDefault="001071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2" o:spid="_x0000_s43011" type="#_x0000_t136" style="position:absolute;margin-left:0;margin-top:0;width:624.25pt;height:11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1B" w:rsidRDefault="0010716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7390" o:spid="_x0000_s43009" type="#_x0000_t136" style="position:absolute;margin-left:0;margin-top:0;width:624.25pt;height:11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3" type="#_x0000_t75" style="width:9pt;height:9pt" o:bullet="t">
        <v:imagedata r:id="rId1" o:title="BD14533_"/>
      </v:shape>
    </w:pict>
  </w:numPicBullet>
  <w:numPicBullet w:numPicBulletId="1">
    <w:pict>
      <v:shape id="_x0000_i1364" type="#_x0000_t75" style="width:11.25pt;height:11.25pt" o:bullet="t">
        <v:imagedata r:id="rId2" o:title="BD14654_"/>
      </v:shape>
    </w:pict>
  </w:numPicBullet>
  <w:numPicBullet w:numPicBulletId="2">
    <w:pict>
      <v:shape id="_x0000_i1365" type="#_x0000_t75" style="width:9pt;height:9pt" o:bullet="t">
        <v:imagedata r:id="rId3" o:title="BD21296_"/>
      </v:shape>
    </w:pict>
  </w:numPicBullet>
  <w:numPicBullet w:numPicBulletId="3">
    <w:pict>
      <v:shape id="_x0000_i1366" type="#_x0000_t75" style="width:9pt;height:9pt" o:bullet="t">
        <v:imagedata r:id="rId4" o:title="BD14533_"/>
      </v:shape>
    </w:pict>
  </w:numPicBullet>
  <w:numPicBullet w:numPicBulletId="4">
    <w:pict>
      <v:shape id="_x0000_i136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B55BA"/>
    <w:multiLevelType w:val="hybridMultilevel"/>
    <w:tmpl w:val="A7145666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CC2"/>
    <w:multiLevelType w:val="hybridMultilevel"/>
    <w:tmpl w:val="A2EE2C5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5"/>
  </w:num>
  <w:num w:numId="7">
    <w:abstractNumId w:val="22"/>
  </w:num>
  <w:num w:numId="8">
    <w:abstractNumId w:val="24"/>
  </w:num>
  <w:num w:numId="9">
    <w:abstractNumId w:val="5"/>
  </w:num>
  <w:num w:numId="10">
    <w:abstractNumId w:val="19"/>
  </w:num>
  <w:num w:numId="11">
    <w:abstractNumId w:val="11"/>
  </w:num>
  <w:num w:numId="12">
    <w:abstractNumId w:val="0"/>
  </w:num>
  <w:num w:numId="13">
    <w:abstractNumId w:val="6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3"/>
  </w:num>
  <w:num w:numId="19">
    <w:abstractNumId w:val="7"/>
  </w:num>
  <w:num w:numId="20">
    <w:abstractNumId w:val="23"/>
  </w:num>
  <w:num w:numId="21">
    <w:abstractNumId w:val="8"/>
  </w:num>
  <w:num w:numId="22">
    <w:abstractNumId w:val="4"/>
  </w:num>
  <w:num w:numId="23">
    <w:abstractNumId w:val="21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07166"/>
    <w:rsid w:val="00113D1B"/>
    <w:rsid w:val="001216D4"/>
    <w:rsid w:val="00121FBA"/>
    <w:rsid w:val="001253B5"/>
    <w:rsid w:val="001561A4"/>
    <w:rsid w:val="00175C2F"/>
    <w:rsid w:val="001B3851"/>
    <w:rsid w:val="001F645B"/>
    <w:rsid w:val="00234F1F"/>
    <w:rsid w:val="00272D2D"/>
    <w:rsid w:val="00295EEB"/>
    <w:rsid w:val="002A154B"/>
    <w:rsid w:val="002C0D6C"/>
    <w:rsid w:val="002D0E9C"/>
    <w:rsid w:val="00326862"/>
    <w:rsid w:val="00361AC5"/>
    <w:rsid w:val="0036594B"/>
    <w:rsid w:val="00382D7B"/>
    <w:rsid w:val="003F05F5"/>
    <w:rsid w:val="003F271E"/>
    <w:rsid w:val="003F572A"/>
    <w:rsid w:val="00454391"/>
    <w:rsid w:val="00456EA7"/>
    <w:rsid w:val="004914D9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AEE"/>
    <w:rsid w:val="005B6CF5"/>
    <w:rsid w:val="005C14C5"/>
    <w:rsid w:val="005F29B8"/>
    <w:rsid w:val="00664B56"/>
    <w:rsid w:val="00676C76"/>
    <w:rsid w:val="006A2766"/>
    <w:rsid w:val="006B3064"/>
    <w:rsid w:val="006C1999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21FA9"/>
    <w:rsid w:val="008227D0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66F79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94871"/>
    <w:rsid w:val="00CB45FC"/>
    <w:rsid w:val="00CB5511"/>
    <w:rsid w:val="00CC2049"/>
    <w:rsid w:val="00CD46FA"/>
    <w:rsid w:val="00CF31BC"/>
    <w:rsid w:val="00D85C0A"/>
    <w:rsid w:val="00D96F84"/>
    <w:rsid w:val="00DA702C"/>
    <w:rsid w:val="00DD2A83"/>
    <w:rsid w:val="00DF63E7"/>
    <w:rsid w:val="00E10590"/>
    <w:rsid w:val="00E3088D"/>
    <w:rsid w:val="00E32E71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nergiasurdeeurop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lsabarcelona.com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3D088C"/>
    <w:rsid w:val="00543E16"/>
    <w:rsid w:val="005B0190"/>
    <w:rsid w:val="008F4F2E"/>
    <w:rsid w:val="00947940"/>
    <w:rsid w:val="00AB6DFB"/>
    <w:rsid w:val="00AC3AC2"/>
    <w:rsid w:val="00B76BBA"/>
    <w:rsid w:val="00D051CA"/>
    <w:rsid w:val="00D35513"/>
    <w:rsid w:val="00DE55C7"/>
    <w:rsid w:val="00E2366A"/>
    <w:rsid w:val="00F96196"/>
    <w:rsid w:val="00F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DA9F2-5498-4FB6-89EA-6D38C465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175</TotalTime>
  <Pages>7</Pages>
  <Words>1834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MARIA DEL CARMEN MOTOS LÓPEZ</cp:lastModifiedBy>
  <cp:revision>11</cp:revision>
  <cp:lastPrinted>2022-05-12T06:51:00Z</cp:lastPrinted>
  <dcterms:created xsi:type="dcterms:W3CDTF">2023-06-08T07:46:00Z</dcterms:created>
  <dcterms:modified xsi:type="dcterms:W3CDTF">2023-08-04T09:46:00Z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