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F34EE6" w:rsidRPr="00006957" w:rsidRDefault="00F34EE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355D78" w:rsidRPr="00006957" w:rsidRDefault="00355D7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EE6" w:rsidRDefault="00F34EE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55D78" w:rsidRDefault="00355D7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A6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Inversor Hesperia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2F648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</w:t>
            </w:r>
            <w:r w:rsidR="00C727F4">
              <w:rPr>
                <w:sz w:val="24"/>
                <w:szCs w:val="24"/>
              </w:rPr>
              <w:t>/2023</w:t>
            </w:r>
          </w:p>
          <w:p w:rsidR="00F34EE6" w:rsidRPr="00CB5511" w:rsidRDefault="00F34EE6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C119EE" w:rsidP="00A6270D">
            <w:pPr>
              <w:rPr>
                <w:sz w:val="24"/>
                <w:szCs w:val="24"/>
              </w:rPr>
            </w:pPr>
            <w:hyperlink r:id="rId12" w:history="1">
              <w:r w:rsidR="00A6270D" w:rsidRPr="00AB7613">
                <w:rPr>
                  <w:rStyle w:val="Hipervnculo"/>
                  <w:sz w:val="24"/>
                  <w:szCs w:val="24"/>
                </w:rPr>
                <w:t>https://www.hesperia.com</w:t>
              </w:r>
            </w:hyperlink>
          </w:p>
        </w:tc>
      </w:tr>
    </w:tbl>
    <w:p w:rsidR="000C6CFF" w:rsidRDefault="00AF3D56">
      <w:r>
        <w:t>H</w:t>
      </w:r>
    </w:p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119E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8E31B2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8E31B2" w:rsidP="00F34EE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la zona inferior de la página home hay un enlace a su Portal de Transparencia.</w:t>
            </w:r>
            <w:r w:rsidR="00F34EE6">
              <w:rPr>
                <w:sz w:val="20"/>
                <w:szCs w:val="20"/>
              </w:rPr>
              <w:t xml:space="preserve"> A través de este enlace se descarga un documento que contiene información sujeta a obligaciones de publicidad activa.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847350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Pr="00932008" w:rsidRDefault="00932008" w:rsidP="0084735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847350" w:rsidP="00AF3D56">
      <w:pPr>
        <w:jc w:val="center"/>
      </w:pPr>
      <w:r>
        <w:rPr>
          <w:noProof/>
        </w:rPr>
        <w:drawing>
          <wp:inline distT="0" distB="0" distL="0" distR="0">
            <wp:extent cx="6645910" cy="3019425"/>
            <wp:effectExtent l="0" t="0" r="2540" b="952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906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847350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847350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4735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84735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 de la entidad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847350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B218B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6B218B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 de la entidad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847350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6B218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Aunque se ha localizado el organigrama, la LTAIBG establece que ambos, la descripción de la estructura organizativa y el organigrama, son obligaciones diferentes y, por lo tanto, la información relativa a cada una de ellas debe publicarse de manera diferenciada.</w:t>
            </w:r>
          </w:p>
        </w:tc>
      </w:tr>
      <w:tr w:rsidR="00E34195" w:rsidRPr="00CB5511" w:rsidTr="008473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B218B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6B218B" w:rsidP="006B218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 de la entidad.</w:t>
            </w:r>
          </w:p>
        </w:tc>
      </w:tr>
      <w:tr w:rsidR="00B213ED" w:rsidRPr="00CB5511" w:rsidTr="008473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400B2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400B2C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 de la entidad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84735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400B2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400B2C" w:rsidP="00400B2C">
            <w:pPr>
              <w:spacing w:line="360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 de la entidad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EE6" w:rsidRDefault="00F34EE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34EE6" w:rsidRPr="00026650" w:rsidRDefault="00F34EE6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F34EE6" w:rsidRDefault="00F34EE6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F34EE6" w:rsidRDefault="00F34EE6" w:rsidP="00400B2C">
                            <w:pPr>
                              <w:jc w:val="both"/>
                              <w:rPr>
                                <w:b/>
                                <w:bCs/>
                                <w:color w:val="00642D"/>
                              </w:rPr>
                            </w:pPr>
                            <w:r w:rsidRPr="00400B2C">
                              <w:rPr>
                                <w:b/>
                                <w:bCs/>
                                <w:color w:val="00642D"/>
                              </w:rPr>
                              <w:t>Calidad de la información</w:t>
                            </w:r>
                          </w:p>
                          <w:p w:rsidR="00F34EE6" w:rsidRPr="00400B2C" w:rsidRDefault="00F34EE6" w:rsidP="00400B2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00B2C">
                              <w:rPr>
                                <w:sz w:val="20"/>
                                <w:szCs w:val="20"/>
                              </w:rPr>
                              <w:t>La información aparece datada y es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55D78" w:rsidRDefault="00355D7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55D78" w:rsidRPr="00026650" w:rsidRDefault="00355D78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355D78" w:rsidRDefault="00355D78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355D78" w:rsidRDefault="00355D78" w:rsidP="00400B2C">
                      <w:pPr>
                        <w:jc w:val="both"/>
                        <w:rPr>
                          <w:b/>
                          <w:bCs/>
                          <w:color w:val="00642D"/>
                        </w:rPr>
                      </w:pPr>
                      <w:r w:rsidRPr="00400B2C">
                        <w:rPr>
                          <w:b/>
                          <w:bCs/>
                          <w:color w:val="00642D"/>
                        </w:rPr>
                        <w:t>Calidad de la información</w:t>
                      </w:r>
                    </w:p>
                    <w:p w:rsidR="00355D78" w:rsidRPr="00400B2C" w:rsidRDefault="00355D78" w:rsidP="00400B2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00B2C">
                        <w:rPr>
                          <w:sz w:val="20"/>
                          <w:szCs w:val="20"/>
                        </w:rPr>
                        <w:t>La información aparece datada y es reutilizable.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5120E3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E74BBD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E74BBD" w:rsidP="00F34EE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 se </w:t>
            </w:r>
            <w:r w:rsidR="00F34EE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indica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expresamente que la entidad no ha contratado con administraciones públicas.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E74BBD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E74BBD" w:rsidP="00F34EE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Portal de Transparencia se </w:t>
            </w:r>
            <w:r w:rsidR="00F34EE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indica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expresamente que la entidad no ha suscrito convenios con administraciones públicas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E74BBD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E74BBD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 de la entidad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  <w:p w:rsidR="00F34EE6" w:rsidRPr="0089480B" w:rsidRDefault="00F34EE6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acceso sobre nosotros se publican las ayudas percibidas con cargo al Fondo de Solvencia de Empresas estratégicas, dando cumplimiento a lo establecido en el artículo 7.1 de la Orden </w:t>
            </w:r>
            <w:r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F34EE6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F74A43" w:rsidP="00981CB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en el Portal de Transparencia se </w:t>
            </w:r>
            <w:r w:rsidR="00981CB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indica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que la entidad cumple con la obligación de depositar sus cuentas anuales en el Registro Mercantil competente, y se facilita un enlace a la página home de Registradores de España, la obligación no puede darse por cumplida, ya que la Ley </w:t>
            </w:r>
            <w:r w:rsidR="00981CB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establece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que las cuentas han de publicarse en la página web de la entidad. En caso de preferir facilitar un enlace, este debería situar directamente en la informaci</w:t>
            </w:r>
            <w:r w:rsidR="00573D4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ón </w:t>
            </w:r>
            <w:r w:rsidR="00981CB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obligatoria</w:t>
            </w:r>
            <w:r w:rsidR="00573D4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573D40" w:rsidP="00981CB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en el Portal de Transparencia se dice que la entidad cumple con la obligación de depositar las posibles auditorías en el Registro Mercantil competente, y se facilita un enlace a la página home de Registradores de España, la obligación no puede darse por cumplida, ya que la Ley </w:t>
            </w:r>
            <w:r w:rsidR="00981CB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establece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que las auditorías han de publicarse en la página web de la entidad. En caso de preferir facilitar un enlace, este debería </w:t>
            </w:r>
            <w:r w:rsidR="00981CB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posicionar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directamente en la información </w:t>
            </w:r>
            <w:r w:rsidR="00981CB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obligatoria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714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EE6" w:rsidRDefault="00F34EE6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34EE6" w:rsidRPr="00EF7E5C" w:rsidRDefault="00F34EE6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F34EE6" w:rsidRDefault="00F34EE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F34EE6" w:rsidRDefault="00F34EE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F34EE6" w:rsidRDefault="00F34EE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  <w:p w:rsidR="00F34EE6" w:rsidRPr="00355D78" w:rsidRDefault="00F34EE6" w:rsidP="00355D78">
                            <w:pPr>
                              <w:jc w:val="both"/>
                              <w:rPr>
                                <w:b/>
                                <w:bCs/>
                                <w:color w:val="00642D"/>
                              </w:rPr>
                            </w:pPr>
                            <w:r w:rsidRPr="00355D78">
                              <w:rPr>
                                <w:b/>
                                <w:bCs/>
                                <w:color w:val="00642D"/>
                              </w:rPr>
                              <w:t>Calidad de la información</w:t>
                            </w:r>
                          </w:p>
                          <w:p w:rsidR="00F34EE6" w:rsidRPr="00355D78" w:rsidRDefault="00F34EE6" w:rsidP="00355D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5D78">
                              <w:rPr>
                                <w:sz w:val="20"/>
                                <w:szCs w:val="20"/>
                              </w:rPr>
                              <w:t xml:space="preserve">La información </w:t>
                            </w:r>
                            <w:r w:rsidR="00981CBF">
                              <w:rPr>
                                <w:sz w:val="20"/>
                                <w:szCs w:val="20"/>
                              </w:rPr>
                              <w:t>está</w:t>
                            </w:r>
                            <w:r w:rsidRPr="00355D78">
                              <w:rPr>
                                <w:sz w:val="20"/>
                                <w:szCs w:val="20"/>
                              </w:rPr>
                              <w:t xml:space="preserve"> datada y es reutilizable.</w:t>
                            </w:r>
                          </w:p>
                          <w:p w:rsidR="00F34EE6" w:rsidRPr="00355D78" w:rsidRDefault="00F34EE6" w:rsidP="00355D7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6.25pt;margin-top:11.4pt;width:433.8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">
                <v:textbox>
                  <w:txbxContent>
                    <w:p w:rsidR="00F34EE6" w:rsidRDefault="00F34EE6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34EE6" w:rsidRPr="00EF7E5C" w:rsidRDefault="00F34EE6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F34EE6" w:rsidRDefault="00F34EE6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F34EE6" w:rsidRDefault="00F34EE6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F34EE6" w:rsidRDefault="00F34EE6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  <w:p w:rsidR="00F34EE6" w:rsidRPr="00355D78" w:rsidRDefault="00F34EE6" w:rsidP="00355D78">
                      <w:pPr>
                        <w:jc w:val="both"/>
                        <w:rPr>
                          <w:b/>
                          <w:bCs/>
                          <w:color w:val="00642D"/>
                        </w:rPr>
                      </w:pPr>
                      <w:r w:rsidRPr="00355D78">
                        <w:rPr>
                          <w:b/>
                          <w:bCs/>
                          <w:color w:val="00642D"/>
                        </w:rPr>
                        <w:t>Calidad de la información</w:t>
                      </w:r>
                    </w:p>
                    <w:p w:rsidR="00F34EE6" w:rsidRPr="00355D78" w:rsidRDefault="00F34EE6" w:rsidP="00355D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5D78">
                        <w:rPr>
                          <w:sz w:val="20"/>
                          <w:szCs w:val="20"/>
                        </w:rPr>
                        <w:t xml:space="preserve">La información </w:t>
                      </w:r>
                      <w:r w:rsidR="00981CBF">
                        <w:rPr>
                          <w:sz w:val="20"/>
                          <w:szCs w:val="20"/>
                        </w:rPr>
                        <w:t>está</w:t>
                      </w:r>
                      <w:r w:rsidRPr="00355D78">
                        <w:rPr>
                          <w:sz w:val="20"/>
                          <w:szCs w:val="20"/>
                        </w:rPr>
                        <w:t xml:space="preserve"> datada y es reutilizable.</w:t>
                      </w:r>
                    </w:p>
                    <w:p w:rsidR="00F34EE6" w:rsidRPr="00355D78" w:rsidRDefault="00F34EE6" w:rsidP="00355D7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981CBF" w:rsidRDefault="00981CB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981CBF" w:rsidRDefault="00981CB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81CBF" w:rsidRPr="00FD0689" w:rsidTr="0098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81CBF" w:rsidRPr="00FD0689" w:rsidRDefault="00981CBF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83,3</w:t>
            </w:r>
          </w:p>
        </w:tc>
      </w:tr>
      <w:tr w:rsidR="00981CBF" w:rsidRPr="00FD0689" w:rsidTr="00981CB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81CBF" w:rsidRPr="00FD0689" w:rsidRDefault="00981CB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1CBF">
              <w:rPr>
                <w:sz w:val="16"/>
              </w:rPr>
              <w:t>25,0</w:t>
            </w:r>
          </w:p>
        </w:tc>
      </w:tr>
      <w:tr w:rsidR="00981CBF" w:rsidRPr="00A94BCA" w:rsidTr="0098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81CBF" w:rsidRPr="002A154B" w:rsidRDefault="00981CBF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1CBF">
              <w:rPr>
                <w:b/>
                <w:i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1CBF">
              <w:rPr>
                <w:b/>
                <w:i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1CBF">
              <w:rPr>
                <w:b/>
                <w:i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1CBF">
              <w:rPr>
                <w:b/>
                <w:i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1CBF">
              <w:rPr>
                <w:b/>
                <w:i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1CBF">
              <w:rPr>
                <w:b/>
                <w:i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1CBF">
              <w:rPr>
                <w:b/>
                <w:i/>
                <w:sz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981CBF" w:rsidRPr="00981CBF" w:rsidRDefault="00981CBF" w:rsidP="00981C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1CBF">
              <w:rPr>
                <w:b/>
                <w:i/>
                <w:sz w:val="16"/>
              </w:rPr>
              <w:t>61,4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123D57">
        <w:t>61,4</w:t>
      </w:r>
      <w:r w:rsidRPr="00A63D61">
        <w:t xml:space="preserve">%. La falta de publicación de contenidos obligatorios – no se publica el </w:t>
      </w:r>
      <w:r w:rsidR="00123D57">
        <w:t>40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192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EE6" w:rsidRDefault="00F34EE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F34EE6" w:rsidRDefault="00F34EE6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Grupo Inversor Hesperia SA publica informaciones adicionales a las obligatorias que son relevantes desde el punto de vista de la transparencia y la rendición de cuentas:</w:t>
                            </w:r>
                          </w:p>
                          <w:p w:rsidR="00F34EE6" w:rsidRPr="00123D57" w:rsidRDefault="00F34EE6" w:rsidP="00355D7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 conducta</w:t>
                            </w:r>
                            <w:r w:rsidRPr="00355D7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23D57" w:rsidRPr="00355D78" w:rsidRDefault="00123D57" w:rsidP="00355D7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Formulario de denuncias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1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">
                <v:textbox>
                  <w:txbxContent>
                    <w:p w:rsidR="00F34EE6" w:rsidRDefault="00F34EE6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34EE6" w:rsidRDefault="00F34EE6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Grupo Inversor Hesperia SA publica informaciones adicionales a las obligatorias que son relevantes desde el punto de vista de la transparencia y la rendición de cuentas:</w:t>
                      </w:r>
                    </w:p>
                    <w:p w:rsidR="00F34EE6" w:rsidRPr="00123D57" w:rsidRDefault="00F34EE6" w:rsidP="00355D7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 conducta</w:t>
                      </w:r>
                      <w:r w:rsidRPr="00355D7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23D57" w:rsidRPr="00355D78" w:rsidRDefault="00123D57" w:rsidP="00355D7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Formulario de denuncias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355D78" w:rsidRDefault="00355D7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135891</wp:posOffset>
                </wp:positionV>
                <wp:extent cx="6264910" cy="114300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EE6" w:rsidRDefault="00F34EE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F34EE6" w:rsidRDefault="00123D57" w:rsidP="00D77865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sociedad</w:t>
                            </w:r>
                            <w:r w:rsidR="00F34EE6">
                              <w:rPr>
                                <w:sz w:val="20"/>
                                <w:szCs w:val="20"/>
                              </w:rPr>
                              <w:t xml:space="preserve"> hace mención explícita de la razón de la falta de información sobre determinadas obligaciones de publicidad activa.</w:t>
                            </w:r>
                          </w:p>
                          <w:p w:rsidR="00F34EE6" w:rsidRPr="00D77865" w:rsidRDefault="00F34EE6" w:rsidP="00D77865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Publicación de la fecha de actualización de la información contenida en el Portal.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7pt;width:493.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">
                <v:textbox>
                  <w:txbxContent>
                    <w:p w:rsidR="00F34EE6" w:rsidRDefault="00F34EE6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34EE6" w:rsidRDefault="00123D57" w:rsidP="00D77865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sociedad</w:t>
                      </w:r>
                      <w:r w:rsidR="00F34EE6">
                        <w:rPr>
                          <w:sz w:val="20"/>
                          <w:szCs w:val="20"/>
                        </w:rPr>
                        <w:t xml:space="preserve"> hace mención explícita de la razón de la falta de información sobre determinadas obligaciones de publicidad activa.</w:t>
                      </w:r>
                    </w:p>
                    <w:p w:rsidR="00F34EE6" w:rsidRPr="00D77865" w:rsidRDefault="00F34EE6" w:rsidP="00D77865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Publicación de la fecha de actualización de la información contenida en el Portal.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D77865" w:rsidRDefault="00D77865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5D3B1F">
        <w:t>Grupo Inversor Hesperia</w:t>
      </w:r>
      <w:r w:rsidR="00BE2197">
        <w:t xml:space="preserve"> SA</w:t>
      </w:r>
      <w:r w:rsidRPr="00CA6E55">
        <w:t>, en función de la información disponible en su web, alcanza el</w:t>
      </w:r>
      <w:r>
        <w:t xml:space="preserve">   </w:t>
      </w:r>
      <w:r w:rsidR="00123D57">
        <w:t>61,4</w:t>
      </w:r>
      <w:r>
        <w:t>%.</w:t>
      </w:r>
    </w:p>
    <w:p w:rsidR="004D4907" w:rsidRPr="00CA6E55" w:rsidRDefault="004D4907" w:rsidP="004D4907">
      <w:pPr>
        <w:jc w:val="both"/>
      </w:pPr>
      <w:r w:rsidRPr="00CA6E55">
        <w:lastRenderedPageBreak/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5D3B1F">
        <w:t>Grupo Inversor Hesperia</w:t>
      </w:r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5D3B1F" w:rsidRPr="00BF1400" w:rsidRDefault="005D3B1F" w:rsidP="005D3B1F">
      <w:pPr>
        <w:spacing w:before="120" w:after="120" w:line="312" w:lineRule="auto"/>
        <w:jc w:val="both"/>
        <w:rPr>
          <w:rFonts w:eastAsiaTheme="majorEastAsia" w:cs="Arial"/>
          <w:bCs/>
        </w:rPr>
      </w:pPr>
      <w:r>
        <w:rPr>
          <w:rFonts w:cs="Calibri"/>
          <w:color w:val="000000"/>
        </w:rPr>
        <w:t>Grupo Inversor Hesperia</w:t>
      </w:r>
      <w:r w:rsidR="00BE2197">
        <w:rPr>
          <w:rFonts w:cs="Calibri"/>
          <w:color w:val="000000"/>
        </w:rPr>
        <w:t xml:space="preserve">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</w:t>
      </w:r>
      <w:r>
        <w:t xml:space="preserve"> valorar la reubicación del enlace </w:t>
      </w:r>
      <w:r w:rsidR="00123D57">
        <w:t>a</w:t>
      </w:r>
      <w:r>
        <w:t>l Portal de Transparencia a un lugar más visible de su web institucional para facilitar el acceso de los ciudadanos a la información obligatoria.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 </w:t>
      </w: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123D57" w:rsidRDefault="00123D5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123D57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</w:t>
      </w:r>
      <w:r w:rsidR="00123D57">
        <w:rPr>
          <w:rFonts w:cs="Arial"/>
          <w:bCs/>
        </w:rPr>
        <w:t xml:space="preserve"> </w:t>
      </w:r>
      <w:r w:rsidR="00123D57" w:rsidRPr="00123D57">
        <w:rPr>
          <w:rFonts w:cs="Arial"/>
          <w:bCs/>
        </w:rPr>
        <w:t xml:space="preserve">las cuentas anuales </w:t>
      </w:r>
      <w:r w:rsidR="00123D57">
        <w:rPr>
          <w:rFonts w:cs="Arial"/>
          <w:bCs/>
        </w:rPr>
        <w:t>en el Portal de Transparencia de la sociedad</w:t>
      </w:r>
      <w:r w:rsidRPr="00BF1400">
        <w:rPr>
          <w:rFonts w:cs="Arial"/>
          <w:bCs/>
        </w:rPr>
        <w:t>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>nformes de auditoría de cuentas</w:t>
      </w:r>
      <w:r w:rsidR="00123D57">
        <w:rPr>
          <w:rFonts w:cs="Arial"/>
        </w:rPr>
        <w:t xml:space="preserve"> </w:t>
      </w:r>
      <w:r w:rsidR="00123D57">
        <w:rPr>
          <w:rFonts w:cs="Arial"/>
          <w:bCs/>
        </w:rPr>
        <w:t>en el Portal de Transparencia de la sociedad</w:t>
      </w:r>
      <w:r w:rsidR="005D3B1F">
        <w:rPr>
          <w:rFonts w:cs="Arial"/>
        </w:rPr>
        <w:t>.</w:t>
      </w:r>
      <w:r w:rsidRPr="00BF1400">
        <w:rPr>
          <w:rFonts w:cs="Arial"/>
        </w:rPr>
        <w:t xml:space="preserve">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123D57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5D3B1F" w:rsidRDefault="005D3B1F" w:rsidP="00FC4E4F">
      <w:pPr>
        <w:jc w:val="right"/>
      </w:pPr>
    </w:p>
    <w:p w:rsidR="005D3B1F" w:rsidRDefault="005D3B1F" w:rsidP="00FC4E4F">
      <w:pPr>
        <w:jc w:val="right"/>
      </w:pPr>
    </w:p>
    <w:p w:rsidR="005D3B1F" w:rsidRDefault="005D3B1F" w:rsidP="00FC4E4F">
      <w:pPr>
        <w:jc w:val="right"/>
      </w:pPr>
    </w:p>
    <w:p w:rsidR="005D3B1F" w:rsidRDefault="005D3B1F" w:rsidP="00FC4E4F">
      <w:pPr>
        <w:jc w:val="right"/>
      </w:pPr>
    </w:p>
    <w:p w:rsidR="005D3B1F" w:rsidRDefault="005D3B1F" w:rsidP="00FC4E4F">
      <w:pPr>
        <w:jc w:val="right"/>
      </w:pPr>
    </w:p>
    <w:p w:rsidR="001F645B" w:rsidRPr="001F645B" w:rsidRDefault="00C119EE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E6" w:rsidRDefault="00F34EE6" w:rsidP="00932008">
      <w:pPr>
        <w:spacing w:after="0" w:line="240" w:lineRule="auto"/>
      </w:pPr>
      <w:r>
        <w:separator/>
      </w:r>
    </w:p>
  </w:endnote>
  <w:endnote w:type="continuationSeparator" w:id="0">
    <w:p w:rsidR="00F34EE6" w:rsidRDefault="00F34EE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E6" w:rsidRDefault="00F34E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E6" w:rsidRDefault="00F34E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E6" w:rsidRDefault="00F34E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E6" w:rsidRDefault="00F34EE6" w:rsidP="00932008">
      <w:pPr>
        <w:spacing w:after="0" w:line="240" w:lineRule="auto"/>
      </w:pPr>
      <w:r>
        <w:separator/>
      </w:r>
    </w:p>
  </w:footnote>
  <w:footnote w:type="continuationSeparator" w:id="0">
    <w:p w:rsidR="00F34EE6" w:rsidRDefault="00F34EE6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E6" w:rsidRDefault="00F34E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E6" w:rsidRDefault="00F34EE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E6" w:rsidRDefault="00F34E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71" type="#_x0000_t75" style="width:9pt;height:9pt" o:bullet="t">
        <v:imagedata r:id="rId1" o:title="BD14533_"/>
      </v:shape>
    </w:pict>
  </w:numPicBullet>
  <w:numPicBullet w:numPicBulletId="1">
    <w:pict>
      <v:shape id="_x0000_i3172" type="#_x0000_t75" style="width:11.25pt;height:11.25pt" o:bullet="t">
        <v:imagedata r:id="rId2" o:title="BD14654_"/>
      </v:shape>
    </w:pict>
  </w:numPicBullet>
  <w:numPicBullet w:numPicBulletId="2">
    <w:pict>
      <v:shape id="_x0000_i3173" type="#_x0000_t75" style="width:9pt;height:9pt" o:bullet="t">
        <v:imagedata r:id="rId3" o:title="BD21296_"/>
      </v:shape>
    </w:pict>
  </w:numPicBullet>
  <w:numPicBullet w:numPicBulletId="3">
    <w:pict>
      <v:shape id="_x0000_i3174" type="#_x0000_t75" style="width:9pt;height:9pt" o:bullet="t">
        <v:imagedata r:id="rId4" o:title="BD14533_"/>
      </v:shape>
    </w:pict>
  </w:numPicBullet>
  <w:numPicBullet w:numPicBulletId="4">
    <w:pict>
      <v:shape id="_x0000_i3175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F2C2D"/>
    <w:multiLevelType w:val="hybridMultilevel"/>
    <w:tmpl w:val="E386222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45777"/>
    <w:multiLevelType w:val="hybridMultilevel"/>
    <w:tmpl w:val="8564E5A6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23C2D"/>
    <w:multiLevelType w:val="hybridMultilevel"/>
    <w:tmpl w:val="7D86FB16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4"/>
  </w:num>
  <w:num w:numId="10">
    <w:abstractNumId w:val="20"/>
  </w:num>
  <w:num w:numId="11">
    <w:abstractNumId w:val="11"/>
  </w:num>
  <w:num w:numId="12">
    <w:abstractNumId w:val="0"/>
  </w:num>
  <w:num w:numId="13">
    <w:abstractNumId w:val="5"/>
  </w:num>
  <w:num w:numId="14">
    <w:abstractNumId w:val="19"/>
  </w:num>
  <w:num w:numId="15">
    <w:abstractNumId w:val="10"/>
  </w:num>
  <w:num w:numId="16">
    <w:abstractNumId w:val="8"/>
  </w:num>
  <w:num w:numId="17">
    <w:abstractNumId w:val="21"/>
  </w:num>
  <w:num w:numId="18">
    <w:abstractNumId w:val="13"/>
  </w:num>
  <w:num w:numId="19">
    <w:abstractNumId w:val="6"/>
  </w:num>
  <w:num w:numId="20">
    <w:abstractNumId w:val="24"/>
  </w:num>
  <w:num w:numId="21">
    <w:abstractNumId w:val="7"/>
  </w:num>
  <w:num w:numId="22">
    <w:abstractNumId w:val="3"/>
  </w:num>
  <w:num w:numId="23">
    <w:abstractNumId w:val="22"/>
  </w:num>
  <w:num w:numId="24">
    <w:abstractNumId w:val="1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618D2"/>
    <w:rsid w:val="0008316E"/>
    <w:rsid w:val="000965B3"/>
    <w:rsid w:val="000C6CFF"/>
    <w:rsid w:val="0010045F"/>
    <w:rsid w:val="00102733"/>
    <w:rsid w:val="001216D4"/>
    <w:rsid w:val="00121FBA"/>
    <w:rsid w:val="00123D57"/>
    <w:rsid w:val="001561A4"/>
    <w:rsid w:val="00175C2F"/>
    <w:rsid w:val="001B3851"/>
    <w:rsid w:val="001F645B"/>
    <w:rsid w:val="00272D2D"/>
    <w:rsid w:val="00295EEB"/>
    <w:rsid w:val="002A154B"/>
    <w:rsid w:val="002D0E9C"/>
    <w:rsid w:val="002F648A"/>
    <w:rsid w:val="00355D78"/>
    <w:rsid w:val="00361AC5"/>
    <w:rsid w:val="0036594B"/>
    <w:rsid w:val="00382D7B"/>
    <w:rsid w:val="003D2E06"/>
    <w:rsid w:val="003F05F5"/>
    <w:rsid w:val="003F271E"/>
    <w:rsid w:val="003F572A"/>
    <w:rsid w:val="00400B2C"/>
    <w:rsid w:val="00454391"/>
    <w:rsid w:val="00456EA7"/>
    <w:rsid w:val="004D4907"/>
    <w:rsid w:val="004F2655"/>
    <w:rsid w:val="004F3953"/>
    <w:rsid w:val="005120E3"/>
    <w:rsid w:val="00521DA9"/>
    <w:rsid w:val="005271BF"/>
    <w:rsid w:val="00536ED0"/>
    <w:rsid w:val="00544E0C"/>
    <w:rsid w:val="00561402"/>
    <w:rsid w:val="00571438"/>
    <w:rsid w:val="00573D40"/>
    <w:rsid w:val="0057532F"/>
    <w:rsid w:val="005B13BD"/>
    <w:rsid w:val="005B3AEE"/>
    <w:rsid w:val="005B6CF5"/>
    <w:rsid w:val="005C14C5"/>
    <w:rsid w:val="005D3B1F"/>
    <w:rsid w:val="005F29B8"/>
    <w:rsid w:val="00676C76"/>
    <w:rsid w:val="006A2766"/>
    <w:rsid w:val="006B218B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47350"/>
    <w:rsid w:val="008640BD"/>
    <w:rsid w:val="0089480B"/>
    <w:rsid w:val="00894BD4"/>
    <w:rsid w:val="008C1E1E"/>
    <w:rsid w:val="008E31B2"/>
    <w:rsid w:val="008E49C3"/>
    <w:rsid w:val="008F044E"/>
    <w:rsid w:val="009000D9"/>
    <w:rsid w:val="00905D36"/>
    <w:rsid w:val="00932008"/>
    <w:rsid w:val="009609E9"/>
    <w:rsid w:val="0096428E"/>
    <w:rsid w:val="00981CBF"/>
    <w:rsid w:val="009F1191"/>
    <w:rsid w:val="00A015B5"/>
    <w:rsid w:val="00A122E8"/>
    <w:rsid w:val="00A55F6E"/>
    <w:rsid w:val="00A6270D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119EE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D77865"/>
    <w:rsid w:val="00D96F84"/>
    <w:rsid w:val="00DA702C"/>
    <w:rsid w:val="00DD2A83"/>
    <w:rsid w:val="00DF63E7"/>
    <w:rsid w:val="00E0124E"/>
    <w:rsid w:val="00E10590"/>
    <w:rsid w:val="00E3088D"/>
    <w:rsid w:val="00E34195"/>
    <w:rsid w:val="00E47613"/>
    <w:rsid w:val="00E67A3E"/>
    <w:rsid w:val="00E74BBD"/>
    <w:rsid w:val="00EC39D5"/>
    <w:rsid w:val="00EE1C8D"/>
    <w:rsid w:val="00F14DA4"/>
    <w:rsid w:val="00F27CB9"/>
    <w:rsid w:val="00F34EE6"/>
    <w:rsid w:val="00F42079"/>
    <w:rsid w:val="00F47C3B"/>
    <w:rsid w:val="00F579EB"/>
    <w:rsid w:val="00F71D7D"/>
    <w:rsid w:val="00F73FBC"/>
    <w:rsid w:val="00F74A43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hesperi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5D70"/>
    <w:rsid w:val="0013771E"/>
    <w:rsid w:val="00215B4A"/>
    <w:rsid w:val="003D088C"/>
    <w:rsid w:val="004B23F5"/>
    <w:rsid w:val="00543E16"/>
    <w:rsid w:val="005B0190"/>
    <w:rsid w:val="00896D37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32F6D-0720-4D8D-93FB-A3BEA382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163</TotalTime>
  <Pages>9</Pages>
  <Words>1757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15</cp:revision>
  <cp:lastPrinted>2022-05-12T06:51:00Z</cp:lastPrinted>
  <dcterms:created xsi:type="dcterms:W3CDTF">2023-05-31T12:31:00Z</dcterms:created>
  <dcterms:modified xsi:type="dcterms:W3CDTF">2023-10-23T10:09:00Z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