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613ABF" w:rsidRPr="00006957" w:rsidRDefault="00613AB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613ABF" w:rsidRPr="00006957" w:rsidRDefault="00613AB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3ABF" w:rsidRDefault="00613AB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613ABF" w:rsidRDefault="00613AB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BB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Telefónica de España</w:t>
            </w:r>
            <w:r w:rsidR="00F42079">
              <w:rPr>
                <w:sz w:val="24"/>
                <w:szCs w:val="24"/>
              </w:rPr>
              <w:t xml:space="preserve">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BB3B46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08/06</w:t>
            </w:r>
            <w:r w:rsidR="00C727F4">
              <w:rPr>
                <w:sz w:val="24"/>
                <w:szCs w:val="24"/>
              </w:rPr>
              <w:t>/2023</w:t>
            </w:r>
          </w:p>
          <w:p w:rsidR="00122077" w:rsidRPr="00CB5511" w:rsidRDefault="00122077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19/07/2023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F42079" w:rsidRPr="00CB5511" w:rsidRDefault="00122077" w:rsidP="00BB3B46">
            <w:pPr>
              <w:rPr>
                <w:sz w:val="24"/>
                <w:szCs w:val="24"/>
              </w:rPr>
            </w:pPr>
            <w:r w:rsidRPr="00122077">
              <w:t>https://www.telefonica.com/es/</w:t>
            </w:r>
            <w:hyperlink r:id="rId12" w:history="1"/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90418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8E3D8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8E3D8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22077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22077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acceso Accionistas e Inversores/Normativa interna de la compañía</w:t>
            </w:r>
            <w:r w:rsidR="00613AB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Se publican los Estatutos Sociales.</w:t>
            </w:r>
          </w:p>
        </w:tc>
      </w:tr>
      <w:tr w:rsidR="00E34195" w:rsidRPr="00CB5511" w:rsidTr="008E3D8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22077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22077" w:rsidP="0012207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acceso Nosotros/Misión</w:t>
            </w:r>
          </w:p>
        </w:tc>
      </w:tr>
      <w:tr w:rsidR="00E34195" w:rsidRPr="00CB5511" w:rsidTr="008E3D8E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8E3D8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8E3D8E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8E3D8E" w:rsidP="0012207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la página web/Nosotros/Telefónica en España/Equipo ejecutivo de Telefónica España. La información no está datada ni existen referencias a la última vez que se revisó o actualizó. La información no </w:t>
            </w:r>
            <w:r w:rsidR="0012207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formato reutilizable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8E3D8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8E3D8E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8E3D8E" w:rsidP="00122077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la página web/Nosotros/Telefónica en España/Equipo ejecutivo de Telefónica España. La información no está datada ni existen referencias a la última vez que se revisó o actualizó. </w:t>
            </w:r>
          </w:p>
        </w:tc>
      </w:tr>
      <w:tr w:rsidR="00B213ED" w:rsidRPr="00B35A03" w:rsidTr="008E3D8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8E3D8E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8E3D8E" w:rsidP="00122077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la página web/Nosotros/Telefónica en España/Equipo ejecutivo de Telefónica España. La información no está datada ni existen referencias a la última vez que se revisó o actualizó. </w:t>
            </w:r>
          </w:p>
        </w:tc>
      </w:tr>
    </w:tbl>
    <w:p w:rsidR="00437DDE" w:rsidRDefault="00437DDE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ABF" w:rsidRDefault="00613AB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613ABF" w:rsidRPr="00026650" w:rsidRDefault="00613ABF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613ABF" w:rsidRDefault="00613ABF" w:rsidP="007F564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7F5645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613ABF" w:rsidRPr="00F27D20" w:rsidRDefault="00613ABF" w:rsidP="00437DDE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613ABF" w:rsidRPr="00B25E9A" w:rsidRDefault="00613ABF" w:rsidP="0012207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25E9A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613ABF" w:rsidRDefault="00613AB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613ABF" w:rsidRPr="00026650" w:rsidRDefault="00613ABF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613ABF" w:rsidRDefault="00613ABF" w:rsidP="007F5645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7F5645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613ABF" w:rsidRPr="00F27D20" w:rsidRDefault="00613ABF" w:rsidP="00437DDE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613ABF" w:rsidRPr="00B25E9A" w:rsidRDefault="00613ABF" w:rsidP="0012207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25E9A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613ABF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en el acceso Sostenibilidad e innovación/Innovación/Innovación con ayudas públicas</w:t>
            </w:r>
            <w:r w:rsidR="00E6050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,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se informa sobre la financiación de diversos proyectos con cargo a Fondos Comunitarios, no se publica ni el objeto de la subvención o ayuda pública ni tampoco la cuantía percibida por Telefónica.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853779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122077" w:rsidP="0012207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</w:p>
        </w:tc>
      </w:tr>
      <w:tr w:rsidR="00122077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122077" w:rsidRDefault="0012207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2077" w:rsidRDefault="0012207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2077" w:rsidRPr="00CB5511" w:rsidRDefault="00122077" w:rsidP="00122077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2077" w:rsidRDefault="00122077">
            <w:r w:rsidRPr="00B86D1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el acceso Accionistas e Inversores/Informe anual</w:t>
            </w:r>
          </w:p>
        </w:tc>
      </w:tr>
      <w:tr w:rsidR="00122077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122077" w:rsidRDefault="00122077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2077" w:rsidRDefault="00122077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2077" w:rsidRPr="00CB5511" w:rsidRDefault="00122077" w:rsidP="00122077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122077" w:rsidRDefault="00122077">
            <w:r w:rsidRPr="00B86D1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el acceso Accionistas e Inversores/Informe anual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613ABF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613AB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B86D1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el acceso Accionistas e Inversores/Informe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</w:t>
            </w:r>
            <w:r w:rsidRPr="00B86D1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anual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es sobre retribuciones de los consejeros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147956</wp:posOffset>
                </wp:positionV>
                <wp:extent cx="5509523" cy="18288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ABF" w:rsidRDefault="00613ABF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613ABF" w:rsidRPr="00EF7E5C" w:rsidRDefault="00613ABF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613ABF" w:rsidRDefault="00613AB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13ABF" w:rsidRDefault="00613AB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613ABF" w:rsidRDefault="00613AB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65pt;width:433.8pt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">
                <v:textbox>
                  <w:txbxContent>
                    <w:p w:rsidR="00613ABF" w:rsidRDefault="00613ABF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613ABF" w:rsidRPr="00EF7E5C" w:rsidRDefault="00613ABF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613ABF" w:rsidRDefault="00613AB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613ABF" w:rsidRDefault="00613AB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613ABF" w:rsidRDefault="00613AB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613ABF" w:rsidRPr="00FD0689" w:rsidTr="00613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13ABF" w:rsidRPr="00FD0689" w:rsidRDefault="00613ABF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70,2</w:t>
            </w:r>
          </w:p>
        </w:tc>
      </w:tr>
      <w:tr w:rsidR="00613ABF" w:rsidRPr="00FD0689" w:rsidTr="00613AB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13ABF" w:rsidRPr="00FD0689" w:rsidRDefault="00613ABF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13ABF">
              <w:rPr>
                <w:sz w:val="16"/>
              </w:rPr>
              <w:t>42,9</w:t>
            </w:r>
          </w:p>
        </w:tc>
      </w:tr>
      <w:tr w:rsidR="00613ABF" w:rsidRPr="00A94BCA" w:rsidTr="00613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13ABF" w:rsidRPr="002A154B" w:rsidRDefault="00613ABF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13ABF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13ABF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13ABF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13ABF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13ABF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13ABF">
              <w:rPr>
                <w:b/>
                <w:i/>
                <w:sz w:val="16"/>
              </w:rPr>
              <w:t>53,8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13ABF">
              <w:rPr>
                <w:b/>
                <w:i/>
                <w:sz w:val="16"/>
              </w:rPr>
              <w:t>26,9</w:t>
            </w:r>
          </w:p>
        </w:tc>
        <w:tc>
          <w:tcPr>
            <w:tcW w:w="0" w:type="auto"/>
            <w:noWrap/>
            <w:vAlign w:val="center"/>
          </w:tcPr>
          <w:p w:rsidR="00613ABF" w:rsidRPr="00613ABF" w:rsidRDefault="00613ABF" w:rsidP="00613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13ABF">
              <w:rPr>
                <w:b/>
                <w:i/>
                <w:sz w:val="16"/>
              </w:rPr>
              <w:t>55,5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613ABF">
        <w:t>55,5</w:t>
      </w:r>
      <w:r w:rsidRPr="00A63D61">
        <w:t xml:space="preserve">%. La falta de publicación de contenidos obligatorios – no se publica el </w:t>
      </w:r>
      <w:r w:rsidR="00613ABF">
        <w:t>38,5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82880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ABF" w:rsidRDefault="00613AB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613ABF" w:rsidRDefault="00613ABF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Telefónica de España SA publica informaciones adicionales a las obligatorias que son relevantes desde el punto de vista de la transparencia y la rendición de cuentas:</w:t>
                            </w:r>
                          </w:p>
                          <w:p w:rsidR="00613ABF" w:rsidRPr="00613ABF" w:rsidRDefault="00613ABF" w:rsidP="00466B2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Canal de denuncias</w:t>
                            </w:r>
                          </w:p>
                          <w:p w:rsidR="00613ABF" w:rsidRPr="00613ABF" w:rsidRDefault="00613ABF" w:rsidP="00466B2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Información financiera</w:t>
                            </w:r>
                          </w:p>
                          <w:p w:rsidR="00613ABF" w:rsidRPr="00444CC6" w:rsidRDefault="00613ABF" w:rsidP="00466B2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Periodo medio de pago a proveedores</w:t>
                            </w:r>
                          </w:p>
                          <w:p w:rsidR="00613ABF" w:rsidRPr="00466B28" w:rsidRDefault="00613ABF" w:rsidP="00466B28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Ofertas de empleo</w:t>
                            </w:r>
                            <w:r w:rsidRPr="00466B2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2in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">
                <v:textbox>
                  <w:txbxContent>
                    <w:p w:rsidR="00613ABF" w:rsidRDefault="00613AB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613ABF" w:rsidRDefault="00613ABF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Telefónica de España SA publica informaciones adicionales a las obligatorias que son relevantes desde el punto de vista de la transparencia y la rendición de cuentas:</w:t>
                      </w:r>
                    </w:p>
                    <w:p w:rsidR="00613ABF" w:rsidRPr="00613ABF" w:rsidRDefault="00613ABF" w:rsidP="00466B2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Canal de denuncias</w:t>
                      </w:r>
                    </w:p>
                    <w:p w:rsidR="00613ABF" w:rsidRPr="00613ABF" w:rsidRDefault="00613ABF" w:rsidP="00466B2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Información financiera</w:t>
                      </w:r>
                    </w:p>
                    <w:p w:rsidR="00613ABF" w:rsidRPr="00444CC6" w:rsidRDefault="00613ABF" w:rsidP="00466B2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Periodo medio de pago a proveedores</w:t>
                      </w:r>
                    </w:p>
                    <w:p w:rsidR="00613ABF" w:rsidRPr="00466B28" w:rsidRDefault="00613ABF" w:rsidP="00466B28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Ofertas de empleo</w:t>
                      </w:r>
                      <w:r w:rsidRPr="00466B28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466B28" w:rsidRDefault="00466B28"/>
    <w:p w:rsidR="00466B28" w:rsidRDefault="00466B28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ABF" w:rsidRDefault="00613AB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613ABF" w:rsidRPr="008E49C3" w:rsidRDefault="00613ABF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613ABF" w:rsidRDefault="00613AB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613ABF" w:rsidRPr="008E49C3" w:rsidRDefault="00613ABF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444CC6">
        <w:t>Telefónica de España SA</w:t>
      </w:r>
      <w:r w:rsidRPr="00CA6E55">
        <w:t>, en función de la información disponible en su web, alcanza el</w:t>
      </w:r>
      <w:r w:rsidR="00613ABF">
        <w:t xml:space="preserve"> 55,5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444CC6">
        <w:t>Telefónica de España SA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444CC6" w:rsidP="00BE2197">
      <w:pPr>
        <w:spacing w:before="120" w:after="120" w:line="312" w:lineRule="auto"/>
        <w:jc w:val="both"/>
      </w:pPr>
      <w:r>
        <w:t>Telefónica de España SA</w:t>
      </w:r>
      <w:r w:rsidRPr="00BF1400"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444CC6" w:rsidRDefault="00444CC6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lastRenderedPageBreak/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 xml:space="preserve">Debe </w:t>
      </w:r>
      <w:r w:rsidR="003B25AA">
        <w:rPr>
          <w:rFonts w:eastAsia="Times New Roman" w:cs="Arial"/>
          <w:bCs/>
          <w:szCs w:val="36"/>
        </w:rPr>
        <w:t>publicarse</w:t>
      </w:r>
      <w:r>
        <w:rPr>
          <w:rFonts w:eastAsia="Times New Roman" w:cs="Arial"/>
          <w:bCs/>
          <w:szCs w:val="36"/>
        </w:rPr>
        <w:t xml:space="preserve"> información sobre subvenciones y ayudas públicas percibidas.</w:t>
      </w:r>
    </w:p>
    <w:p w:rsidR="003B25AA" w:rsidRDefault="003B25AA" w:rsidP="003B25AA">
      <w:pPr>
        <w:spacing w:before="120" w:after="120" w:line="240" w:lineRule="auto"/>
        <w:ind w:left="360"/>
        <w:jc w:val="both"/>
        <w:rPr>
          <w:rFonts w:eastAsia="Times New Roman" w:cs="Arial"/>
          <w:bCs/>
          <w:szCs w:val="36"/>
        </w:rPr>
      </w:pPr>
    </w:p>
    <w:p w:rsidR="00BA397C" w:rsidRDefault="00BA397C" w:rsidP="003B25AA">
      <w:pPr>
        <w:spacing w:before="120" w:after="120" w:line="240" w:lineRule="auto"/>
        <w:ind w:left="360"/>
        <w:jc w:val="both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5646ED" w:rsidRPr="00BF1400" w:rsidRDefault="00894BD4" w:rsidP="005646ED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5646ED" w:rsidRPr="005646ED">
        <w:rPr>
          <w:rFonts w:eastAsiaTheme="minorHAnsi"/>
          <w:szCs w:val="24"/>
          <w:lang w:eastAsia="en-US"/>
        </w:rPr>
        <w:t xml:space="preserve"> </w:t>
      </w:r>
      <w:r w:rsidR="005646ED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5646ED" w:rsidRPr="00BF1400" w:rsidRDefault="005646ED" w:rsidP="005646ED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5646ED" w:rsidRDefault="005646ED" w:rsidP="005646ED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3B25AA" w:rsidRDefault="003B25AA" w:rsidP="005646ED">
      <w:pPr>
        <w:spacing w:before="120" w:after="120"/>
        <w:ind w:left="714"/>
        <w:contextualSpacing/>
        <w:jc w:val="both"/>
      </w:pPr>
    </w:p>
    <w:p w:rsidR="00A55F6E" w:rsidRPr="00A55F6E" w:rsidRDefault="00A55F6E" w:rsidP="00444CC6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444CC6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3B25AA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3B25AA" w:rsidRDefault="003B25AA" w:rsidP="00FC4E4F">
      <w:pPr>
        <w:jc w:val="right"/>
      </w:pPr>
    </w:p>
    <w:p w:rsidR="003B25AA" w:rsidRDefault="003B25AA" w:rsidP="00FC4E4F">
      <w:pPr>
        <w:jc w:val="right"/>
      </w:pPr>
    </w:p>
    <w:p w:rsidR="003B25AA" w:rsidRDefault="003B25AA" w:rsidP="00FC4E4F">
      <w:pPr>
        <w:jc w:val="right"/>
      </w:pPr>
    </w:p>
    <w:p w:rsidR="003B25AA" w:rsidRDefault="003B25AA" w:rsidP="00FC4E4F">
      <w:pPr>
        <w:jc w:val="right"/>
      </w:pPr>
    </w:p>
    <w:p w:rsidR="003B25AA" w:rsidRDefault="003B25AA" w:rsidP="00FC4E4F">
      <w:pPr>
        <w:jc w:val="right"/>
      </w:pPr>
    </w:p>
    <w:p w:rsidR="003B25AA" w:rsidRDefault="003B25AA" w:rsidP="00FC4E4F">
      <w:pPr>
        <w:jc w:val="right"/>
      </w:pPr>
    </w:p>
    <w:p w:rsidR="003B25AA" w:rsidRDefault="003B25AA" w:rsidP="00FC4E4F">
      <w:pPr>
        <w:jc w:val="right"/>
      </w:pPr>
    </w:p>
    <w:p w:rsidR="003B25AA" w:rsidRDefault="003B25AA" w:rsidP="00FC4E4F">
      <w:pPr>
        <w:jc w:val="right"/>
      </w:pPr>
    </w:p>
    <w:p w:rsidR="003B25AA" w:rsidRDefault="003B25AA" w:rsidP="00FC4E4F">
      <w:pPr>
        <w:jc w:val="right"/>
      </w:pPr>
    </w:p>
    <w:p w:rsidR="003B25AA" w:rsidRDefault="003B25A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1F645B" w:rsidRPr="001F645B" w:rsidRDefault="00904181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BF" w:rsidRDefault="00613ABF" w:rsidP="00932008">
      <w:pPr>
        <w:spacing w:after="0" w:line="240" w:lineRule="auto"/>
      </w:pPr>
      <w:r>
        <w:separator/>
      </w:r>
    </w:p>
  </w:endnote>
  <w:endnote w:type="continuationSeparator" w:id="0">
    <w:p w:rsidR="00613ABF" w:rsidRDefault="00613AB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BF" w:rsidRDefault="00613A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BF" w:rsidRDefault="00613A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BF" w:rsidRDefault="00613A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BF" w:rsidRDefault="00613ABF" w:rsidP="00932008">
      <w:pPr>
        <w:spacing w:after="0" w:line="240" w:lineRule="auto"/>
      </w:pPr>
      <w:r>
        <w:separator/>
      </w:r>
    </w:p>
  </w:footnote>
  <w:footnote w:type="continuationSeparator" w:id="0">
    <w:p w:rsidR="00613ABF" w:rsidRDefault="00613AB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BF" w:rsidRDefault="00613A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BF" w:rsidRDefault="00613AB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BF" w:rsidRDefault="00613A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104" type="#_x0000_t75" style="width:9pt;height:9pt" o:bullet="t">
        <v:imagedata r:id="rId1" o:title="BD14533_"/>
      </v:shape>
    </w:pict>
  </w:numPicBullet>
  <w:numPicBullet w:numPicBulletId="1">
    <w:pict>
      <v:shape id="_x0000_i4105" type="#_x0000_t75" style="width:11.25pt;height:11.25pt" o:bullet="t">
        <v:imagedata r:id="rId2" o:title="BD14654_"/>
      </v:shape>
    </w:pict>
  </w:numPicBullet>
  <w:numPicBullet w:numPicBulletId="2">
    <w:pict>
      <v:shape id="_x0000_i4106" type="#_x0000_t75" style="width:9pt;height:9pt" o:bullet="t">
        <v:imagedata r:id="rId3" o:title="BD21296_"/>
      </v:shape>
    </w:pict>
  </w:numPicBullet>
  <w:numPicBullet w:numPicBulletId="3">
    <w:pict>
      <v:shape id="_x0000_i4107" type="#_x0000_t75" style="width:9pt;height:9pt" o:bullet="t">
        <v:imagedata r:id="rId4" o:title="BD14533_"/>
      </v:shape>
    </w:pict>
  </w:numPicBullet>
  <w:numPicBullet w:numPicBulletId="4">
    <w:pict>
      <v:shape id="_x0000_i4108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17CF"/>
    <w:multiLevelType w:val="hybridMultilevel"/>
    <w:tmpl w:val="1F8473E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5188E"/>
    <w:multiLevelType w:val="hybridMultilevel"/>
    <w:tmpl w:val="4EEAEF08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32968"/>
    <w:multiLevelType w:val="hybridMultilevel"/>
    <w:tmpl w:val="33D86BF6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350D6"/>
    <w:multiLevelType w:val="hybridMultilevel"/>
    <w:tmpl w:val="1A50E11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15"/>
  </w:num>
  <w:num w:numId="5">
    <w:abstractNumId w:val="13"/>
  </w:num>
  <w:num w:numId="6">
    <w:abstractNumId w:val="16"/>
  </w:num>
  <w:num w:numId="7">
    <w:abstractNumId w:val="23"/>
  </w:num>
  <w:num w:numId="8">
    <w:abstractNumId w:val="25"/>
  </w:num>
  <w:num w:numId="9">
    <w:abstractNumId w:val="6"/>
  </w:num>
  <w:num w:numId="10">
    <w:abstractNumId w:val="20"/>
  </w:num>
  <w:num w:numId="11">
    <w:abstractNumId w:val="12"/>
  </w:num>
  <w:num w:numId="12">
    <w:abstractNumId w:val="0"/>
  </w:num>
  <w:num w:numId="13">
    <w:abstractNumId w:val="7"/>
  </w:num>
  <w:num w:numId="14">
    <w:abstractNumId w:val="19"/>
  </w:num>
  <w:num w:numId="15">
    <w:abstractNumId w:val="11"/>
  </w:num>
  <w:num w:numId="16">
    <w:abstractNumId w:val="10"/>
  </w:num>
  <w:num w:numId="17">
    <w:abstractNumId w:val="21"/>
  </w:num>
  <w:num w:numId="18">
    <w:abstractNumId w:val="14"/>
  </w:num>
  <w:num w:numId="19">
    <w:abstractNumId w:val="8"/>
  </w:num>
  <w:num w:numId="20">
    <w:abstractNumId w:val="24"/>
  </w:num>
  <w:num w:numId="21">
    <w:abstractNumId w:val="9"/>
  </w:num>
  <w:num w:numId="22">
    <w:abstractNumId w:val="4"/>
  </w:num>
  <w:num w:numId="23">
    <w:abstractNumId w:val="22"/>
  </w:num>
  <w:num w:numId="24">
    <w:abstractNumId w:val="26"/>
  </w:num>
  <w:num w:numId="25">
    <w:abstractNumId w:val="2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22077"/>
    <w:rsid w:val="001561A4"/>
    <w:rsid w:val="00175C2F"/>
    <w:rsid w:val="001B3851"/>
    <w:rsid w:val="001F645B"/>
    <w:rsid w:val="00272D2D"/>
    <w:rsid w:val="00295EEB"/>
    <w:rsid w:val="002A154B"/>
    <w:rsid w:val="002B4C38"/>
    <w:rsid w:val="002D0E9C"/>
    <w:rsid w:val="00326862"/>
    <w:rsid w:val="00361AC5"/>
    <w:rsid w:val="0036594B"/>
    <w:rsid w:val="00382D7B"/>
    <w:rsid w:val="003B25AA"/>
    <w:rsid w:val="003F05F5"/>
    <w:rsid w:val="003F271E"/>
    <w:rsid w:val="003F572A"/>
    <w:rsid w:val="00437DDE"/>
    <w:rsid w:val="00444CC6"/>
    <w:rsid w:val="00454391"/>
    <w:rsid w:val="00456EA7"/>
    <w:rsid w:val="00466B28"/>
    <w:rsid w:val="004D4907"/>
    <w:rsid w:val="004F2655"/>
    <w:rsid w:val="004F3953"/>
    <w:rsid w:val="00521DA9"/>
    <w:rsid w:val="005256A4"/>
    <w:rsid w:val="00536ED0"/>
    <w:rsid w:val="00544E0C"/>
    <w:rsid w:val="00561402"/>
    <w:rsid w:val="005646ED"/>
    <w:rsid w:val="00571438"/>
    <w:rsid w:val="0057532F"/>
    <w:rsid w:val="005B13BD"/>
    <w:rsid w:val="005B3AEE"/>
    <w:rsid w:val="005B6CF5"/>
    <w:rsid w:val="005C14C5"/>
    <w:rsid w:val="005F29B8"/>
    <w:rsid w:val="00613ABF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7F5645"/>
    <w:rsid w:val="008063AC"/>
    <w:rsid w:val="00814E93"/>
    <w:rsid w:val="00843911"/>
    <w:rsid w:val="00844FA9"/>
    <w:rsid w:val="00853779"/>
    <w:rsid w:val="008640BD"/>
    <w:rsid w:val="0089480B"/>
    <w:rsid w:val="00894BD4"/>
    <w:rsid w:val="008A60BC"/>
    <w:rsid w:val="008C1E1E"/>
    <w:rsid w:val="008E3D8E"/>
    <w:rsid w:val="008E49C3"/>
    <w:rsid w:val="008F044E"/>
    <w:rsid w:val="009000D9"/>
    <w:rsid w:val="00904181"/>
    <w:rsid w:val="00905D36"/>
    <w:rsid w:val="00932008"/>
    <w:rsid w:val="009609E9"/>
    <w:rsid w:val="0096428E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25E9A"/>
    <w:rsid w:val="00B35A03"/>
    <w:rsid w:val="00B35B7B"/>
    <w:rsid w:val="00B40246"/>
    <w:rsid w:val="00B53D32"/>
    <w:rsid w:val="00B841AE"/>
    <w:rsid w:val="00B8465C"/>
    <w:rsid w:val="00BA397C"/>
    <w:rsid w:val="00BB3B46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96F84"/>
    <w:rsid w:val="00DA702C"/>
    <w:rsid w:val="00DD2A83"/>
    <w:rsid w:val="00DF63E7"/>
    <w:rsid w:val="00E10590"/>
    <w:rsid w:val="00E3088D"/>
    <w:rsid w:val="00E34195"/>
    <w:rsid w:val="00E47613"/>
    <w:rsid w:val="00E6050A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elsabarcelon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97FAC"/>
    <w:rsid w:val="003D088C"/>
    <w:rsid w:val="00543E16"/>
    <w:rsid w:val="005B0190"/>
    <w:rsid w:val="008F4F2E"/>
    <w:rsid w:val="00AB6DFB"/>
    <w:rsid w:val="00AC3AC2"/>
    <w:rsid w:val="00B76BBA"/>
    <w:rsid w:val="00D051CA"/>
    <w:rsid w:val="00D35513"/>
    <w:rsid w:val="00DE55C7"/>
    <w:rsid w:val="00E2366A"/>
    <w:rsid w:val="00F5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ECA8C-8AE4-4152-83D7-770BCF8E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75</TotalTime>
  <Pages>9</Pages>
  <Words>1861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13</cp:revision>
  <cp:lastPrinted>2022-05-12T06:51:00Z</cp:lastPrinted>
  <dcterms:created xsi:type="dcterms:W3CDTF">2023-06-08T10:46:00Z</dcterms:created>
  <dcterms:modified xsi:type="dcterms:W3CDTF">2023-10-23T11:00:00Z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