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Content>
                              <w:p w:rsidR="00B2582F" w:rsidRPr="00006957" w:rsidRDefault="00B2582F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Content>
                        <w:p w:rsidR="00B2582F" w:rsidRPr="00006957" w:rsidRDefault="00B2582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582F" w:rsidRDefault="00B2582F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B2582F" w:rsidRDefault="00B2582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E06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Confederación de Centros de Desarrollo Rural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E06E03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16/06</w:t>
            </w:r>
            <w:r w:rsidR="00C727F4">
              <w:rPr>
                <w:sz w:val="24"/>
                <w:szCs w:val="24"/>
              </w:rPr>
              <w:t>/2023</w:t>
            </w:r>
          </w:p>
          <w:p w:rsidR="002C0A99" w:rsidRPr="00CB5511" w:rsidRDefault="002C0A99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20/07/2023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E06E03" w:rsidRPr="00CB5511" w:rsidRDefault="00B2582F" w:rsidP="00E06E03">
            <w:pPr>
              <w:rPr>
                <w:sz w:val="24"/>
                <w:szCs w:val="24"/>
              </w:rPr>
            </w:pPr>
            <w:hyperlink r:id="rId11" w:history="1"/>
            <w:hyperlink r:id="rId12" w:history="1">
              <w:r w:rsidR="00E06E03" w:rsidRPr="0031040A">
                <w:rPr>
                  <w:rStyle w:val="Hipervnculo"/>
                  <w:sz w:val="24"/>
                  <w:szCs w:val="24"/>
                </w:rPr>
                <w:t>https://www.coceder.org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B2582F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E06E03" w:rsidP="002C0A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acceso al Portal de Transparencia se realiza a través del </w:t>
            </w:r>
            <w:r w:rsidR="002C0A99">
              <w:rPr>
                <w:sz w:val="20"/>
                <w:szCs w:val="20"/>
              </w:rPr>
              <w:t>acceso</w:t>
            </w:r>
            <w:r>
              <w:rPr>
                <w:sz w:val="20"/>
                <w:szCs w:val="20"/>
              </w:rPr>
              <w:t xml:space="preserve"> Quiénes somos de la página home.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E06E03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E141A5" w:rsidP="002C0A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toda la información </w:t>
            </w:r>
            <w:r w:rsidR="002C0A99">
              <w:rPr>
                <w:sz w:val="20"/>
                <w:szCs w:val="20"/>
              </w:rPr>
              <w:t>obligatoria</w:t>
            </w:r>
            <w:r>
              <w:rPr>
                <w:sz w:val="20"/>
                <w:szCs w:val="20"/>
              </w:rPr>
              <w:t xml:space="preserve"> está </w:t>
            </w:r>
            <w:r w:rsidR="002C0A99">
              <w:rPr>
                <w:sz w:val="20"/>
                <w:szCs w:val="20"/>
              </w:rPr>
              <w:t>publicada</w:t>
            </w:r>
            <w:r>
              <w:rPr>
                <w:sz w:val="20"/>
                <w:szCs w:val="20"/>
              </w:rPr>
              <w:t xml:space="preserve"> en el Portal de Transparencia.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E06E03" w:rsidP="00AF3D56">
      <w:pPr>
        <w:jc w:val="center"/>
      </w:pPr>
      <w:r>
        <w:rPr>
          <w:noProof/>
        </w:rPr>
        <w:drawing>
          <wp:inline distT="0" distB="0" distL="0" distR="0">
            <wp:extent cx="6645910" cy="2687320"/>
            <wp:effectExtent l="0" t="0" r="254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683F63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072"/>
        <w:gridCol w:w="5754"/>
      </w:tblGrid>
      <w:tr w:rsidR="00E34195" w:rsidRPr="00E34195" w:rsidTr="00E06E03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07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754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E06E03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06E03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E06E03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Portal de Transparencia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No existen referencias a la última vez que se revisó o actualizó la información.</w:t>
            </w:r>
          </w:p>
        </w:tc>
      </w:tr>
      <w:tr w:rsidR="00E34195" w:rsidRPr="00CB5511" w:rsidTr="00E06E03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2C0A99">
            <w:pPr>
              <w:pStyle w:val="Cuerpodelboletn"/>
              <w:numPr>
                <w:ilvl w:val="0"/>
                <w:numId w:val="27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2C0A99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acceso Quiénes somos/Conócenos. No existen referencias a la última vez que se revisó o actualizó la información.</w:t>
            </w:r>
          </w:p>
        </w:tc>
      </w:tr>
      <w:tr w:rsidR="00E34195" w:rsidRPr="00CB5511" w:rsidTr="00E06E03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B35A03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E06E03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06E03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E06E03" w:rsidP="00E06E0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Portal de Transparencia. No existen referencias a la última vez que se revisó o actualizó la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E06E03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E141A5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E141A5" w:rsidP="00B35A03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la página home/Quiénes somos/Junta directiva y equipo técnico. No existen referencias a la última vez que se revisó o actualizó la información.</w:t>
            </w:r>
          </w:p>
        </w:tc>
      </w:tr>
      <w:tr w:rsidR="00E141A5" w:rsidRPr="00B35A03" w:rsidTr="00E06E03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141A5" w:rsidRPr="00CB5511" w:rsidRDefault="00E141A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141A5" w:rsidRPr="00E34195" w:rsidRDefault="00E141A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141A5" w:rsidRPr="00CB5511" w:rsidRDefault="00E141A5" w:rsidP="00E141A5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141A5" w:rsidRPr="00B35A03" w:rsidRDefault="00E141A5" w:rsidP="005611FE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la página home/Quiénes somos/Junta directiva y equipo técnico. No existen referencias a la última vez que se revisó o actualizó la información.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2295525"/>
                <wp:effectExtent l="0" t="0" r="1524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82F" w:rsidRDefault="00B2582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B2582F" w:rsidRPr="00026650" w:rsidRDefault="00B2582F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B2582F" w:rsidRDefault="00B2582F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una descripción de la estructura organizativa de la entidad.</w:t>
                            </w:r>
                          </w:p>
                          <w:p w:rsidR="00B2582F" w:rsidRDefault="00B2582F" w:rsidP="002C0A99">
                            <w:pPr>
                              <w:rPr>
                                <w:b/>
                                <w:bCs/>
                                <w:color w:val="00642D"/>
                              </w:rPr>
                            </w:pPr>
                            <w:r w:rsidRPr="002C0A99">
                              <w:rPr>
                                <w:b/>
                                <w:bCs/>
                                <w:color w:val="00642D"/>
                              </w:rPr>
                              <w:t>Calidad de la información</w:t>
                            </w:r>
                          </w:p>
                          <w:p w:rsidR="00B2582F" w:rsidRPr="002C0A99" w:rsidRDefault="00B2582F" w:rsidP="002C0A99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Style w:val="Ttulo2Car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2C0A99">
                              <w:rPr>
                                <w:rStyle w:val="Ttulo2Car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Algunas informaciones no están datadas y no se publica la fecha de la última revisión o actualización de la información publicada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80.7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">
                <v:textbox>
                  <w:txbxContent>
                    <w:p w:rsidR="00B2582F" w:rsidRDefault="00B2582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B2582F" w:rsidRPr="00026650" w:rsidRDefault="00B2582F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>algunos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B2582F" w:rsidRDefault="00B2582F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una descripción de la estructura organizativa de la entidad.</w:t>
                      </w:r>
                    </w:p>
                    <w:p w:rsidR="00B2582F" w:rsidRDefault="00B2582F" w:rsidP="002C0A99">
                      <w:pPr>
                        <w:rPr>
                          <w:b/>
                          <w:bCs/>
                          <w:color w:val="00642D"/>
                        </w:rPr>
                      </w:pPr>
                      <w:r w:rsidRPr="002C0A99">
                        <w:rPr>
                          <w:b/>
                          <w:bCs/>
                          <w:color w:val="00642D"/>
                        </w:rPr>
                        <w:t>Calidad de la información</w:t>
                      </w:r>
                    </w:p>
                    <w:p w:rsidR="00B2582F" w:rsidRPr="002C0A99" w:rsidRDefault="00B2582F" w:rsidP="002C0A99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rPr>
                          <w:rStyle w:val="Ttulo2Car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2C0A99">
                        <w:rPr>
                          <w:rStyle w:val="Ttulo2Car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  <w:t>Algunas informaciones no están datadas y no se publica la fecha de la última revisión o actualización de la información publicada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</w:t>
      </w:r>
      <w:r w:rsidRPr="005611FE">
        <w:rPr>
          <w:rStyle w:val="Ttulo2Car"/>
          <w:color w:val="00642D"/>
          <w:lang w:bidi="es-ES"/>
        </w:rPr>
        <w:t>rmació</w:t>
      </w:r>
      <w:r w:rsidRPr="00C33A23">
        <w:rPr>
          <w:rStyle w:val="Ttulo2Car"/>
          <w:color w:val="00642D"/>
          <w:lang w:bidi="es-ES"/>
        </w:rPr>
        <w:t xml:space="preserve">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992"/>
        <w:gridCol w:w="4904"/>
      </w:tblGrid>
      <w:tr w:rsidR="00C33A23" w:rsidRPr="00E34195" w:rsidTr="00C5416F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99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904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C5416F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10045F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B5511" w:rsidTr="00C5416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 w:rsidR="00D46C9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</w:t>
            </w:r>
            <w:proofErr w:type="spellStart"/>
            <w:r w:rsidR="00D46C9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adminsitraciones</w:t>
            </w:r>
            <w:proofErr w:type="spellEnd"/>
            <w:r w:rsidR="00D46C9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públicas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C5416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89480B" w:rsidRDefault="002C0A99" w:rsidP="00D46C9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Aunque se publican las subvenciones y ayudas percibidas a través del enlace financiadores, la información más reciente corresponde a 2019. Dado el desfase temporal existente no puede considerarse cumplida esta obligación</w:t>
            </w:r>
            <w:r w:rsidR="00CB45F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5C08C2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EB349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Localizables en el Portal de Transparencia las correspondientes a 2021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B2582F">
            <w:pPr>
              <w:pStyle w:val="Cuerpodelboletn"/>
              <w:numPr>
                <w:ilvl w:val="0"/>
                <w:numId w:val="27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B2582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B2582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Localizables en el Portal de Transparencia las correspondientes a 2021.</w:t>
            </w:r>
          </w:p>
        </w:tc>
      </w:tr>
      <w:tr w:rsidR="00BD4582" w:rsidRPr="00CB5511" w:rsidTr="00C5416F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144780</wp:posOffset>
                </wp:positionV>
                <wp:extent cx="5509523" cy="300037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82F" w:rsidRDefault="00B2582F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B2582F" w:rsidRPr="00EF7E5C" w:rsidRDefault="00B2582F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B2582F" w:rsidRDefault="00B2582F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2582F" w:rsidRDefault="00B2582F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 con administraciones públicas.</w:t>
                            </w:r>
                          </w:p>
                          <w:p w:rsidR="00B2582F" w:rsidRDefault="00B2582F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valorable sobre subvenciones percibidas.</w:t>
                            </w:r>
                          </w:p>
                          <w:p w:rsidR="00B2582F" w:rsidRDefault="00B2582F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los presupuestos de la entidad.</w:t>
                            </w:r>
                          </w:p>
                          <w:p w:rsidR="00B2582F" w:rsidRDefault="00B2582F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informes de auditoría de cuentas y de fiscalización por órganos de control externo.</w:t>
                            </w:r>
                          </w:p>
                          <w:p w:rsidR="00B2582F" w:rsidRDefault="00B2582F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máximos responsables.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4pt;width:433.8pt;height:23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">
                <v:textbox>
                  <w:txbxContent>
                    <w:p w:rsidR="00B2582F" w:rsidRDefault="00B2582F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B2582F" w:rsidRPr="00EF7E5C" w:rsidRDefault="00B2582F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algunos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B2582F" w:rsidRDefault="00B2582F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B2582F" w:rsidRDefault="00B2582F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 con administraciones públicas.</w:t>
                      </w:r>
                    </w:p>
                    <w:p w:rsidR="00B2582F" w:rsidRDefault="00B2582F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valorable sobre subvenciones percibidas.</w:t>
                      </w:r>
                    </w:p>
                    <w:p w:rsidR="00B2582F" w:rsidRDefault="00B2582F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los presupuestos de la entidad.</w:t>
                      </w:r>
                    </w:p>
                    <w:p w:rsidR="00B2582F" w:rsidRDefault="00B2582F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informes de auditoría de cuentas y de fiscalización por órganos de control externo.</w:t>
                      </w:r>
                    </w:p>
                    <w:p w:rsidR="00B2582F" w:rsidRDefault="00B2582F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máximos responsables.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D46C93" w:rsidRDefault="00D46C93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D46C93" w:rsidRDefault="00D46C93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EE420B" w:rsidRPr="00FD0689" w:rsidTr="00EE4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EE420B" w:rsidRPr="00FD0689" w:rsidRDefault="00EE420B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E420B" w:rsidRPr="00EE420B" w:rsidRDefault="00EE420B" w:rsidP="00EE4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E420B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EE420B" w:rsidRPr="00EE420B" w:rsidRDefault="00EE420B" w:rsidP="00EE4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E420B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EE420B" w:rsidRPr="00EE420B" w:rsidRDefault="00EE420B" w:rsidP="00EE4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E420B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EE420B" w:rsidRPr="00EE420B" w:rsidRDefault="00EE420B" w:rsidP="00EE4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E420B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EE420B" w:rsidRPr="00EE420B" w:rsidRDefault="00EE420B" w:rsidP="00EE4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E420B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EE420B" w:rsidRPr="00EE420B" w:rsidRDefault="00EE420B" w:rsidP="00EE4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E420B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EE420B" w:rsidRPr="00EE420B" w:rsidRDefault="00EE420B" w:rsidP="00EE4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E420B">
              <w:rPr>
                <w:sz w:val="16"/>
              </w:rPr>
              <w:t>8,3</w:t>
            </w:r>
          </w:p>
        </w:tc>
        <w:tc>
          <w:tcPr>
            <w:tcW w:w="0" w:type="auto"/>
            <w:noWrap/>
            <w:vAlign w:val="center"/>
          </w:tcPr>
          <w:p w:rsidR="00EE420B" w:rsidRPr="00EE420B" w:rsidRDefault="00EE420B" w:rsidP="00EE4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E420B">
              <w:rPr>
                <w:sz w:val="16"/>
              </w:rPr>
              <w:t>72,6</w:t>
            </w:r>
          </w:p>
        </w:tc>
      </w:tr>
      <w:tr w:rsidR="00D908BB" w:rsidRPr="00FD0689" w:rsidTr="00D908B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D908BB" w:rsidRPr="00FD0689" w:rsidRDefault="00D908BB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908BB" w:rsidRPr="00D908BB" w:rsidRDefault="00D908BB" w:rsidP="00D9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908BB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D908BB" w:rsidRPr="00D908BB" w:rsidRDefault="00D908BB" w:rsidP="00D9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908BB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D908BB" w:rsidRPr="00D908BB" w:rsidRDefault="00D908BB" w:rsidP="00D9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908BB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D908BB" w:rsidRPr="00D908BB" w:rsidRDefault="00D908BB" w:rsidP="00D9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908BB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D908BB" w:rsidRPr="00D908BB" w:rsidRDefault="00D908BB" w:rsidP="00D9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908BB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D908BB" w:rsidRPr="00D908BB" w:rsidRDefault="00D908BB" w:rsidP="00D9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908BB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D908BB" w:rsidRPr="00D908BB" w:rsidRDefault="00D908BB" w:rsidP="00D9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908BB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D908BB" w:rsidRPr="00D908BB" w:rsidRDefault="00D908BB" w:rsidP="00D9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908BB">
              <w:rPr>
                <w:sz w:val="16"/>
              </w:rPr>
              <w:t>25,0</w:t>
            </w:r>
          </w:p>
        </w:tc>
      </w:tr>
      <w:tr w:rsidR="00D908BB" w:rsidRPr="00A94BCA" w:rsidTr="00D90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D908BB" w:rsidRPr="002A154B" w:rsidRDefault="00D908BB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908BB" w:rsidRPr="00D908BB" w:rsidRDefault="00D908BB" w:rsidP="00D90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D908BB">
              <w:rPr>
                <w:b/>
                <w:i/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D908BB" w:rsidRPr="00D908BB" w:rsidRDefault="00D908BB" w:rsidP="00D90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D908BB">
              <w:rPr>
                <w:b/>
                <w:i/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D908BB" w:rsidRPr="00D908BB" w:rsidRDefault="00D908BB" w:rsidP="00D90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D908BB">
              <w:rPr>
                <w:b/>
                <w:i/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D908BB" w:rsidRPr="00D908BB" w:rsidRDefault="00D908BB" w:rsidP="00D90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D908BB">
              <w:rPr>
                <w:b/>
                <w:i/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D908BB" w:rsidRPr="00D908BB" w:rsidRDefault="00D908BB" w:rsidP="00D90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D908BB">
              <w:rPr>
                <w:b/>
                <w:i/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D908BB" w:rsidRPr="00D908BB" w:rsidRDefault="00D908BB" w:rsidP="00D90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D908BB">
              <w:rPr>
                <w:b/>
                <w:i/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D908BB" w:rsidRPr="00D908BB" w:rsidRDefault="00D908BB" w:rsidP="00D90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D908BB">
              <w:rPr>
                <w:b/>
                <w:i/>
                <w:sz w:val="16"/>
              </w:rPr>
              <w:t>17,9</w:t>
            </w:r>
          </w:p>
        </w:tc>
        <w:tc>
          <w:tcPr>
            <w:tcW w:w="0" w:type="auto"/>
            <w:noWrap/>
            <w:vAlign w:val="center"/>
          </w:tcPr>
          <w:p w:rsidR="00D908BB" w:rsidRPr="00D908BB" w:rsidRDefault="00D908BB" w:rsidP="00D90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D908BB">
              <w:rPr>
                <w:b/>
                <w:i/>
                <w:sz w:val="16"/>
              </w:rPr>
              <w:t>45,4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EE420B">
        <w:t xml:space="preserve">El Índice de Cumplimiento de la Información Obligatoria (ICIO) se sitúa en el </w:t>
      </w:r>
      <w:r w:rsidR="00D908BB">
        <w:t>45,4</w:t>
      </w:r>
      <w:r w:rsidRPr="00EE420B">
        <w:t xml:space="preserve">%. La falta de publicación de contenidos obligatorios – no se publica el </w:t>
      </w:r>
      <w:r w:rsidR="00D908BB">
        <w:t>50</w:t>
      </w:r>
      <w:r w:rsidRPr="00EE420B">
        <w:t xml:space="preserve">% de estos contenidos- </w:t>
      </w:r>
      <w:r w:rsidR="00CB45FC" w:rsidRPr="00EE420B">
        <w:t>es el factor que explica</w:t>
      </w:r>
      <w:r w:rsidRPr="00EE420B">
        <w:t xml:space="preserve"> el nivel de cumplimiento alcanzado</w:t>
      </w:r>
      <w:r w:rsidRPr="00A63D61">
        <w:t>.</w:t>
      </w: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34302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82F" w:rsidRDefault="00B2582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B2582F" w:rsidRDefault="00B2582F" w:rsidP="00BE219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Confederación de Centros de Desarrollo Rural publica informaciones adicionales a las obligatorias que son relevantes desde el punto de vista de la transparencia y la rendición de cuentas:</w:t>
                            </w:r>
                          </w:p>
                          <w:p w:rsidR="00B2582F" w:rsidRDefault="00B2582F" w:rsidP="00EB3495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III Plan Estratégico 2021-2023.</w:t>
                            </w:r>
                          </w:p>
                          <w:p w:rsidR="00B2582F" w:rsidRPr="00F76DD5" w:rsidRDefault="00B2582F" w:rsidP="00F76DD5">
                            <w:pPr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05.7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">
                <v:textbox>
                  <w:txbxContent>
                    <w:p w:rsidR="00B2582F" w:rsidRDefault="00B2582F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B2582F" w:rsidRDefault="00B2582F" w:rsidP="00BE219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Confederación de Centros de Desarrollo Rural publica informaciones adicionales a las obligatorias que son relevantes desde el punto de vista de la transparencia y la rendición de cuentas:</w:t>
                      </w:r>
                    </w:p>
                    <w:p w:rsidR="00B2582F" w:rsidRDefault="00B2582F" w:rsidP="00EB3495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III Plan Estratégico 2021-2023.</w:t>
                      </w:r>
                    </w:p>
                    <w:p w:rsidR="00B2582F" w:rsidRPr="00F76DD5" w:rsidRDefault="00B2582F" w:rsidP="00F76DD5">
                      <w:pPr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EB3495" w:rsidRDefault="00EB3495"/>
    <w:p w:rsidR="00932008" w:rsidRDefault="00E67A3E">
      <w:r w:rsidRPr="002A154B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133350</wp:posOffset>
                </wp:positionH>
                <wp:positionV relativeFrom="paragraph">
                  <wp:posOffset>131445</wp:posOffset>
                </wp:positionV>
                <wp:extent cx="6264910" cy="752475"/>
                <wp:effectExtent l="0" t="0" r="21590" b="2857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82F" w:rsidRDefault="00B2582F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B2582F" w:rsidRPr="00EC46A1" w:rsidRDefault="00B2582F" w:rsidP="002A15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C46A1">
                              <w:rPr>
                                <w:sz w:val="20"/>
                                <w:szCs w:val="20"/>
                              </w:rPr>
                              <w:t>No caben buenas prácticas que reseñar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10.35pt;width:493.3pt;height:5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">
                <v:textbox>
                  <w:txbxContent>
                    <w:p w:rsidR="00B2582F" w:rsidRDefault="00B2582F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B2582F" w:rsidRPr="00EC46A1" w:rsidRDefault="00B2582F" w:rsidP="002A154B">
                      <w:pPr>
                        <w:rPr>
                          <w:sz w:val="20"/>
                          <w:szCs w:val="20"/>
                        </w:rPr>
                      </w:pPr>
                      <w:r w:rsidRPr="00EC46A1">
                        <w:rPr>
                          <w:sz w:val="20"/>
                          <w:szCs w:val="20"/>
                        </w:rPr>
                        <w:t>No caben buenas prácticas que reseñar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0C6CFF" w:rsidRDefault="000C6CFF"/>
    <w:p w:rsidR="00F76DD5" w:rsidRDefault="00F76DD5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r w:rsidR="00F76DD5">
        <w:t>la Confederación de Centros de Desarrollo Rural</w:t>
      </w:r>
      <w:r w:rsidRPr="00CA6E55">
        <w:t>, en función de la información disponible en su web, alcanza el</w:t>
      </w:r>
      <w:r w:rsidR="00EC46A1">
        <w:t xml:space="preserve"> </w:t>
      </w:r>
      <w:r w:rsidR="00D908BB">
        <w:t>45,4</w:t>
      </w:r>
      <w:bookmarkStart w:id="0" w:name="_GoBack"/>
      <w:bookmarkEnd w:id="0"/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r w:rsidR="00F76DD5">
        <w:t>la Confederación de Centros de Desarrollo Rural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F76DD5" w:rsidP="00BE2197">
      <w:pPr>
        <w:spacing w:before="120" w:after="120" w:line="312" w:lineRule="auto"/>
        <w:jc w:val="both"/>
      </w:pPr>
      <w:r>
        <w:rPr>
          <w:rFonts w:cs="Calibri"/>
          <w:color w:val="000000"/>
        </w:rPr>
        <w:t>La Confederación de Centros de Desarrollo Rural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 xml:space="preserve">debería </w:t>
      </w:r>
      <w:r>
        <w:t>estructurar su Portal de Transparencia</w:t>
      </w:r>
      <w:r w:rsidR="00BE2197" w:rsidRPr="00BF1400">
        <w:t xml:space="preserve"> conforme al patrón que establece la LTAIBG: Información Institucional y Organizativa; e Información Económica y Presupuestaria.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Pr="00BF1400" w:rsidRDefault="00EC46A1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lang w:eastAsia="en-US" w:bidi="es-ES"/>
        </w:rPr>
        <w:t>D</w:t>
      </w:r>
      <w:r w:rsidR="00BE2197" w:rsidRPr="00BF1400">
        <w:rPr>
          <w:rFonts w:eastAsiaTheme="minorHAnsi" w:cs="Arial"/>
          <w:lang w:eastAsia="en-US" w:bidi="es-ES"/>
        </w:rPr>
        <w:t>ebe</w:t>
      </w:r>
      <w:r w:rsidR="00BE2197">
        <w:rPr>
          <w:rFonts w:eastAsiaTheme="minorHAnsi" w:cs="Arial"/>
          <w:lang w:eastAsia="en-US" w:bidi="es-ES"/>
        </w:rPr>
        <w:t xml:space="preserve"> publicarse una descripción de su estructura organizativa.</w:t>
      </w:r>
    </w:p>
    <w:p w:rsidR="00894BD4" w:rsidRDefault="00894BD4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F76DD5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:rsidR="00894BD4" w:rsidRDefault="00894BD4" w:rsidP="00F76DD5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lastRenderedPageBreak/>
        <w:t xml:space="preserve">Debe </w:t>
      </w:r>
      <w:r w:rsidR="00EC46A1">
        <w:rPr>
          <w:rFonts w:eastAsia="Times New Roman" w:cs="Arial"/>
          <w:bCs/>
          <w:szCs w:val="36"/>
        </w:rPr>
        <w:t>actualizarse la</w:t>
      </w:r>
      <w:r>
        <w:rPr>
          <w:rFonts w:eastAsia="Times New Roman" w:cs="Arial"/>
          <w:bCs/>
          <w:szCs w:val="36"/>
        </w:rPr>
        <w:t xml:space="preserve"> información sobre subvenciones y ayudas públicas percibidas.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 xml:space="preserve"> Debe publicarse información sobre el presupuesto.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cs="Arial"/>
        </w:rPr>
      </w:pPr>
      <w:r w:rsidRPr="00BF1400">
        <w:rPr>
          <w:rFonts w:cs="Arial"/>
          <w:bCs/>
        </w:rPr>
        <w:t>Deben publicarse los i</w:t>
      </w:r>
      <w:r w:rsidRPr="00BF1400">
        <w:rPr>
          <w:rFonts w:cs="Arial"/>
        </w:rPr>
        <w:t xml:space="preserve">nformes de auditoría de cuentas 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0" w:line="240" w:lineRule="auto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894BD4" w:rsidRPr="00BF1400" w:rsidRDefault="00894BD4" w:rsidP="00894BD4">
      <w:pPr>
        <w:spacing w:line="240" w:lineRule="auto"/>
        <w:rPr>
          <w:rFonts w:cs="Arial"/>
          <w:bCs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BE510E" w:rsidRPr="00BF1400" w:rsidRDefault="00894BD4" w:rsidP="00BE510E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BE510E" w:rsidRPr="00BE510E">
        <w:rPr>
          <w:rFonts w:eastAsiaTheme="minorHAnsi"/>
          <w:szCs w:val="24"/>
          <w:lang w:eastAsia="en-US"/>
        </w:rPr>
        <w:t xml:space="preserve"> </w:t>
      </w:r>
      <w:r w:rsidR="00BE510E">
        <w:rPr>
          <w:rFonts w:eastAsiaTheme="minorHAnsi"/>
          <w:szCs w:val="24"/>
          <w:lang w:eastAsia="en-US"/>
        </w:rPr>
        <w:t>Para ello bastaría con que la fecha de la última revisión o actualización de la información se publique en la página inicial del Portal de Transparencia.</w:t>
      </w:r>
    </w:p>
    <w:p w:rsidR="00BE510E" w:rsidRPr="00BF1400" w:rsidRDefault="00BE510E" w:rsidP="00BE510E">
      <w:pPr>
        <w:spacing w:before="120" w:after="120" w:line="24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BE510E" w:rsidRDefault="00BE510E" w:rsidP="00BE510E">
      <w:pPr>
        <w:numPr>
          <w:ilvl w:val="0"/>
          <w:numId w:val="20"/>
        </w:numPr>
        <w:contextualSpacing/>
        <w:jc w:val="both"/>
      </w:pPr>
      <w:r w:rsidRPr="009E35FC"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EC46A1" w:rsidRPr="00EC46A1" w:rsidRDefault="00EC46A1" w:rsidP="00BE510E">
      <w:pPr>
        <w:spacing w:before="120" w:after="120"/>
        <w:ind w:left="714"/>
        <w:contextualSpacing/>
        <w:jc w:val="both"/>
        <w:rPr>
          <w:rFonts w:eastAsiaTheme="minorHAnsi"/>
          <w:szCs w:val="24"/>
          <w:lang w:eastAsia="en-US"/>
        </w:rPr>
      </w:pPr>
    </w:p>
    <w:p w:rsidR="00A55F6E" w:rsidRPr="00A55F6E" w:rsidRDefault="00A55F6E" w:rsidP="00F76DD5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704CD9" w:rsidRPr="00704CD9" w:rsidRDefault="00704CD9" w:rsidP="00704CD9"/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EC46A1">
        <w:t>julio</w:t>
      </w:r>
      <w:r w:rsidR="005B3AEE">
        <w:t xml:space="preserve"> 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EC46A1" w:rsidRDefault="00EC46A1" w:rsidP="00FC4E4F">
      <w:pPr>
        <w:jc w:val="right"/>
      </w:pPr>
    </w:p>
    <w:p w:rsidR="00EC46A1" w:rsidRDefault="00EC46A1" w:rsidP="00FC4E4F">
      <w:pPr>
        <w:jc w:val="right"/>
      </w:pPr>
    </w:p>
    <w:p w:rsidR="00EC46A1" w:rsidRDefault="00EC46A1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894BD4" w:rsidRDefault="00894BD4" w:rsidP="00FC4E4F">
      <w:pPr>
        <w:jc w:val="right"/>
      </w:pPr>
    </w:p>
    <w:p w:rsidR="00894BD4" w:rsidRDefault="00894BD4" w:rsidP="00FC4E4F">
      <w:pPr>
        <w:jc w:val="right"/>
      </w:pPr>
    </w:p>
    <w:p w:rsidR="001F645B" w:rsidRPr="001F645B" w:rsidRDefault="00B2582F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82F" w:rsidRDefault="00B2582F" w:rsidP="00932008">
      <w:pPr>
        <w:spacing w:after="0" w:line="240" w:lineRule="auto"/>
      </w:pPr>
      <w:r>
        <w:separator/>
      </w:r>
    </w:p>
  </w:endnote>
  <w:endnote w:type="continuationSeparator" w:id="0">
    <w:p w:rsidR="00B2582F" w:rsidRDefault="00B2582F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82F" w:rsidRDefault="00B2582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82F" w:rsidRDefault="00B2582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82F" w:rsidRDefault="00B258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82F" w:rsidRDefault="00B2582F" w:rsidP="00932008">
      <w:pPr>
        <w:spacing w:after="0" w:line="240" w:lineRule="auto"/>
      </w:pPr>
      <w:r>
        <w:separator/>
      </w:r>
    </w:p>
  </w:footnote>
  <w:footnote w:type="continuationSeparator" w:id="0">
    <w:p w:rsidR="00B2582F" w:rsidRDefault="00B2582F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82F" w:rsidRDefault="00B2582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391" o:spid="_x0000_s4301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82F" w:rsidRDefault="00B2582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392" o:spid="_x0000_s4301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82F" w:rsidRDefault="00B2582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390" o:spid="_x0000_s4300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9" type="#_x0000_t75" style="width:9pt;height:9pt" o:bullet="t">
        <v:imagedata r:id="rId1" o:title="BD14533_"/>
      </v:shape>
    </w:pict>
  </w:numPicBullet>
  <w:numPicBullet w:numPicBulletId="1">
    <w:pict>
      <v:shape id="_x0000_i1400" type="#_x0000_t75" style="width:11.25pt;height:11.25pt" o:bullet="t">
        <v:imagedata r:id="rId2" o:title="BD14654_"/>
      </v:shape>
    </w:pict>
  </w:numPicBullet>
  <w:numPicBullet w:numPicBulletId="2">
    <w:pict>
      <v:shape id="_x0000_i1401" type="#_x0000_t75" style="width:9pt;height:9pt" o:bullet="t">
        <v:imagedata r:id="rId3" o:title="BD21296_"/>
      </v:shape>
    </w:pict>
  </w:numPicBullet>
  <w:numPicBullet w:numPicBulletId="3">
    <w:pict>
      <v:shape id="_x0000_i1402" type="#_x0000_t75" style="width:9pt;height:9pt" o:bullet="t">
        <v:imagedata r:id="rId4" o:title="BD14533_"/>
      </v:shape>
    </w:pict>
  </w:numPicBullet>
  <w:numPicBullet w:numPicBulletId="4">
    <w:pict>
      <v:shape id="_x0000_i1403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5B72D9"/>
    <w:multiLevelType w:val="hybridMultilevel"/>
    <w:tmpl w:val="956E1BAA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0D4682"/>
    <w:multiLevelType w:val="hybridMultilevel"/>
    <w:tmpl w:val="6BBC792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D7861"/>
    <w:multiLevelType w:val="hybridMultilevel"/>
    <w:tmpl w:val="E250D5F4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91711"/>
    <w:multiLevelType w:val="hybridMultilevel"/>
    <w:tmpl w:val="5EFED1EC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51DE1"/>
    <w:multiLevelType w:val="hybridMultilevel"/>
    <w:tmpl w:val="2196E1A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75D2845"/>
    <w:multiLevelType w:val="hybridMultilevel"/>
    <w:tmpl w:val="797E6A68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3"/>
  </w:num>
  <w:num w:numId="4">
    <w:abstractNumId w:val="16"/>
  </w:num>
  <w:num w:numId="5">
    <w:abstractNumId w:val="14"/>
  </w:num>
  <w:num w:numId="6">
    <w:abstractNumId w:val="17"/>
  </w:num>
  <w:num w:numId="7">
    <w:abstractNumId w:val="25"/>
  </w:num>
  <w:num w:numId="8">
    <w:abstractNumId w:val="27"/>
  </w:num>
  <w:num w:numId="9">
    <w:abstractNumId w:val="6"/>
  </w:num>
  <w:num w:numId="10">
    <w:abstractNumId w:val="21"/>
  </w:num>
  <w:num w:numId="11">
    <w:abstractNumId w:val="13"/>
  </w:num>
  <w:num w:numId="12">
    <w:abstractNumId w:val="0"/>
  </w:num>
  <w:num w:numId="13">
    <w:abstractNumId w:val="7"/>
  </w:num>
  <w:num w:numId="14">
    <w:abstractNumId w:val="20"/>
  </w:num>
  <w:num w:numId="15">
    <w:abstractNumId w:val="12"/>
  </w:num>
  <w:num w:numId="16">
    <w:abstractNumId w:val="11"/>
  </w:num>
  <w:num w:numId="17">
    <w:abstractNumId w:val="23"/>
  </w:num>
  <w:num w:numId="18">
    <w:abstractNumId w:val="15"/>
  </w:num>
  <w:num w:numId="19">
    <w:abstractNumId w:val="9"/>
  </w:num>
  <w:num w:numId="20">
    <w:abstractNumId w:val="26"/>
  </w:num>
  <w:num w:numId="21">
    <w:abstractNumId w:val="10"/>
  </w:num>
  <w:num w:numId="22">
    <w:abstractNumId w:val="4"/>
  </w:num>
  <w:num w:numId="23">
    <w:abstractNumId w:val="24"/>
  </w:num>
  <w:num w:numId="24">
    <w:abstractNumId w:val="22"/>
  </w:num>
  <w:num w:numId="25">
    <w:abstractNumId w:val="2"/>
  </w:num>
  <w:num w:numId="26">
    <w:abstractNumId w:val="5"/>
  </w:num>
  <w:num w:numId="27">
    <w:abstractNumId w:val="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  <o:shapelayout v:ext="edit">
      <o:idmap v:ext="edit" data="4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C6CFF"/>
    <w:rsid w:val="0010045F"/>
    <w:rsid w:val="00102733"/>
    <w:rsid w:val="001216D4"/>
    <w:rsid w:val="00121FBA"/>
    <w:rsid w:val="001561A4"/>
    <w:rsid w:val="00175C2F"/>
    <w:rsid w:val="001B3851"/>
    <w:rsid w:val="001F645B"/>
    <w:rsid w:val="00272D2D"/>
    <w:rsid w:val="00295EEB"/>
    <w:rsid w:val="002A154B"/>
    <w:rsid w:val="002C0A99"/>
    <w:rsid w:val="002D0E9C"/>
    <w:rsid w:val="00326862"/>
    <w:rsid w:val="00361AC5"/>
    <w:rsid w:val="0036594B"/>
    <w:rsid w:val="00382D7B"/>
    <w:rsid w:val="003F05F5"/>
    <w:rsid w:val="003F271E"/>
    <w:rsid w:val="003F572A"/>
    <w:rsid w:val="00454391"/>
    <w:rsid w:val="00456EA7"/>
    <w:rsid w:val="0046707B"/>
    <w:rsid w:val="004D4907"/>
    <w:rsid w:val="004F2655"/>
    <w:rsid w:val="004F3953"/>
    <w:rsid w:val="00521DA9"/>
    <w:rsid w:val="00536ED0"/>
    <w:rsid w:val="00544E0C"/>
    <w:rsid w:val="005611FE"/>
    <w:rsid w:val="00561402"/>
    <w:rsid w:val="00571438"/>
    <w:rsid w:val="0057532F"/>
    <w:rsid w:val="005B13BD"/>
    <w:rsid w:val="005B3AEE"/>
    <w:rsid w:val="005B6CF5"/>
    <w:rsid w:val="005C08C2"/>
    <w:rsid w:val="005C14C5"/>
    <w:rsid w:val="005F29B8"/>
    <w:rsid w:val="00676C76"/>
    <w:rsid w:val="006A2766"/>
    <w:rsid w:val="006B3064"/>
    <w:rsid w:val="006C1999"/>
    <w:rsid w:val="006E708E"/>
    <w:rsid w:val="00704CD9"/>
    <w:rsid w:val="00710031"/>
    <w:rsid w:val="00743756"/>
    <w:rsid w:val="007A488E"/>
    <w:rsid w:val="007B0F99"/>
    <w:rsid w:val="007D1EA8"/>
    <w:rsid w:val="008063AC"/>
    <w:rsid w:val="00814E93"/>
    <w:rsid w:val="00843911"/>
    <w:rsid w:val="00844FA9"/>
    <w:rsid w:val="008640BD"/>
    <w:rsid w:val="0089480B"/>
    <w:rsid w:val="00894BD4"/>
    <w:rsid w:val="008C1E1E"/>
    <w:rsid w:val="008E49C3"/>
    <w:rsid w:val="008F044E"/>
    <w:rsid w:val="009000D9"/>
    <w:rsid w:val="00905D36"/>
    <w:rsid w:val="00932008"/>
    <w:rsid w:val="009609E9"/>
    <w:rsid w:val="0096428E"/>
    <w:rsid w:val="009F1191"/>
    <w:rsid w:val="00A122E8"/>
    <w:rsid w:val="00A55F6E"/>
    <w:rsid w:val="00AB3044"/>
    <w:rsid w:val="00AC12DB"/>
    <w:rsid w:val="00AD2022"/>
    <w:rsid w:val="00AE06DF"/>
    <w:rsid w:val="00AE557E"/>
    <w:rsid w:val="00AF3D56"/>
    <w:rsid w:val="00AF45DD"/>
    <w:rsid w:val="00B14CA2"/>
    <w:rsid w:val="00B213ED"/>
    <w:rsid w:val="00B2582F"/>
    <w:rsid w:val="00B35A03"/>
    <w:rsid w:val="00B35B7B"/>
    <w:rsid w:val="00B40246"/>
    <w:rsid w:val="00B53D32"/>
    <w:rsid w:val="00B841AE"/>
    <w:rsid w:val="00B8465C"/>
    <w:rsid w:val="00BA397C"/>
    <w:rsid w:val="00BB6799"/>
    <w:rsid w:val="00BD4582"/>
    <w:rsid w:val="00BE2197"/>
    <w:rsid w:val="00BE510E"/>
    <w:rsid w:val="00BE6A46"/>
    <w:rsid w:val="00C33A23"/>
    <w:rsid w:val="00C44DD3"/>
    <w:rsid w:val="00C5416F"/>
    <w:rsid w:val="00C55BB1"/>
    <w:rsid w:val="00C5744D"/>
    <w:rsid w:val="00C727F4"/>
    <w:rsid w:val="00C857F7"/>
    <w:rsid w:val="00C94871"/>
    <w:rsid w:val="00CB45FC"/>
    <w:rsid w:val="00CB5511"/>
    <w:rsid w:val="00CC2049"/>
    <w:rsid w:val="00D46C93"/>
    <w:rsid w:val="00D908BB"/>
    <w:rsid w:val="00D96F84"/>
    <w:rsid w:val="00DA702C"/>
    <w:rsid w:val="00DD2A83"/>
    <w:rsid w:val="00DF63E7"/>
    <w:rsid w:val="00E06E03"/>
    <w:rsid w:val="00E10590"/>
    <w:rsid w:val="00E141A5"/>
    <w:rsid w:val="00E3088D"/>
    <w:rsid w:val="00E34195"/>
    <w:rsid w:val="00E47613"/>
    <w:rsid w:val="00E67A3E"/>
    <w:rsid w:val="00EB3495"/>
    <w:rsid w:val="00EC39D5"/>
    <w:rsid w:val="00EC46A1"/>
    <w:rsid w:val="00EE1C8D"/>
    <w:rsid w:val="00EE420B"/>
    <w:rsid w:val="00F14DA4"/>
    <w:rsid w:val="00F27CB9"/>
    <w:rsid w:val="00F42079"/>
    <w:rsid w:val="00F47C3B"/>
    <w:rsid w:val="00F579EB"/>
    <w:rsid w:val="00F71D7D"/>
    <w:rsid w:val="00F73FBC"/>
    <w:rsid w:val="00F76DD5"/>
    <w:rsid w:val="00F86B85"/>
    <w:rsid w:val="00FA7C0C"/>
    <w:rsid w:val="00FB2688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7.tmp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www.coceder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elsabarcelona.com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6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36D1F"/>
    <w:rsid w:val="0013771E"/>
    <w:rsid w:val="00215B4A"/>
    <w:rsid w:val="003D088C"/>
    <w:rsid w:val="00543E16"/>
    <w:rsid w:val="005B0190"/>
    <w:rsid w:val="008F4F2E"/>
    <w:rsid w:val="00AB6DFB"/>
    <w:rsid w:val="00AC3AC2"/>
    <w:rsid w:val="00B76BBA"/>
    <w:rsid w:val="00D051CA"/>
    <w:rsid w:val="00D35513"/>
    <w:rsid w:val="00D658EF"/>
    <w:rsid w:val="00DE55C7"/>
    <w:rsid w:val="00E2366A"/>
    <w:rsid w:val="00F2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2E3538-0EDA-4081-B79D-6D968F46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4108</TotalTime>
  <Pages>9</Pages>
  <Words>1909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8</cp:revision>
  <cp:lastPrinted>2022-05-12T06:51:00Z</cp:lastPrinted>
  <dcterms:created xsi:type="dcterms:W3CDTF">2023-06-16T12:07:00Z</dcterms:created>
  <dcterms:modified xsi:type="dcterms:W3CDTF">2023-09-12T14:32:00Z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