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B1C59" w:rsidRPr="00006957" w:rsidRDefault="002B1C5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2B1C59" w:rsidRPr="00006957" w:rsidRDefault="002B1C5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1C59" w:rsidRDefault="002B1C5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B1C59" w:rsidRDefault="002B1C5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A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Ayuda en acción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EE358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03/07</w:t>
            </w:r>
            <w:r w:rsidR="00C727F4">
              <w:rPr>
                <w:sz w:val="24"/>
                <w:szCs w:val="24"/>
              </w:rPr>
              <w:t>/2023</w:t>
            </w:r>
          </w:p>
          <w:p w:rsidR="00D14BCC" w:rsidRPr="00CB5511" w:rsidRDefault="00D14BC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22/08/2023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A665B" w:rsidRPr="00CB5511" w:rsidRDefault="00464EFA" w:rsidP="002A665B">
            <w:pPr>
              <w:rPr>
                <w:sz w:val="24"/>
                <w:szCs w:val="24"/>
              </w:rPr>
            </w:pPr>
            <w:hyperlink r:id="rId12" w:history="1">
              <w:r w:rsidR="002A665B" w:rsidRPr="00C81232">
                <w:rPr>
                  <w:rStyle w:val="Hipervnculo"/>
                  <w:sz w:val="24"/>
                  <w:szCs w:val="24"/>
                </w:rPr>
                <w:t>https://ayudaenaccion.org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64EF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2A665B" w:rsidP="002A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accede al Portal de Transparencia a través del enlace Conócenos de la página home.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2A665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2A665B" w:rsidP="002A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Portal de Transparencia se estructura en seis apartados: Transparencia, </w:t>
            </w:r>
            <w:proofErr w:type="spellStart"/>
            <w:r>
              <w:rPr>
                <w:sz w:val="20"/>
                <w:szCs w:val="20"/>
              </w:rPr>
              <w:t>Compliance</w:t>
            </w:r>
            <w:proofErr w:type="spellEnd"/>
            <w:r>
              <w:rPr>
                <w:sz w:val="20"/>
                <w:szCs w:val="20"/>
              </w:rPr>
              <w:t>, Canal de denuncias, Memorias y cuentas anuales, Licitaciones y Evaluaciones externas.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2A665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2A665B" w:rsidP="00AF3D56">
      <w:pPr>
        <w:jc w:val="center"/>
      </w:pPr>
      <w:r>
        <w:rPr>
          <w:noProof/>
        </w:rPr>
        <w:drawing>
          <wp:inline distT="0" distB="0" distL="0" distR="0">
            <wp:extent cx="6645910" cy="2371725"/>
            <wp:effectExtent l="0" t="0" r="254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CEA5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1D1A98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D1A98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D1A9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Transparencia/Transparencia.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D1A98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D1A9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D14BC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</w:t>
            </w:r>
            <w:r w:rsidR="00D14B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acceso Nuestro Trabajo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D1A98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D14BCC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Aunque en el Portal de Transparencia </w:t>
            </w:r>
            <w:r w:rsidR="00D14B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 apartado denominado Estructura organizativa, lo que </w:t>
            </w:r>
            <w:r w:rsidR="00D14BC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 el organigrama de la entidad. La obligación no puede darse por cumplida porque la Ley especifica que la descripción de la estructura organizativa y el organigrama son obligaciones diferenciadas.</w:t>
            </w:r>
          </w:p>
        </w:tc>
      </w:tr>
      <w:tr w:rsidR="00E34195" w:rsidRPr="00CB5511" w:rsidTr="001D1A9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D1A9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D1A98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de planificación/Organigrama. La información no está datada ni existen referencias a la última vez que se revisó o actualizó.</w:t>
            </w:r>
          </w:p>
        </w:tc>
      </w:tr>
      <w:tr w:rsidR="00B213ED" w:rsidRPr="00CB5511" w:rsidTr="001D1A9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97F4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97F42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de planificación/Equipo directivo y patronato. La información no está datada ni existen referencias a la última vez que se revisó o actualizó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1D1A98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97F4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97F42" w:rsidP="00797F42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 y de planificación/Equipo directivo y patronato. La información no está datada ni existen referencias a la última vez que se revisó o actualizó.</w:t>
            </w:r>
          </w:p>
        </w:tc>
      </w:tr>
    </w:tbl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0764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B1C59" w:rsidRPr="00026650" w:rsidRDefault="002B1C59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B1C59" w:rsidRDefault="002B1C5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2B1C59" w:rsidRPr="00C64E27" w:rsidRDefault="002B1C59" w:rsidP="00797F4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64E27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2B1C59" w:rsidRPr="00797F42" w:rsidRDefault="002B1C59" w:rsidP="00797F4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797F42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63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sALQIAAFUEAAAOAAAAZHJzL2Uyb0RvYy54bWysVNtu2zAMfR+wfxD0vthJk16MOEWXLsOA&#10;7gJ0+wBakmNhsuhJSuzs60vJaRZ028swPwiiSB2R55Be3g6tYXvlvEZb8ukk50xZgVLbbcm/fd28&#10;uebMB7ASDFpV8oPy/Hb1+tWy7wo1wwaNVI4RiPVF35W8CaErssyLRrXgJ9gpS84aXQuBTLfNpIOe&#10;0FuTzfL8MuvRyc6hUN7T6f3o5KuEX9dKhM917VVgpuSUW0irS2sV12y1hGLroGu0OKYB/5BFC9rS&#10;oyeoewjAdk7/BtVq4dBjHSYC2wzrWguVaqBqpvmLah4b6FSqhcjx3Ykm//9gxaf9F8e0LPlFfsWZ&#10;hZZEWu9AOmRSsaCGgGwWaeo7X1D0Y0fxYXiLA8mdSvbdA4rvnllcN2C36s457BsFktKcxpvZ2dUR&#10;x0eQqv+Ikl6DXcAENNSujRwSK4zQSa7DSSLKgwk6XCzym8XsgjNBvll+dTlfJBEzKJ6vd86H9wpb&#10;Fjcld9QDCR72Dz7EdKB4DomveTRabrQxyXDbam0c2wP1yyZ9qYIXYcayvuSUyGJk4K8Qefr+BNHq&#10;QI1vdFvy61MQFJG3d1amtgygzbinlI09Ehm5G1kMQzUk6U76VCgPxKzDsc9pLmnToPvJWU89XnL/&#10;YwdOcWY+WFLnZjqfx6FIxnxxNSPDnXuqcw9YQVAlD5yN23VIgxR5s3hHKtY68RvlHjM5pky9m2g/&#10;zlkcjnM7Rf36G6yeAAAA//8DAFBLAwQUAAYACAAAACEA5dQgBNwAAAAFAQAADwAAAGRycy9kb3du&#10;cmV2LnhtbEyPQUvEMBCF74L/IYzgRdzUXWlr7XQRQdGbrqLXbDPbFpNJTbLd+u+NXvQy8HiP976p&#10;17M1YiIfBscIF4sMBHHr9MAdwuvL3XkJIkTFWhnHhPBFAdbN8VGtKu0O/EzTJnYilXCoFEIf41hJ&#10;GdqerAoLNxInb+e8VTFJ30nt1SGVWyOXWZZLqwZOC70a6ban9mOztwjl5cP0Hh5XT29tvjNX8ayY&#10;7j894unJfHMNItIc/8Lwg5/QoUlMW7dnHYRBSI/E35u8Mi9yEFuE1bLIQDa1/E/ffAMAAP//AwBQ&#10;SwECLQAUAAYACAAAACEAtoM4kv4AAADhAQAAEwAAAAAAAAAAAAAAAAAAAAAAW0NvbnRlbnRfVHlw&#10;ZXNdLnhtbFBLAQItABQABgAIAAAAIQA4/SH/1gAAAJQBAAALAAAAAAAAAAAAAAAAAC8BAABfcmVs&#10;cy8ucmVsc1BLAQItABQABgAIAAAAIQAZnCsALQIAAFUEAAAOAAAAAAAAAAAAAAAAAC4CAABkcnMv&#10;ZTJvRG9jLnhtbFBLAQItABQABgAIAAAAIQDl1CAE3AAAAAUBAAAPAAAAAAAAAAAAAAAAAIcEAABk&#10;cnMvZG93bnJldi54bWxQSwUGAAAAAAQABADzAAAAkAUAAAAA&#10;">
                <v:textbox>
                  <w:txbxContent>
                    <w:p w:rsidR="002B1C59" w:rsidRDefault="002B1C5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B1C59" w:rsidRPr="00026650" w:rsidRDefault="002B1C59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2B1C59" w:rsidRDefault="002B1C5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2B1C59" w:rsidRPr="00C64E27" w:rsidRDefault="002B1C59" w:rsidP="00797F42">
                      <w:pPr>
                        <w:rPr>
                          <w:b/>
                          <w:color w:val="00642D"/>
                        </w:rPr>
                      </w:pPr>
                      <w:r w:rsidRPr="00C64E27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2B1C59" w:rsidRPr="00797F42" w:rsidRDefault="002B1C59" w:rsidP="00797F4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797F42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</w:p>
    <w:p w:rsidR="00797F42" w:rsidRDefault="00797F42">
      <w:pPr>
        <w:rPr>
          <w:rStyle w:val="Ttulo2Car"/>
          <w:lang w:bidi="es-ES"/>
        </w:rPr>
      </w:pPr>
    </w:p>
    <w:p w:rsidR="00797F42" w:rsidRDefault="00797F42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464EFA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AC4302" w:rsidP="00464EF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</w:t>
            </w:r>
            <w:r w:rsidR="003E5D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 Portal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 Transparencia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 apartado denominado </w:t>
            </w:r>
            <w:r w:rsidR="003E5DC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Contratos y subvenciones con la Administración pública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</w:t>
            </w:r>
            <w:r w:rsidR="00464EF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 sobre contratos adjudicados por administraciones públicas.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También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 apartado en el Portal de Transparencia denominado Licitaciones</w:t>
            </w:r>
            <w:r w:rsidR="007A032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, que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publica</w:t>
            </w:r>
            <w:r w:rsidR="007A032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las licitaciones </w:t>
            </w:r>
            <w:r w:rsidR="00C82B7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realizadas por la entidad, pero no los contratos adjudicados por administraciones públicas</w:t>
            </w:r>
            <w:r w:rsidR="007A032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AC430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C82B70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464EFA" w:rsidP="00464EF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apartado </w:t>
            </w:r>
            <w:r w:rsidR="00AC4302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Contratos y subvenciones con la Administración pública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D4B2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D4B2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Transparencia/Información institucional y de planificación/Plan de actuación y presupuesto lo correspondiente a 2023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653BA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653BA1" w:rsidP="00CE7D0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Transparencia/Memorias y cuentas anuales/Cuentas anuales las correspondientes a 2022</w:t>
            </w:r>
            <w:r w:rsidR="00CE7D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7A032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7A032D" w:rsidP="00653BA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Transparencia/Memorias y cuentas anuales/Cuentas anuales las co</w:t>
            </w:r>
            <w:r w:rsidR="003D4B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rrespondientes a 202</w:t>
            </w:r>
            <w:r w:rsidR="00653BA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2</w:t>
            </w:r>
            <w:r w:rsidR="003D4B2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2B1C59" w:rsidP="00464EF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apartado Equipo Directivo y Patronato, se informa de que los miembros del patronato no perciben retribuciones, no se informa sobre las retribuciones individuales percibidas por los miembros del equipo directivo de la Fundación.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143510</wp:posOffset>
                </wp:positionV>
                <wp:extent cx="5509523" cy="23145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B1C59" w:rsidRPr="00EF7E5C" w:rsidRDefault="002B1C59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B1C59" w:rsidRDefault="002B1C5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1C59" w:rsidRDefault="002B1C5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2B1C59" w:rsidRDefault="002B1C5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miembros del equipo directivo.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25pt;margin-top:11.3pt;width:433.8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Gs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0Vs+l88WqRYkD5+LxzPrxV2LK4&#10;qbijFkjwcLj3IdKB8tElRvNotNxoY5Lhdtu1cewA1C6b9J3Qf3IzlvUVJyKLUYG/QuTp+xNEqwP1&#10;vdFtxa/OTlBG3d5YmboygDbjnigbexIyajeqGIbtkCo3iwGiyFuUR1LW4djmNJa0adB956ynFq+4&#10;/7YHpzgz7yxV53o6n8eZSAYpWZDhLm+2lzdgBUFVPHA2btchzVHUzeItVbHWSd8nJifK1LpJ9tOY&#10;xdm4tJPX089g9QMAAP//AwBQSwMEFAAGAAgAAAAhAMWAlePgAAAACgEAAA8AAABkcnMvZG93bnJl&#10;di54bWxMj8FOwzAQRO9I/IO1SFwQdZJCmoY4FUICwQ0Kgqsbb5OIeB1sNw1/z3KC42ifZt5Wm9kO&#10;YkIfekcK0kUCAqlxpqdWwdvr/WUBIkRNRg+OUME3BtjUpyeVLo070gtO29gKLqFQagVdjGMpZWg6&#10;tDos3IjEt73zVkeOvpXG6yOX20FmSZJLq3vihU6PeNdh87k9WAXF1eP0EZ6Wz+9Nvh/W8WI1PXx5&#10;pc7P5tsbEBHn+AfDrz6rQ81OO3cgE8TAOc2uGVWQZTkIBtZFkoLYKVgWqxRkXcn/L9Q/AAAA//8D&#10;AFBLAQItABQABgAIAAAAIQC2gziS/gAAAOEBAAATAAAAAAAAAAAAAAAAAAAAAABbQ29udGVudF9U&#10;eXBlc10ueG1sUEsBAi0AFAAGAAgAAAAhADj9If/WAAAAlAEAAAsAAAAAAAAAAAAAAAAALwEAAF9y&#10;ZWxzLy5yZWxzUEsBAi0AFAAGAAgAAAAhAJe9oawrAgAAVAQAAA4AAAAAAAAAAAAAAAAALgIAAGRy&#10;cy9lMm9Eb2MueG1sUEsBAi0AFAAGAAgAAAAhAMWAlePgAAAACgEAAA8AAAAAAAAAAAAAAAAAhQQA&#10;AGRycy9kb3ducmV2LnhtbFBLBQYAAAAABAAEAPMAAACSBQAAAAA=&#10;">
                <v:textbox>
                  <w:txbxContent>
                    <w:p w:rsidR="002B1C59" w:rsidRDefault="002B1C59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B1C59" w:rsidRPr="00EF7E5C" w:rsidRDefault="002B1C59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2B1C59" w:rsidRDefault="002B1C5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B1C59" w:rsidRDefault="002B1C5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2B1C59" w:rsidRDefault="002B1C5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miembros del equipo directivo.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CB1D3B" w:rsidRDefault="00CB1D3B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653BA1" w:rsidRDefault="00653BA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B1C59" w:rsidRPr="00FD0689" w:rsidTr="002B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B1C59" w:rsidRPr="00FD0689" w:rsidRDefault="002B1C59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69,0</w:t>
            </w:r>
          </w:p>
        </w:tc>
      </w:tr>
      <w:tr w:rsidR="002B1C59" w:rsidRPr="00FD0689" w:rsidTr="002B1C5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B1C59" w:rsidRPr="00FD0689" w:rsidRDefault="002B1C59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B1C59">
              <w:rPr>
                <w:sz w:val="16"/>
              </w:rPr>
              <w:t>50,0</w:t>
            </w:r>
          </w:p>
        </w:tc>
      </w:tr>
      <w:tr w:rsidR="002B1C59" w:rsidRPr="00A94BCA" w:rsidTr="002B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B1C59" w:rsidRPr="002A154B" w:rsidRDefault="002B1C59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2B1C59" w:rsidRPr="002B1C59" w:rsidRDefault="002B1C59" w:rsidP="002B1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B1C59">
              <w:rPr>
                <w:b/>
                <w:i/>
                <w:sz w:val="16"/>
              </w:rPr>
              <w:t>58,2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lastRenderedPageBreak/>
        <w:t xml:space="preserve">El Índice de Cumplimiento de la Información Obligatoria (ICIO) se sitúa en el </w:t>
      </w:r>
      <w:r w:rsidR="002B1C59">
        <w:t>58,2</w:t>
      </w:r>
      <w:r w:rsidRPr="00A63D61">
        <w:t xml:space="preserve">%. La falta de publicación de contenidos obligatorios – no se publica el </w:t>
      </w:r>
      <w:r w:rsidR="002B1C59">
        <w:t>35,7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2383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B1C59" w:rsidRDefault="002B1C59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Ayuda en acción</w:t>
                            </w:r>
                            <w:r w:rsidR="00464EF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publica informaciones adicionales a las obligatorias que son relevantes desde el punto de vista de la transparencia y la rendición de cuentas: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E3B19">
                              <w:rPr>
                                <w:sz w:val="20"/>
                                <w:szCs w:val="20"/>
                              </w:rPr>
                              <w:t>Estrategia institucional 2023-2025.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Estrategia de educación para la ciudadanía global 2030.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 corporativa.</w:t>
                            </w:r>
                          </w:p>
                          <w:p w:rsidR="00FA0630" w:rsidRDefault="00FA0630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Política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Compliance</w:t>
                            </w:r>
                            <w:proofErr w:type="spellEnd"/>
                          </w:p>
                          <w:p w:rsidR="00FA0630" w:rsidRDefault="00FA0630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2B1C5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Memoria anual 2021 (en diferentes idiomas).</w:t>
                            </w:r>
                          </w:p>
                          <w:p w:rsidR="002B1C59" w:rsidRPr="009E3B19" w:rsidRDefault="002B1C59" w:rsidP="007A032D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Evaluaciones </w:t>
                            </w:r>
                            <w:r w:rsidR="00FA0630">
                              <w:rPr>
                                <w:sz w:val="20"/>
                                <w:szCs w:val="20"/>
                              </w:rPr>
                              <w:t>externas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76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2hLAIAAFMEAAAOAAAAZHJzL2Uyb0RvYy54bWysVNtu2zAMfR+wfxD0vjhxkzQx4hRdugwD&#10;ugvQ7QMYSY6FyaInKbG7rx8lp2l2exnmB4EUqUPykPTqpm8MOyrnNdqST0ZjzpQVKLXdl/zL5+2r&#10;BWc+gJVg0KqSPyrPb9YvX6y6tlA51mikcoxArC+6tuR1CG2RZV7UqgE/wlZZMlboGgikun0mHXSE&#10;3pgsH4/nWYdOtg6F8p5u7wYjXyf8qlIifKwqrwIzJafcQjpdOnfxzNYrKPYO2lqLUxrwD1k0oC0F&#10;PUPdQQB2cPo3qEYLhx6rMBLYZFhVWqhUA1UzGf9SzUMNrUq1EDm+PdPk/x+s+HD85JiWJZ9xZqGh&#10;Fm0OIB0yqVhQfUCWR5K61hfk+9CSd+hfY0/NTgX79h7FV88sbmqwe3XrHHa1AklJTuLL7OLpgOMj&#10;yK57j5KiwSFgAuor10QGiRNG6NSsx3ODKA8m6HKez6fLCZkE2fL8anF1PUsxoHh63jof3ipsWBRK&#10;7mgCEjwc732I6UDx5BKjeTRabrUxSXH73cY4dgSalm36Tug/uRnLupIvZ/lsYOCvEOP0/Qmi0YHG&#10;3uim5IuzExSRtzdWpqEMoM0gU8rGnoiM3A0shn7Xp8ZNY4BI8g7lIzHrcJhy2koSanTfOetowkvu&#10;vx3AKc7MO0vdWU6m07gSSZnOrnNS3KVld2kBKwiq5IGzQdyEtEaRN4u31MVKJ36fMzmlTJObaD9t&#10;WVyNSz15Pf8L1j8AAAD//wMAUEsDBBQABgAIAAAAIQDcahOk3QAAAAUBAAAPAAAAZHJzL2Rvd25y&#10;ZXYueG1sTI/BTsMwEETvSPyDtUhcEHVoaUhDnAohgeAGBcHVjbdJhL0O9jYNf4/hApeVRjOaeVut&#10;J2fFiCH2nhRczDIQSI03PbUKXl/uzgsQkTUZbT2hgi+MsK6PjypdGn+gZxw33IpUQrHUCjrmoZQy&#10;Nh06HWd+QErezgenOcnQShP0IZU7K+dZlkune0oLnR7wtsPmY7N3CorLh/E9Pi6e3pp8Z1d8djXe&#10;fwalTk+mm2sQjBP/heEHP6FDnZi2fk8mCqsgPcK/N3mrIs9BbBUslvMlyLqS/+nrbwAAAP//AwBQ&#10;SwECLQAUAAYACAAAACEAtoM4kv4AAADhAQAAEwAAAAAAAAAAAAAAAAAAAAAAW0NvbnRlbnRfVHlw&#10;ZXNdLnhtbFBLAQItABQABgAIAAAAIQA4/SH/1gAAAJQBAAALAAAAAAAAAAAAAAAAAC8BAABfcmVs&#10;cy8ucmVsc1BLAQItABQABgAIAAAAIQCXlU2hLAIAAFMEAAAOAAAAAAAAAAAAAAAAAC4CAABkcnMv&#10;ZTJvRG9jLnhtbFBLAQItABQABgAIAAAAIQDcahOk3QAAAAUBAAAPAAAAAAAAAAAAAAAAAIYEAABk&#10;cnMvZG93bnJldi54bWxQSwUGAAAAAAQABADzAAAAkAUAAAAA&#10;">
                <v:textbox>
                  <w:txbxContent>
                    <w:p w:rsidR="002B1C59" w:rsidRDefault="002B1C5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B1C59" w:rsidRDefault="002B1C59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Ayuda en acción</w:t>
                      </w:r>
                      <w:r w:rsidR="00464EFA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publica informaciones adicionales a las obligatorias que son relevantes desde el punto de vista de la transparencia y la rendición de cuentas: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9E3B19">
                        <w:rPr>
                          <w:sz w:val="20"/>
                          <w:szCs w:val="20"/>
                        </w:rPr>
                        <w:t>Estrategia institucional 2023-2025.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Estrategia de educación para la ciudadanía global 2030.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 corporativa.</w:t>
                      </w:r>
                    </w:p>
                    <w:p w:rsidR="00FA0630" w:rsidRDefault="00FA0630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Política de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Compliance</w:t>
                      </w:r>
                      <w:proofErr w:type="spellEnd"/>
                    </w:p>
                    <w:p w:rsidR="00FA0630" w:rsidRDefault="00FA0630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</w:t>
                      </w:r>
                    </w:p>
                    <w:p w:rsidR="002B1C5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Memoria anual 2021 (en diferentes idiomas).</w:t>
                      </w:r>
                    </w:p>
                    <w:p w:rsidR="002B1C59" w:rsidRPr="009E3B19" w:rsidRDefault="002B1C59" w:rsidP="007A032D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Evaluaciones </w:t>
                      </w:r>
                      <w:r w:rsidR="00FA0630">
                        <w:rPr>
                          <w:sz w:val="20"/>
                          <w:szCs w:val="20"/>
                        </w:rPr>
                        <w:t>externas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7A032D" w:rsidRDefault="007A032D"/>
    <w:p w:rsidR="007A032D" w:rsidRDefault="007A032D"/>
    <w:p w:rsidR="00FA0630" w:rsidRDefault="00FA0630"/>
    <w:p w:rsidR="00FA0630" w:rsidRDefault="00FA0630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59" w:rsidRDefault="002B1C5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B1C59" w:rsidRPr="009E3B19" w:rsidRDefault="00FA0630" w:rsidP="009E3B19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inclusión de textos introductorios a los diferentes apartados del Portal</w:t>
                            </w:r>
                            <w:r w:rsidR="002B1C5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2B1C59" w:rsidRDefault="002B1C5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B1C59" w:rsidRPr="009E3B19" w:rsidRDefault="00FA0630" w:rsidP="009E3B19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inclusión de textos introductorios a los diferentes apartados del Portal</w:t>
                      </w:r>
                      <w:r w:rsidR="002B1C59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9E3B19">
        <w:t>la Fundación Ayuda en acción</w:t>
      </w:r>
      <w:r w:rsidRPr="00CA6E55">
        <w:t>, en función de la información disponible en su web, alcanza el</w:t>
      </w:r>
      <w:r w:rsidR="00FA0630">
        <w:t xml:space="preserve">  58,2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9E3B19">
        <w:t>la Fundación Ayuda en acción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9E3B19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Ayuda en Acción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</w:t>
      </w:r>
      <w:r w:rsidR="00FA0630">
        <w:rPr>
          <w:rFonts w:eastAsiaTheme="majorEastAsia" w:cs="Arial"/>
          <w:bCs/>
        </w:rPr>
        <w:t>,</w:t>
      </w:r>
      <w:r w:rsidRPr="00BF1400">
        <w:rPr>
          <w:rFonts w:eastAsiaTheme="majorEastAsia" w:cs="Arial"/>
          <w:bCs/>
        </w:rPr>
        <w:t xml:space="preserve"> debería hacerse constar expresamente </w:t>
      </w:r>
      <w:r w:rsidRPr="00BF1400">
        <w:rPr>
          <w:rFonts w:eastAsiaTheme="majorEastAsia" w:cs="Arial"/>
          <w:bCs/>
        </w:rPr>
        <w:lastRenderedPageBreak/>
        <w:t>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</w:t>
      </w:r>
      <w:r w:rsidR="00FA0630">
        <w:rPr>
          <w:rFonts w:eastAsiaTheme="minorHAnsi" w:cs="Arial"/>
          <w:lang w:eastAsia="en-US" w:bidi="es-ES"/>
        </w:rPr>
        <w:t xml:space="preserve"> de la Fundación, incluyendo órganos de Gobierno y de Gestión</w:t>
      </w:r>
      <w:r>
        <w:rPr>
          <w:rFonts w:eastAsiaTheme="minorHAnsi" w:cs="Arial"/>
          <w:lang w:eastAsia="en-US" w:bidi="es-ES"/>
        </w:rPr>
        <w:t>.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 xml:space="preserve">Debe informarse sobre las retribuciones anuales percibidas por </w:t>
      </w:r>
      <w:r w:rsidR="00FA0630">
        <w:rPr>
          <w:rFonts w:cs="Arial"/>
        </w:rPr>
        <w:t>los</w:t>
      </w:r>
      <w:r w:rsidRPr="00BF1400">
        <w:rPr>
          <w:rFonts w:cs="Arial"/>
        </w:rPr>
        <w:t xml:space="preserve"> máximos responsables</w:t>
      </w:r>
      <w:r w:rsidR="00FA0630">
        <w:rPr>
          <w:rFonts w:cs="Arial"/>
        </w:rPr>
        <w:t xml:space="preserve"> de la estructura de gestión de la Fundación</w:t>
      </w:r>
      <w:r w:rsidRPr="00BF1400">
        <w:rPr>
          <w:rFonts w:cs="Arial"/>
        </w:rPr>
        <w:t>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FA0630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FA0630" w:rsidRPr="00126000" w:rsidRDefault="00894BD4" w:rsidP="00FA063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FA0630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FA0630" w:rsidRPr="00BF1400" w:rsidRDefault="00FA0630" w:rsidP="00FA0630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A0630" w:rsidRDefault="00FA0630" w:rsidP="00FA0630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FA0630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9E3B19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FA0630">
        <w:t>agosto</w:t>
      </w:r>
      <w:r w:rsidR="005B3AEE">
        <w:t xml:space="preserve"> de 2023</w:t>
      </w:r>
      <w:r>
        <w:t xml:space="preserve"> </w:t>
      </w: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p w:rsidR="00FA0630" w:rsidRDefault="00FA0630" w:rsidP="00FC4E4F">
      <w:pPr>
        <w:jc w:val="right"/>
      </w:pPr>
    </w:p>
    <w:bookmarkStart w:id="0" w:name="_GoBack"/>
    <w:bookmarkEnd w:id="0"/>
    <w:p w:rsidR="001F645B" w:rsidRPr="001F645B" w:rsidRDefault="00464EFA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59" w:rsidRDefault="002B1C59" w:rsidP="00932008">
      <w:pPr>
        <w:spacing w:after="0" w:line="240" w:lineRule="auto"/>
      </w:pPr>
      <w:r>
        <w:separator/>
      </w:r>
    </w:p>
  </w:endnote>
  <w:endnote w:type="continuationSeparator" w:id="0">
    <w:p w:rsidR="002B1C59" w:rsidRDefault="002B1C5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2B1C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59" w:rsidRDefault="002B1C59" w:rsidP="00932008">
      <w:pPr>
        <w:spacing w:after="0" w:line="240" w:lineRule="auto"/>
      </w:pPr>
      <w:r>
        <w:separator/>
      </w:r>
    </w:p>
  </w:footnote>
  <w:footnote w:type="continuationSeparator" w:id="0">
    <w:p w:rsidR="002B1C59" w:rsidRDefault="002B1C5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464EF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464EF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59" w:rsidRDefault="00464EF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3" type="#_x0000_t75" style="width:9pt;height:9pt" o:bullet="t">
        <v:imagedata r:id="rId1" o:title="BD14533_"/>
      </v:shape>
    </w:pict>
  </w:numPicBullet>
  <w:numPicBullet w:numPicBulletId="1">
    <w:pict>
      <v:shape id="_x0000_i1254" type="#_x0000_t75" style="width:11.25pt;height:11.25pt" o:bullet="t">
        <v:imagedata r:id="rId2" o:title="BD14654_"/>
      </v:shape>
    </w:pict>
  </w:numPicBullet>
  <w:numPicBullet w:numPicBulletId="2">
    <w:pict>
      <v:shape id="_x0000_i1255" type="#_x0000_t75" style="width:9pt;height:9pt" o:bullet="t">
        <v:imagedata r:id="rId3" o:title="BD21296_"/>
      </v:shape>
    </w:pict>
  </w:numPicBullet>
  <w:numPicBullet w:numPicBulletId="3">
    <w:pict>
      <v:shape id="_x0000_i1256" type="#_x0000_t75" style="width:9pt;height:9pt" o:bullet="t">
        <v:imagedata r:id="rId4" o:title="BD14533_"/>
      </v:shape>
    </w:pict>
  </w:numPicBullet>
  <w:numPicBullet w:numPicBulletId="4">
    <w:pict>
      <v:shape id="_x0000_i125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0F1F"/>
    <w:multiLevelType w:val="hybridMultilevel"/>
    <w:tmpl w:val="DDE66BC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168FC"/>
    <w:multiLevelType w:val="hybridMultilevel"/>
    <w:tmpl w:val="93AEEF1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041F8"/>
    <w:multiLevelType w:val="hybridMultilevel"/>
    <w:tmpl w:val="06D2DFDC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D2C78"/>
    <w:multiLevelType w:val="hybridMultilevel"/>
    <w:tmpl w:val="8B50ED5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5"/>
  </w:num>
  <w:num w:numId="10">
    <w:abstractNumId w:val="20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1"/>
  </w:num>
  <w:num w:numId="18">
    <w:abstractNumId w:val="13"/>
  </w:num>
  <w:num w:numId="19">
    <w:abstractNumId w:val="7"/>
  </w:num>
  <w:num w:numId="20">
    <w:abstractNumId w:val="24"/>
  </w:num>
  <w:num w:numId="21">
    <w:abstractNumId w:val="8"/>
  </w:num>
  <w:num w:numId="22">
    <w:abstractNumId w:val="3"/>
  </w:num>
  <w:num w:numId="23">
    <w:abstractNumId w:val="22"/>
  </w:num>
  <w:num w:numId="24">
    <w:abstractNumId w:val="2"/>
  </w:num>
  <w:num w:numId="25">
    <w:abstractNumId w:val="4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2149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D1A98"/>
    <w:rsid w:val="001F645B"/>
    <w:rsid w:val="00272D2D"/>
    <w:rsid w:val="00295EEB"/>
    <w:rsid w:val="002A154B"/>
    <w:rsid w:val="002A665B"/>
    <w:rsid w:val="002B1C59"/>
    <w:rsid w:val="002D0E9C"/>
    <w:rsid w:val="00326862"/>
    <w:rsid w:val="00361AC5"/>
    <w:rsid w:val="0036594B"/>
    <w:rsid w:val="00382D7B"/>
    <w:rsid w:val="003D4B2B"/>
    <w:rsid w:val="003E5DC9"/>
    <w:rsid w:val="003F05F5"/>
    <w:rsid w:val="003F271E"/>
    <w:rsid w:val="003F572A"/>
    <w:rsid w:val="00454391"/>
    <w:rsid w:val="00456EA7"/>
    <w:rsid w:val="00464EFA"/>
    <w:rsid w:val="004D4907"/>
    <w:rsid w:val="004F2655"/>
    <w:rsid w:val="004F3953"/>
    <w:rsid w:val="00521DA9"/>
    <w:rsid w:val="0052471A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53BA1"/>
    <w:rsid w:val="00676C76"/>
    <w:rsid w:val="006A2766"/>
    <w:rsid w:val="006B3064"/>
    <w:rsid w:val="006C1999"/>
    <w:rsid w:val="006E708E"/>
    <w:rsid w:val="00704CD9"/>
    <w:rsid w:val="00710031"/>
    <w:rsid w:val="00743756"/>
    <w:rsid w:val="00797F42"/>
    <w:rsid w:val="007A032D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E3B19"/>
    <w:rsid w:val="009F1191"/>
    <w:rsid w:val="00A122E8"/>
    <w:rsid w:val="00A55F6E"/>
    <w:rsid w:val="00AB3044"/>
    <w:rsid w:val="00AC12DB"/>
    <w:rsid w:val="00AC4302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C7DC4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2B70"/>
    <w:rsid w:val="00C857F7"/>
    <w:rsid w:val="00C94871"/>
    <w:rsid w:val="00CB1D3B"/>
    <w:rsid w:val="00CB45FC"/>
    <w:rsid w:val="00CB5511"/>
    <w:rsid w:val="00CC2049"/>
    <w:rsid w:val="00CE7D0A"/>
    <w:rsid w:val="00D14BCC"/>
    <w:rsid w:val="00D57D9E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EE358A"/>
    <w:rsid w:val="00F14DA4"/>
    <w:rsid w:val="00F27CB9"/>
    <w:rsid w:val="00F42079"/>
    <w:rsid w:val="00F47C3B"/>
    <w:rsid w:val="00F579EB"/>
    <w:rsid w:val="00F71D7D"/>
    <w:rsid w:val="00F73FBC"/>
    <w:rsid w:val="00F86B85"/>
    <w:rsid w:val="00FA0630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ayudaenaccio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86396"/>
    <w:rsid w:val="0013771E"/>
    <w:rsid w:val="00215B4A"/>
    <w:rsid w:val="002F1C94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36714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9CF6C-3500-4482-9BA2-25A5A76A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182</TotalTime>
  <Pages>9</Pages>
  <Words>2043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12</cp:revision>
  <cp:lastPrinted>2022-05-12T06:51:00Z</cp:lastPrinted>
  <dcterms:created xsi:type="dcterms:W3CDTF">2023-06-23T09:26:00Z</dcterms:created>
  <dcterms:modified xsi:type="dcterms:W3CDTF">2023-09-12T11:59:00Z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