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836C9" w:rsidRPr="00006957" w:rsidRDefault="008836C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8836C9" w:rsidRPr="00006957" w:rsidRDefault="008836C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36C9" w:rsidRDefault="008836C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836C9" w:rsidRDefault="008836C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32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Juan Miró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A324A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26/06</w:t>
            </w:r>
            <w:r w:rsidR="00C727F4">
              <w:rPr>
                <w:sz w:val="24"/>
                <w:szCs w:val="24"/>
              </w:rPr>
              <w:t>/2023</w:t>
            </w:r>
          </w:p>
          <w:p w:rsidR="008836C9" w:rsidRPr="00CB5511" w:rsidRDefault="008836C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A324AB" w:rsidRPr="00CB5511" w:rsidRDefault="00012889" w:rsidP="00A324AB">
            <w:pPr>
              <w:rPr>
                <w:sz w:val="24"/>
                <w:szCs w:val="24"/>
              </w:rPr>
            </w:pPr>
            <w:hyperlink r:id="rId12" w:history="1">
              <w:r w:rsidR="00A324AB" w:rsidRPr="00A10855">
                <w:rPr>
                  <w:rStyle w:val="Hipervnculo"/>
                </w:rPr>
                <w:t>https://www.fmirobcn.org/es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12889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A324A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A324AB" w:rsidP="008836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se publica en la parte </w:t>
            </w:r>
            <w:r w:rsidR="008836C9">
              <w:rPr>
                <w:sz w:val="20"/>
                <w:szCs w:val="20"/>
              </w:rPr>
              <w:t>inferior</w:t>
            </w:r>
            <w:r>
              <w:rPr>
                <w:sz w:val="20"/>
                <w:szCs w:val="20"/>
              </w:rPr>
              <w:t xml:space="preserve"> de la página home</w:t>
            </w:r>
            <w:r w:rsidR="00403D02">
              <w:rPr>
                <w:sz w:val="20"/>
                <w:szCs w:val="20"/>
              </w:rPr>
              <w:t xml:space="preserve"> bajo el epígrafe Ley de Transparencia</w:t>
            </w:r>
            <w:r>
              <w:rPr>
                <w:sz w:val="20"/>
                <w:szCs w:val="20"/>
              </w:rPr>
              <w:t>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403D02" w:rsidP="00403D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se estructura en cinco apartados: Información institucional, Miembros de los órganos de gobierno, Información económica, Memorias anuales y Plan estratégico.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403D02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A324AB" w:rsidP="00AF3D56">
      <w:pPr>
        <w:jc w:val="center"/>
      </w:pPr>
      <w:r>
        <w:rPr>
          <w:noProof/>
        </w:rPr>
        <w:drawing>
          <wp:inline distT="0" distB="0" distL="0" distR="0">
            <wp:extent cx="6645910" cy="3289300"/>
            <wp:effectExtent l="0" t="0" r="2540" b="635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C5A2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403D0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03D0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01288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el Portal de Transparencia se hace referencia a los Estatutos de la entidad, éstos no se publican, </w:t>
            </w:r>
            <w:r w:rsidR="0001288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razón por la que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se puede dar por cumplida la obligación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3D02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03D0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Localizables en el Portal de Transparencia/Información institucional. La información no está datada y no existen referencias a la última vez que se revisó o actualizó.</w:t>
            </w:r>
          </w:p>
        </w:tc>
      </w:tr>
      <w:tr w:rsidR="00E34195" w:rsidRPr="00CB5511" w:rsidTr="00403D0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03D0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3D02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institucional. La información no está datada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F7651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F7651C" w:rsidP="00F7651C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Transparencia/Miembros de los órganos de gobierno. La información no está datada y no existen referencias a la última vez que se revisó o actualizó.</w:t>
            </w:r>
          </w:p>
        </w:tc>
      </w:tr>
      <w:tr w:rsidR="00B213ED" w:rsidRPr="00B35A03" w:rsidTr="00403D0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4288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6C9" w:rsidRPr="00026650" w:rsidRDefault="008836C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8836C9" w:rsidRDefault="008836C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8836C9" w:rsidRPr="00F27D20" w:rsidRDefault="008836C9" w:rsidP="00981D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8836C9" w:rsidRPr="00437DDE" w:rsidRDefault="008836C9" w:rsidP="00981DEA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981DEA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91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">
                <v:textbox>
                  <w:txbxContent>
                    <w:p w:rsidR="008836C9" w:rsidRDefault="008836C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6C9" w:rsidRPr="00026650" w:rsidRDefault="008836C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8836C9" w:rsidRDefault="008836C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8836C9" w:rsidRPr="00F27D20" w:rsidRDefault="008836C9" w:rsidP="00981DEA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8836C9" w:rsidRPr="00437DDE" w:rsidRDefault="008836C9" w:rsidP="00981DEA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981DEA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Información económica del Portal de Transparencia se publican las subvenciones y ayudas públicas percibidas, la información más reciente corresponde a 2021. Dado el desfase temporal existente, no puede considerarse cumplida la obligación.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8836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Información económica del Portal de Transparencia se publica el presupuesto de la Fundación, la información más reciente corresponde a 2021. Dado el desfase temporal existente, no puede considerarse cumplida la obligación.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318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3185" w:rsidP="00DB578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Localizables en el Portal de Transparencia/Información económica.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7318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73185" w:rsidP="00DB578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Localizables en el Portal de Transparencia/Información económica.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8836C9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836C9" w:rsidRPr="008836C9" w:rsidRDefault="008836C9" w:rsidP="008836C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8836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Información institucional se informa de que los miembros del Patronato no reciben remuneración y se informa de la cuantía de las retribuciones del Director, no se informa sobre el año al que corresponden dichas retribuciones 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bookmarkStart w:id="0" w:name="_GoBack"/>
      <w:bookmarkEnd w:id="0"/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5509523" cy="21145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836C9" w:rsidRPr="00EF7E5C" w:rsidRDefault="008836C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subvenciones está desactualizada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presupuestos está desactualizada</w:t>
                            </w:r>
                          </w:p>
                          <w:p w:rsidR="008836C9" w:rsidRDefault="008836C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el ejercicio al que corresponden las retribuciones del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2pt;width:433.8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">
                <v:textbox>
                  <w:txbxContent>
                    <w:p w:rsidR="008836C9" w:rsidRDefault="008836C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836C9" w:rsidRPr="00EF7E5C" w:rsidRDefault="008836C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subvenciones está desactualizada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presupuestos está desactualizada</w:t>
                      </w:r>
                    </w:p>
                    <w:p w:rsidR="008836C9" w:rsidRDefault="008836C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el ejercicio al que corresponden las retribuciones del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836C9" w:rsidRDefault="008836C9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8836C9" w:rsidRDefault="008836C9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A87AF8" w:rsidRPr="00FD0689" w:rsidTr="00A8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87AF8" w:rsidRPr="00FD0689" w:rsidRDefault="00A87AF8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42,9</w:t>
            </w:r>
          </w:p>
        </w:tc>
      </w:tr>
      <w:tr w:rsidR="00A87AF8" w:rsidRPr="00FD0689" w:rsidTr="00A87A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87AF8" w:rsidRPr="00FD0689" w:rsidRDefault="00A87AF8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87AF8">
              <w:rPr>
                <w:sz w:val="16"/>
              </w:rPr>
              <w:t>30,4</w:t>
            </w:r>
          </w:p>
        </w:tc>
      </w:tr>
      <w:tr w:rsidR="00A87AF8" w:rsidRPr="00A94BCA" w:rsidTr="00A8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87AF8" w:rsidRPr="002A154B" w:rsidRDefault="00A87AF8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39,3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87AF8" w:rsidRPr="00A87AF8" w:rsidRDefault="00A87AF8" w:rsidP="00A87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87AF8">
              <w:rPr>
                <w:b/>
                <w:i/>
                <w:sz w:val="16"/>
              </w:rPr>
              <w:t>35,7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A87AF8">
        <w:t>35,7</w:t>
      </w:r>
      <w:r w:rsidRPr="00A63D61">
        <w:t xml:space="preserve">%. La falta de publicación de contenidos obligatorios – no se publica el </w:t>
      </w:r>
      <w:r w:rsidR="00A87AF8">
        <w:t>60,7</w:t>
      </w:r>
      <w:r w:rsidRPr="00A63D61">
        <w:t>% de estos contenidos</w:t>
      </w:r>
      <w:r>
        <w:t>-</w:t>
      </w:r>
      <w:r w:rsidRPr="00A63D61">
        <w:t xml:space="preserve"> </w:t>
      </w:r>
      <w:r w:rsidR="004F7B59">
        <w:t xml:space="preserve">y la falta de </w:t>
      </w:r>
      <w:r w:rsidR="00A87AF8">
        <w:t xml:space="preserve">referencias a la fecha de la últimas actualización o revisión de la información, </w:t>
      </w:r>
      <w:r w:rsidR="004F7B59">
        <w:t xml:space="preserve"> son los</w:t>
      </w:r>
      <w:r w:rsidR="00CB45FC">
        <w:t xml:space="preserve"> factor</w:t>
      </w:r>
      <w:r w:rsidR="004F7B59">
        <w:t>es</w:t>
      </w:r>
      <w:r w:rsidR="00CB45FC">
        <w:t xml:space="preserve"> que explica</w:t>
      </w:r>
      <w:r w:rsidR="004F7B59">
        <w:t>n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573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836C9" w:rsidRDefault="008836C9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Juan Miró Centro de Estudios de Arte Contemporáneo publica informaciones adicionales a las obligatorias que sean relevantes desde el punto de vista de la transparencia y la rendición de cuentas:</w:t>
                            </w:r>
                          </w:p>
                          <w:p w:rsidR="008836C9" w:rsidRPr="00C75D48" w:rsidRDefault="008836C9" w:rsidP="00C75D4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75D48">
                              <w:rPr>
                                <w:sz w:val="20"/>
                                <w:szCs w:val="20"/>
                              </w:rPr>
                              <w:t>Plan Estratégico 2023-2026.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9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">
                <v:textbox>
                  <w:txbxContent>
                    <w:p w:rsidR="008836C9" w:rsidRDefault="008836C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836C9" w:rsidRDefault="008836C9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Juan Miró Centro de Estudios de Arte Contemporáneo publica informaciones adicionales a las obligatorias que sean relevantes desde el punto de vista de la transparencia y la rendición de cuentas:</w:t>
                      </w:r>
                    </w:p>
                    <w:p w:rsidR="008836C9" w:rsidRPr="00C75D48" w:rsidRDefault="008836C9" w:rsidP="00C75D4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C75D48">
                        <w:rPr>
                          <w:sz w:val="20"/>
                          <w:szCs w:val="20"/>
                        </w:rPr>
                        <w:t>Plan Estratégico 2023-2026.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C75D48" w:rsidRDefault="00C75D4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C9" w:rsidRDefault="008836C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836C9" w:rsidRPr="008E49C3" w:rsidRDefault="008836C9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8836C9" w:rsidRDefault="008836C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836C9" w:rsidRPr="008E49C3" w:rsidRDefault="008836C9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C75D48">
        <w:t>la Fundación Juan Miró Centro de Estudios de Arte Contemporáneo</w:t>
      </w:r>
      <w:r w:rsidRPr="00CA6E55">
        <w:t>, en función de la información disponible en su web, alcanza el</w:t>
      </w:r>
      <w:r w:rsidR="00A87AF8">
        <w:t xml:space="preserve"> 35,7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>de</w:t>
      </w:r>
      <w:r w:rsidR="00C75D48">
        <w:t xml:space="preserve"> la Fundación Juan Miró Centro de Estudios de Arte Contemporáneo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C75D48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Juan Miró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valorar la reubicación del enlace al Portal de Transparencia a un lugar más visible de su web institucional para facilitar el acceso de los ciudadanos a la información obligatoria. S</w:t>
      </w:r>
      <w:r w:rsidR="00BE2197" w:rsidRPr="00BF1400">
        <w:t xml:space="preserve">e recomienda </w:t>
      </w:r>
      <w:r w:rsidR="00E11F81">
        <w:t xml:space="preserve">que dicho Portal </w:t>
      </w:r>
      <w:r w:rsidR="00BE2197" w:rsidRPr="00BF1400">
        <w:t>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CF337C" w:rsidRDefault="00CF337C" w:rsidP="00814E93">
      <w:pPr>
        <w:ind w:left="709"/>
        <w:rPr>
          <w:b/>
          <w:color w:val="00642D"/>
        </w:rPr>
      </w:pPr>
    </w:p>
    <w:p w:rsidR="00CF337C" w:rsidRDefault="00CF337C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información sobre los contratos adjudicados por administraciones públicas.</w:t>
      </w:r>
    </w:p>
    <w:p w:rsidR="00894BD4" w:rsidRDefault="00894BD4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  <w:r w:rsidR="00E11F81">
        <w:rPr>
          <w:rFonts w:eastAsia="Times New Roman" w:cs="Arial"/>
          <w:bCs/>
          <w:szCs w:val="36"/>
        </w:rPr>
        <w:t xml:space="preserve"> 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actualizarse la información sobre subvenciones y ayudas públicas percibidas.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actualizarse la información sobre los presupuestos.</w:t>
      </w:r>
    </w:p>
    <w:p w:rsidR="00A87AF8" w:rsidRDefault="00A87AF8" w:rsidP="00E11F8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informarse sobre el ejercicio económico al que corresponden las retribuciones percibidas por el Director.</w:t>
      </w:r>
    </w:p>
    <w:p w:rsidR="00A87AF8" w:rsidRDefault="00A87AF8" w:rsidP="00A87AF8">
      <w:pPr>
        <w:rPr>
          <w:b/>
          <w:color w:val="00642D"/>
        </w:rPr>
      </w:pPr>
    </w:p>
    <w:p w:rsidR="00BA397C" w:rsidRDefault="00BA397C" w:rsidP="00A87AF8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94BD4" w:rsidRPr="00BF1400" w:rsidRDefault="00894BD4" w:rsidP="00E11F8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4F7B59">
        <w:rPr>
          <w:rFonts w:eastAsiaTheme="minorHAnsi"/>
          <w:szCs w:val="24"/>
          <w:lang w:eastAsia="en-US"/>
        </w:rPr>
        <w:t xml:space="preserve"> Para ello bastaría con que esta fecha figure en la página inicial del Portal de Transparencia.</w:t>
      </w:r>
    </w:p>
    <w:p w:rsidR="00894BD4" w:rsidRPr="00BF1400" w:rsidRDefault="00894BD4" w:rsidP="00E11F81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87AF8" w:rsidRDefault="00A87AF8" w:rsidP="00A87AF8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E11F81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Default="00A55F6E" w:rsidP="00E11F8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4F7B59" w:rsidRDefault="004F7B59" w:rsidP="004F7B59">
      <w:pPr>
        <w:pStyle w:val="Prrafodelista"/>
        <w:rPr>
          <w:rFonts w:eastAsiaTheme="minorHAnsi"/>
          <w:szCs w:val="24"/>
          <w:lang w:eastAsia="en-US"/>
        </w:rPr>
      </w:pPr>
    </w:p>
    <w:p w:rsidR="00704CD9" w:rsidRPr="00704CD9" w:rsidRDefault="00704CD9" w:rsidP="00E11F81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E11F81">
        <w:t>ju</w:t>
      </w:r>
      <w:r w:rsidR="00A87AF8">
        <w:t>l</w:t>
      </w:r>
      <w:r w:rsidR="00E11F81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012889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C9" w:rsidRDefault="008836C9" w:rsidP="00932008">
      <w:pPr>
        <w:spacing w:after="0" w:line="240" w:lineRule="auto"/>
      </w:pPr>
      <w:r>
        <w:separator/>
      </w:r>
    </w:p>
  </w:endnote>
  <w:endnote w:type="continuationSeparator" w:id="0">
    <w:p w:rsidR="008836C9" w:rsidRDefault="008836C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8836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C9" w:rsidRDefault="008836C9" w:rsidP="00932008">
      <w:pPr>
        <w:spacing w:after="0" w:line="240" w:lineRule="auto"/>
      </w:pPr>
      <w:r>
        <w:separator/>
      </w:r>
    </w:p>
  </w:footnote>
  <w:footnote w:type="continuationSeparator" w:id="0">
    <w:p w:rsidR="008836C9" w:rsidRDefault="008836C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01288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01288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6C9" w:rsidRDefault="0001288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9" type="#_x0000_t75" style="width:9pt;height:9pt" o:bullet="t">
        <v:imagedata r:id="rId1" o:title="BD14533_"/>
      </v:shape>
    </w:pict>
  </w:numPicBullet>
  <w:numPicBullet w:numPicBulletId="1">
    <w:pict>
      <v:shape id="_x0000_i1350" type="#_x0000_t75" style="width:11.25pt;height:11.25pt" o:bullet="t">
        <v:imagedata r:id="rId2" o:title="BD14654_"/>
      </v:shape>
    </w:pict>
  </w:numPicBullet>
  <w:numPicBullet w:numPicBulletId="2">
    <w:pict>
      <v:shape id="_x0000_i1351" type="#_x0000_t75" style="width:9pt;height:9pt" o:bullet="t">
        <v:imagedata r:id="rId3" o:title="BD21296_"/>
      </v:shape>
    </w:pict>
  </w:numPicBullet>
  <w:numPicBullet w:numPicBulletId="3">
    <w:pict>
      <v:shape id="_x0000_i1352" type="#_x0000_t75" style="width:9pt;height:9pt" o:bullet="t">
        <v:imagedata r:id="rId4" o:title="BD14533_"/>
      </v:shape>
    </w:pict>
  </w:numPicBullet>
  <w:numPicBullet w:numPicBulletId="4">
    <w:pict>
      <v:shape id="_x0000_i1353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061B7"/>
    <w:multiLevelType w:val="hybridMultilevel"/>
    <w:tmpl w:val="0504E95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4AE3"/>
    <w:multiLevelType w:val="hybridMultilevel"/>
    <w:tmpl w:val="70C823E6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23"/>
  </w:num>
  <w:num w:numId="21">
    <w:abstractNumId w:val="8"/>
  </w:num>
  <w:num w:numId="22">
    <w:abstractNumId w:val="2"/>
  </w:num>
  <w:num w:numId="23">
    <w:abstractNumId w:val="2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2889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03D02"/>
    <w:rsid w:val="00454391"/>
    <w:rsid w:val="00456EA7"/>
    <w:rsid w:val="004D4907"/>
    <w:rsid w:val="004F2655"/>
    <w:rsid w:val="004F3953"/>
    <w:rsid w:val="004F7B59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73185"/>
    <w:rsid w:val="008836C9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81DEA"/>
    <w:rsid w:val="009F1191"/>
    <w:rsid w:val="00A122E8"/>
    <w:rsid w:val="00A324AB"/>
    <w:rsid w:val="00A55F6E"/>
    <w:rsid w:val="00A87AF8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3079"/>
    <w:rsid w:val="00C5416F"/>
    <w:rsid w:val="00C55BB1"/>
    <w:rsid w:val="00C5744D"/>
    <w:rsid w:val="00C727F4"/>
    <w:rsid w:val="00C75D48"/>
    <w:rsid w:val="00C857F7"/>
    <w:rsid w:val="00C94871"/>
    <w:rsid w:val="00CB45FC"/>
    <w:rsid w:val="00CB5511"/>
    <w:rsid w:val="00CC2049"/>
    <w:rsid w:val="00CF337C"/>
    <w:rsid w:val="00D96F84"/>
    <w:rsid w:val="00DA702C"/>
    <w:rsid w:val="00DB578C"/>
    <w:rsid w:val="00DD2A83"/>
    <w:rsid w:val="00DF63E7"/>
    <w:rsid w:val="00E10590"/>
    <w:rsid w:val="00E11F81"/>
    <w:rsid w:val="00E3088D"/>
    <w:rsid w:val="00E34195"/>
    <w:rsid w:val="00E47613"/>
    <w:rsid w:val="00E657CF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7651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mirobcn.org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924CD7"/>
    <w:rsid w:val="00AB6DFB"/>
    <w:rsid w:val="00AC3AC2"/>
    <w:rsid w:val="00B76BBA"/>
    <w:rsid w:val="00D051CA"/>
    <w:rsid w:val="00D35513"/>
    <w:rsid w:val="00DE55C7"/>
    <w:rsid w:val="00E2366A"/>
    <w:rsid w:val="00E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941C3-4B1C-40F2-9719-409EDDA2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136</TotalTime>
  <Pages>9</Pages>
  <Words>2044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2022-05-12T06:51:00Z</cp:lastPrinted>
  <dcterms:created xsi:type="dcterms:W3CDTF">2023-06-16T07:35:00Z</dcterms:created>
  <dcterms:modified xsi:type="dcterms:W3CDTF">2023-09-12T12:18:00Z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