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CA7EAD" w:rsidRPr="00006957" w:rsidRDefault="00CA7EAD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Content>
                        <w:p w:rsidR="00CA7EAD" w:rsidRPr="00006957" w:rsidRDefault="00CA7EAD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7EAD" w:rsidRDefault="00CA7EAD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CA7EAD" w:rsidRDefault="00CA7EAD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263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Fundación Márgenes y Vínculos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96428E" w:rsidP="00263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9604D">
              <w:rPr>
                <w:sz w:val="24"/>
                <w:szCs w:val="24"/>
              </w:rPr>
              <w:t>1</w:t>
            </w:r>
            <w:r w:rsidR="00263797">
              <w:rPr>
                <w:sz w:val="24"/>
                <w:szCs w:val="24"/>
              </w:rPr>
              <w:t>/06</w:t>
            </w:r>
            <w:r w:rsidR="00C727F4">
              <w:rPr>
                <w:sz w:val="24"/>
                <w:szCs w:val="24"/>
              </w:rPr>
              <w:t>/2023</w:t>
            </w:r>
          </w:p>
          <w:p w:rsidR="009F059D" w:rsidRPr="00CB5511" w:rsidRDefault="009F059D" w:rsidP="00263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21/07/2023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263797" w:rsidRPr="00CB5511" w:rsidRDefault="007E430D" w:rsidP="00263797">
            <w:pPr>
              <w:rPr>
                <w:sz w:val="24"/>
                <w:szCs w:val="24"/>
              </w:rPr>
            </w:pPr>
            <w:hyperlink r:id="rId12" w:history="1">
              <w:r w:rsidR="00263797" w:rsidRPr="00CE3658">
                <w:rPr>
                  <w:rStyle w:val="Hipervnculo"/>
                  <w:sz w:val="24"/>
                  <w:szCs w:val="24"/>
                </w:rPr>
                <w:t>https://fmyv.es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7E430D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263797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263797" w:rsidP="002637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Portal de Transparencia contiene los siguientes apartados: Fundación; Organizativa; Económica; Institucional; Ayudas y subvenciones.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263797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263797" w:rsidP="00AF3D56">
      <w:pPr>
        <w:jc w:val="center"/>
      </w:pPr>
      <w:r>
        <w:rPr>
          <w:noProof/>
        </w:rPr>
        <w:drawing>
          <wp:inline distT="0" distB="0" distL="0" distR="0">
            <wp:extent cx="6645910" cy="2954020"/>
            <wp:effectExtent l="0" t="0" r="254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0C53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5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214"/>
        <w:gridCol w:w="5612"/>
      </w:tblGrid>
      <w:tr w:rsidR="00E34195" w:rsidRPr="00E34195" w:rsidTr="001152DF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214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612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1152DF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1152D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9F059D">
            <w:pPr>
              <w:pStyle w:val="Cuerpodelboletn"/>
              <w:numPr>
                <w:ilvl w:val="0"/>
                <w:numId w:val="26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152DF" w:rsidP="0053770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el Portal de Transparencia hay un apartado Institucional/Normativa aplicable, pero no se han localizado los estatutos de la entidad</w:t>
            </w:r>
            <w:r w:rsidR="0053770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1152DF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152DF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152DF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Transparencia/Información/Fundación. La información no está datada ni existen referencias a la última vez que se revisó o actualizó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1152DF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B35A03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1152DF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4C0F5F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4C0F5F" w:rsidP="009F059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en el Portal de Transparencia/Organizativa. La información está actualizada a octubre de 2022, pero ha quedado obsoleta en estos momentos. La información no </w:t>
            </w:r>
            <w:r w:rsidR="009F059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está publicada en formato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reutilizable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CB5511" w:rsidTr="001152DF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B35A03" w:rsidTr="001152DF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 w:rsidRP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4C0F5F" w:rsidRDefault="004C0F5F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4C0F5F" w:rsidRDefault="004C0F5F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4C0F5F" w:rsidRDefault="004C0F5F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4C0F5F" w:rsidRDefault="004C0F5F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537708" w:rsidRDefault="00537708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4C0F5F" w:rsidRDefault="004C0F5F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4C0F5F" w:rsidRDefault="004C0F5F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2809875"/>
                <wp:effectExtent l="0" t="0" r="1524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AD" w:rsidRDefault="00CA7EA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CA7EAD" w:rsidRPr="00026650" w:rsidRDefault="00CA7EAD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algunos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:rsidR="00CA7EAD" w:rsidRDefault="00CA7EAD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</w:t>
                            </w: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localizado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los estatutos que rigen la entidad.</w:t>
                            </w:r>
                          </w:p>
                          <w:p w:rsidR="00CA7EAD" w:rsidRDefault="00CA7EAD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una descripción de la estructura organizativa de la entidad.</w:t>
                            </w:r>
                          </w:p>
                          <w:p w:rsidR="00CA7EAD" w:rsidRDefault="00CA7EAD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la identificación de los responsables de la entidad.</w:t>
                            </w:r>
                          </w:p>
                          <w:p w:rsidR="00CA7EAD" w:rsidRDefault="00CA7EAD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información sobre el perfil y trayectoria profesional de los responsables de la entidad</w:t>
                            </w: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  <w:p w:rsidR="00CA7EAD" w:rsidRPr="00F27D20" w:rsidRDefault="00CA7EAD" w:rsidP="004C0F5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F27D20">
                              <w:rPr>
                                <w:b/>
                                <w:color w:val="00642D"/>
                              </w:rPr>
                              <w:t xml:space="preserve">Calidad de la Información: </w:t>
                            </w:r>
                          </w:p>
                          <w:p w:rsidR="00CA7EAD" w:rsidRPr="00E63FC8" w:rsidRDefault="00CA7EAD" w:rsidP="004C0F5F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eastAsiaTheme="majorEastAsia" w:cstheme="majorBidi"/>
                                <w:bCs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Parte de l</w:t>
                            </w:r>
                            <w:r w:rsidRPr="002C0D6C">
                              <w:rPr>
                                <w:sz w:val="20"/>
                                <w:szCs w:val="20"/>
                              </w:rPr>
                              <w:t xml:space="preserve">a información no está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actualizada</w:t>
                            </w:r>
                            <w:r w:rsidRPr="002C0D6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A7EAD" w:rsidRPr="00E63FC8" w:rsidRDefault="00CA7EAD" w:rsidP="004C0F5F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Cs/>
                                <w:sz w:val="20"/>
                                <w:szCs w:val="20"/>
                                <w:lang w:bidi="es-ES"/>
                              </w:rPr>
                              <w:t>Parte de l</w:t>
                            </w:r>
                            <w:r w:rsidRPr="00E63FC8">
                              <w:rPr>
                                <w:rFonts w:eastAsiaTheme="majorEastAsia" w:cstheme="majorBidi"/>
                                <w:bCs/>
                                <w:sz w:val="20"/>
                                <w:szCs w:val="20"/>
                                <w:lang w:bidi="es-ES"/>
                              </w:rPr>
                              <w:t>a información no se publica en formato reutilizable.</w:t>
                            </w:r>
                          </w:p>
                          <w:p w:rsidR="00CA7EAD" w:rsidRPr="004C0F5F" w:rsidRDefault="00CA7EAD" w:rsidP="004C0F5F">
                            <w:p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221.2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">
                <v:textbox>
                  <w:txbxContent>
                    <w:p w:rsidR="00CA7EAD" w:rsidRDefault="00CA7EAD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CA7EAD" w:rsidRPr="00026650" w:rsidRDefault="00CA7EAD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sz w:val="20"/>
                          <w:szCs w:val="20"/>
                        </w:rPr>
                        <w:t>algunos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:rsidR="00CA7EAD" w:rsidRDefault="00CA7EAD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</w:t>
                      </w: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 localizado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los estatutos que rigen la entidad.</w:t>
                      </w:r>
                    </w:p>
                    <w:p w:rsidR="00CA7EAD" w:rsidRDefault="00CA7EAD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una descripción de la estructura organizativa de la entidad.</w:t>
                      </w:r>
                    </w:p>
                    <w:p w:rsidR="00CA7EAD" w:rsidRDefault="00CA7EAD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la identificación de los responsables de la entidad.</w:t>
                      </w:r>
                    </w:p>
                    <w:p w:rsidR="00CA7EAD" w:rsidRDefault="00CA7EAD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información sobre el perfil y trayectoria profesional de los responsables de la entidad</w:t>
                      </w: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  <w:p w:rsidR="00CA7EAD" w:rsidRPr="00F27D20" w:rsidRDefault="00CA7EAD" w:rsidP="004C0F5F">
                      <w:pPr>
                        <w:rPr>
                          <w:b/>
                          <w:color w:val="00642D"/>
                        </w:rPr>
                      </w:pPr>
                      <w:r w:rsidRPr="00F27D20">
                        <w:rPr>
                          <w:b/>
                          <w:color w:val="00642D"/>
                        </w:rPr>
                        <w:t xml:space="preserve">Calidad de la Información: </w:t>
                      </w:r>
                    </w:p>
                    <w:p w:rsidR="00CA7EAD" w:rsidRPr="00E63FC8" w:rsidRDefault="00CA7EAD" w:rsidP="004C0F5F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eastAsiaTheme="majorEastAsia" w:cstheme="majorBidi"/>
                          <w:bCs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Parte de l</w:t>
                      </w:r>
                      <w:r w:rsidRPr="002C0D6C">
                        <w:rPr>
                          <w:sz w:val="20"/>
                          <w:szCs w:val="20"/>
                        </w:rPr>
                        <w:t xml:space="preserve">a información no está </w:t>
                      </w:r>
                      <w:r>
                        <w:rPr>
                          <w:sz w:val="20"/>
                          <w:szCs w:val="20"/>
                        </w:rPr>
                        <w:t>actualizada</w:t>
                      </w:r>
                      <w:r w:rsidRPr="002C0D6C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CA7EAD" w:rsidRPr="00E63FC8" w:rsidRDefault="00CA7EAD" w:rsidP="004C0F5F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Fonts w:eastAsiaTheme="majorEastAsia" w:cstheme="majorBidi"/>
                          <w:bCs/>
                          <w:sz w:val="20"/>
                          <w:szCs w:val="20"/>
                          <w:lang w:bidi="es-ES"/>
                        </w:rPr>
                        <w:t>Parte de l</w:t>
                      </w:r>
                      <w:r w:rsidRPr="00E63FC8">
                        <w:rPr>
                          <w:rFonts w:eastAsiaTheme="majorEastAsia" w:cstheme="majorBidi"/>
                          <w:bCs/>
                          <w:sz w:val="20"/>
                          <w:szCs w:val="20"/>
                          <w:lang w:bidi="es-ES"/>
                        </w:rPr>
                        <w:t>a información no se publica en formato reutilizable.</w:t>
                      </w:r>
                    </w:p>
                    <w:p w:rsidR="00CA7EAD" w:rsidRPr="004C0F5F" w:rsidRDefault="00CA7EAD" w:rsidP="004C0F5F">
                      <w:p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3A23" w:rsidRDefault="00C33A23">
      <w:pPr>
        <w:rPr>
          <w:rStyle w:val="Ttulo2Car"/>
          <w:lang w:bidi="es-ES"/>
        </w:rPr>
      </w:pPr>
    </w:p>
    <w:p w:rsidR="004C0F5F" w:rsidRDefault="004C0F5F">
      <w:pPr>
        <w:rPr>
          <w:rStyle w:val="Ttulo2Car"/>
          <w:lang w:bidi="es-ES"/>
        </w:rPr>
      </w:pPr>
    </w:p>
    <w:p w:rsidR="004C0F5F" w:rsidRDefault="004C0F5F">
      <w:pPr>
        <w:rPr>
          <w:rStyle w:val="Ttulo2Car"/>
          <w:lang w:bidi="es-ES"/>
        </w:rPr>
      </w:pPr>
    </w:p>
    <w:p w:rsidR="004C0F5F" w:rsidRDefault="004C0F5F">
      <w:pPr>
        <w:rPr>
          <w:rStyle w:val="Ttulo2Car"/>
          <w:lang w:bidi="es-ES"/>
        </w:rPr>
      </w:pPr>
    </w:p>
    <w:p w:rsidR="004C0F5F" w:rsidRDefault="004C0F5F">
      <w:pPr>
        <w:rPr>
          <w:rStyle w:val="Ttulo2Car"/>
          <w:lang w:bidi="es-ES"/>
        </w:rPr>
      </w:pPr>
    </w:p>
    <w:p w:rsidR="004C0F5F" w:rsidRDefault="004C0F5F">
      <w:pPr>
        <w:rPr>
          <w:rStyle w:val="Ttulo2Car"/>
          <w:lang w:bidi="es-ES"/>
        </w:rPr>
      </w:pPr>
    </w:p>
    <w:p w:rsidR="004C0F5F" w:rsidRDefault="004C0F5F">
      <w:pPr>
        <w:rPr>
          <w:rStyle w:val="Ttulo2Car"/>
          <w:lang w:bidi="es-ES"/>
        </w:rPr>
      </w:pPr>
    </w:p>
    <w:p w:rsidR="004C0F5F" w:rsidRDefault="004C0F5F">
      <w:pPr>
        <w:rPr>
          <w:rStyle w:val="Ttulo2Car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992"/>
        <w:gridCol w:w="4904"/>
      </w:tblGrid>
      <w:tr w:rsidR="00C33A23" w:rsidRPr="00E34195" w:rsidTr="007E430D">
        <w:trPr>
          <w:cantSplit/>
          <w:trHeight w:val="1612"/>
          <w:tblHeader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99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904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C5416F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A50B71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A50B71" w:rsidP="00CA7EA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Aunque en el Portal de Transparencia</w:t>
            </w:r>
            <w:r w:rsidR="004C0F5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/Ayudas y subvenciones/Contrataciones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se publica información, esta solo </w:t>
            </w:r>
            <w:r w:rsidR="00CA7EA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corresponde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al ámbito </w:t>
            </w:r>
            <w:r w:rsidR="00CA7EA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de la Comunidad Autónoma de Canarias.</w:t>
            </w:r>
            <w:r w:rsidR="00A87AF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  <w:r w:rsidR="00CA7EA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D</w:t>
            </w:r>
            <w:r w:rsidR="00A87AF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ado que</w:t>
            </w:r>
            <w:r w:rsidR="00CA7EA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,</w:t>
            </w:r>
            <w:r w:rsidR="00A87AF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según informa la propia Fundación, su ámbito de actuación se extiende a la Comunidades y Ciudades Autónomas de Andalucía, Canarias, Ceuta, Extremadura, Galicia, Madrid, Murcia y Valencia</w:t>
            </w:r>
            <w:r w:rsidR="00CA7EA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no puede considerarse cumplida esta obligación</w:t>
            </w:r>
            <w:r w:rsidR="00A550F7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. Además, </w:t>
            </w:r>
            <w:r w:rsidR="00A87AF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publican algunos de</w:t>
            </w:r>
            <w:r w:rsidR="00CA7EA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  <w:r w:rsidR="00A87AF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los ítems informativos </w:t>
            </w:r>
            <w:r w:rsidR="00CA7EA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obligatorios </w:t>
            </w:r>
            <w:r w:rsidR="00A87AF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que establece la LTAIBG en su artículo 8.1.a)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, </w:t>
            </w:r>
            <w:r w:rsidR="00A87AF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como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  <w:r w:rsidR="00A87AF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e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l importe de licitación y </w:t>
            </w:r>
            <w:r w:rsidR="00A87AF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e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l procedimiento de adjudicación. </w:t>
            </w:r>
          </w:p>
        </w:tc>
      </w:tr>
      <w:tr w:rsidR="00C33A23" w:rsidRPr="00CB5511" w:rsidTr="00C5416F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A50B71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A50B71" w:rsidP="00A87AFB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En el Portal de Transparencia/Ayudas y subvenciones se especifica que no existen convenios ni encomiendas de gestión con ninguna entidad de la CA de Canarias, pero se desconoce si puede haberlos habido en </w:t>
            </w:r>
            <w:r w:rsidR="00A87AF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otros </w:t>
            </w:r>
            <w:r w:rsidR="00A87AF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lastRenderedPageBreak/>
              <w:t>ámbitos geográficos en los que actúa la Fundación. Por lo tanto,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la obligación no puede darse por cumplida.</w:t>
            </w:r>
          </w:p>
        </w:tc>
      </w:tr>
      <w:tr w:rsidR="009609E9" w:rsidRPr="00CB5511" w:rsidTr="00C5416F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lastRenderedPageBreak/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89480B" w:rsidRDefault="00A550F7" w:rsidP="00CA7EA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Aunque en el Portal de Transparencia/Ayudas y subvenciones/Subvenciones se publica información, esta sol</w:t>
            </w:r>
            <w:r w:rsidR="00EA43C9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o </w:t>
            </w:r>
            <w:r w:rsidR="00CA7EA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se refiere a la Comunidad Autónoma de Canarias</w:t>
            </w:r>
            <w:r w:rsidR="00EA43C9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. En la Base de Datos Nacional de Subvenciones se han localizado un total de 37 subvenciones y ayudas públicas concedidas en 2022 y 2023, por las administraciones generales y entidades locales de las Comunidades y Ciudades Autónomas de Andalucía, Ceuta y Extremadura y también </w:t>
            </w:r>
            <w:r w:rsidR="00CA7EA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por</w:t>
            </w:r>
            <w:r w:rsidR="00EA43C9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la Administración General del Estado. De estas 37 concesiones, 11 superan el límite de 100.000 euros establecidos por la LTAIBG, límite a partir del que cualquier entidad subvencionada está sujeta a obligaciones de publicidad activa.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A550F7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A550F7" w:rsidP="00EA43C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en el Portal de Transparencia/Económica.</w:t>
            </w:r>
          </w:p>
        </w:tc>
      </w:tr>
      <w:tr w:rsidR="00BD4582" w:rsidRPr="00CB5511" w:rsidTr="00C5416F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EA43C9" w:rsidRDefault="00EA43C9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EA43C9" w:rsidRDefault="00EA43C9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EA43C9" w:rsidRDefault="00EA43C9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147955</wp:posOffset>
                </wp:positionV>
                <wp:extent cx="5509523" cy="326707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AD" w:rsidRDefault="00CA7EAD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CA7EAD" w:rsidRPr="00EF7E5C" w:rsidRDefault="00CA7EAD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algunos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CA7EAD" w:rsidRDefault="00CA7EAD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 es parcial, ya que sólo se informa sobre uno de los ámbitos territoriales de actuación de la Fundación.</w:t>
                            </w:r>
                          </w:p>
                          <w:p w:rsidR="00CA7EAD" w:rsidRDefault="00CA7EAD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 en ámbitos territoriales distintos de la Comunidad Autónoma de Canarias, en los que también actúa la Fundación.</w:t>
                            </w:r>
                          </w:p>
                          <w:p w:rsidR="00CA7EAD" w:rsidRDefault="00CA7EAD" w:rsidP="00CA7EAD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A7EAD">
                              <w:rPr>
                                <w:sz w:val="20"/>
                                <w:szCs w:val="20"/>
                              </w:rPr>
                              <w:t xml:space="preserve">No se ha localizado información sobre subvenciones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en ámbitos territoriales distintos de la Comunidad Autónoma de Canarias, en los que también actúa la Fundación.</w:t>
                            </w:r>
                          </w:p>
                          <w:p w:rsidR="00CA7EAD" w:rsidRPr="00CA7EAD" w:rsidRDefault="00CA7EAD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A7EAD">
                              <w:rPr>
                                <w:sz w:val="20"/>
                                <w:szCs w:val="20"/>
                              </w:rPr>
                              <w:t>No se ha localizado información sobre los presupuestos de la entidad.</w:t>
                            </w:r>
                          </w:p>
                          <w:p w:rsidR="00CA7EAD" w:rsidRDefault="00CA7EAD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cuentas anuales de la entidad.</w:t>
                            </w:r>
                          </w:p>
                          <w:p w:rsidR="00CA7EAD" w:rsidRDefault="00CA7EAD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retribuciones anuales de los máximos responsables.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1.65pt;width:433.8pt;height:25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">
                <v:textbox>
                  <w:txbxContent>
                    <w:p w:rsidR="00CA7EAD" w:rsidRDefault="00CA7EAD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CA7EAD" w:rsidRPr="00EF7E5C" w:rsidRDefault="00CA7EAD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algunos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CA7EAD" w:rsidRDefault="00CA7EAD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</w:t>
                      </w:r>
                      <w:r w:rsidRPr="007A488E">
                        <w:rPr>
                          <w:sz w:val="20"/>
                          <w:szCs w:val="20"/>
                        </w:rPr>
                        <w:t xml:space="preserve">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 es parcial, ya que sólo se informa sobre uno de los ámbitos territoriales de actuación de la Fundación.</w:t>
                      </w:r>
                    </w:p>
                    <w:p w:rsidR="00CA7EAD" w:rsidRDefault="00CA7EAD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 en ámbitos territoriales distintos de la Comunidad Autónoma de Canarias, en los que también actúa la Fundación.</w:t>
                      </w:r>
                    </w:p>
                    <w:p w:rsidR="00CA7EAD" w:rsidRDefault="00CA7EAD" w:rsidP="00CA7EAD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CA7EAD">
                        <w:rPr>
                          <w:sz w:val="20"/>
                          <w:szCs w:val="20"/>
                        </w:rPr>
                        <w:t xml:space="preserve">No se ha localizado información sobre subvenciones </w:t>
                      </w:r>
                      <w:r>
                        <w:rPr>
                          <w:sz w:val="20"/>
                          <w:szCs w:val="20"/>
                        </w:rPr>
                        <w:t>en ámbitos territoriales distintos de la Comunidad Autónoma de Canarias, en los que también actúa la Fundación.</w:t>
                      </w:r>
                    </w:p>
                    <w:p w:rsidR="00CA7EAD" w:rsidRPr="00CA7EAD" w:rsidRDefault="00CA7EAD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CA7EAD">
                        <w:rPr>
                          <w:sz w:val="20"/>
                          <w:szCs w:val="20"/>
                        </w:rPr>
                        <w:t>No se ha localizado información sobre los presupuestos de la entidad.</w:t>
                      </w:r>
                    </w:p>
                    <w:p w:rsidR="00CA7EAD" w:rsidRDefault="00CA7EAD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cuentas anuales de la entidad.</w:t>
                      </w:r>
                    </w:p>
                    <w:p w:rsidR="00CA7EAD" w:rsidRDefault="00CA7EAD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retribuciones anuales de los máximos responsables.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520CF5" w:rsidRPr="00FD0689" w:rsidTr="00520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520CF5" w:rsidRPr="00FD0689" w:rsidRDefault="00520CF5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20CF5">
              <w:rPr>
                <w:sz w:val="16"/>
              </w:rPr>
              <w:t>41,7</w:t>
            </w:r>
          </w:p>
        </w:tc>
        <w:tc>
          <w:tcPr>
            <w:tcW w:w="0" w:type="auto"/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20CF5">
              <w:rPr>
                <w:sz w:val="16"/>
              </w:rPr>
              <w:t>41,7</w:t>
            </w:r>
          </w:p>
        </w:tc>
        <w:tc>
          <w:tcPr>
            <w:tcW w:w="0" w:type="auto"/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20CF5">
              <w:rPr>
                <w:sz w:val="16"/>
              </w:rPr>
              <w:t>41,7</w:t>
            </w:r>
          </w:p>
        </w:tc>
        <w:tc>
          <w:tcPr>
            <w:tcW w:w="0" w:type="auto"/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20CF5">
              <w:rPr>
                <w:sz w:val="16"/>
              </w:rPr>
              <w:t>41,7</w:t>
            </w:r>
          </w:p>
        </w:tc>
        <w:tc>
          <w:tcPr>
            <w:tcW w:w="0" w:type="auto"/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20CF5">
              <w:rPr>
                <w:sz w:val="16"/>
              </w:rPr>
              <w:t>41,7</w:t>
            </w:r>
          </w:p>
        </w:tc>
        <w:tc>
          <w:tcPr>
            <w:tcW w:w="0" w:type="auto"/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20CF5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20CF5">
              <w:rPr>
                <w:sz w:val="16"/>
              </w:rPr>
              <w:t>8,3</w:t>
            </w:r>
          </w:p>
        </w:tc>
        <w:tc>
          <w:tcPr>
            <w:tcW w:w="0" w:type="auto"/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20CF5">
              <w:rPr>
                <w:sz w:val="16"/>
              </w:rPr>
              <w:t>34,5</w:t>
            </w:r>
          </w:p>
        </w:tc>
      </w:tr>
      <w:tr w:rsidR="00520CF5" w:rsidRPr="00FD0689" w:rsidTr="00520CF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520CF5" w:rsidRPr="00FD0689" w:rsidRDefault="00520CF5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20CF5">
              <w:rPr>
                <w:sz w:val="16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20CF5">
              <w:rPr>
                <w:sz w:val="16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20CF5">
              <w:rPr>
                <w:sz w:val="16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20CF5">
              <w:rPr>
                <w:sz w:val="16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20CF5">
              <w:rPr>
                <w:sz w:val="16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20CF5">
              <w:rPr>
                <w:sz w:val="16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20CF5">
              <w:rPr>
                <w:sz w:val="16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20CF5">
              <w:rPr>
                <w:sz w:val="16"/>
              </w:rPr>
              <w:t>12,5</w:t>
            </w:r>
          </w:p>
        </w:tc>
      </w:tr>
      <w:tr w:rsidR="00520CF5" w:rsidRPr="00A94BCA" w:rsidTr="00520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520CF5" w:rsidRPr="002A154B" w:rsidRDefault="00520CF5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20CF5">
              <w:rPr>
                <w:b/>
                <w:i/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20CF5">
              <w:rPr>
                <w:b/>
                <w:i/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20CF5">
              <w:rPr>
                <w:b/>
                <w:i/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20CF5">
              <w:rPr>
                <w:b/>
                <w:i/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20CF5">
              <w:rPr>
                <w:b/>
                <w:i/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20CF5">
              <w:rPr>
                <w:b/>
                <w:i/>
                <w:sz w:val="16"/>
              </w:rPr>
              <w:t>17,9</w:t>
            </w:r>
          </w:p>
        </w:tc>
        <w:tc>
          <w:tcPr>
            <w:tcW w:w="0" w:type="auto"/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20CF5">
              <w:rPr>
                <w:b/>
                <w:i/>
                <w:sz w:val="16"/>
              </w:rPr>
              <w:t>10,7</w:t>
            </w:r>
          </w:p>
        </w:tc>
        <w:tc>
          <w:tcPr>
            <w:tcW w:w="0" w:type="auto"/>
            <w:noWrap/>
            <w:vAlign w:val="center"/>
          </w:tcPr>
          <w:p w:rsidR="00520CF5" w:rsidRPr="00520CF5" w:rsidRDefault="00520CF5" w:rsidP="00520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20CF5">
              <w:rPr>
                <w:b/>
                <w:i/>
                <w:sz w:val="16"/>
              </w:rPr>
              <w:t>21,9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>El Índice de Cumplimiento de la Información Ob</w:t>
      </w:r>
      <w:r w:rsidR="00520CF5">
        <w:t>ligatoria (ICIO) se sitúa en el 21,9</w:t>
      </w:r>
      <w:r w:rsidRPr="00A63D61">
        <w:t xml:space="preserve">%. La falta de publicación de contenidos </w:t>
      </w:r>
      <w:r w:rsidR="00520CF5">
        <w:t>obligatorios – no se publica el 75</w:t>
      </w:r>
      <w:r w:rsidRPr="00A63D61">
        <w:t>% de estos contenidos</w:t>
      </w:r>
      <w:r>
        <w:t>-</w:t>
      </w:r>
      <w:r w:rsidRPr="00A63D61">
        <w:t xml:space="preserve"> </w:t>
      </w:r>
      <w:r w:rsidR="00CB45FC">
        <w:t>es el factor que explica</w:t>
      </w:r>
      <w:r w:rsidRPr="00A63D61">
        <w:t xml:space="preserve"> el nivel de cumplimiento alcanzado.</w:t>
      </w:r>
    </w:p>
    <w:p w:rsidR="00BE2197" w:rsidRDefault="00BE2197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79057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AD" w:rsidRDefault="00CA7EA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CA7EAD" w:rsidRPr="002A154B" w:rsidRDefault="00CA7EAD" w:rsidP="00BE2197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La Fundación Márgenes y Vínculos no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publica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informaciones adicionales a las obligatorias que sean relevantes desde el punto de vista de la transparencia y la rendición de cuentas.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62.2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">
                <v:textbox>
                  <w:txbxContent>
                    <w:p w:rsidR="00CA7EAD" w:rsidRDefault="00CA7EAD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CA7EAD" w:rsidRPr="002A154B" w:rsidRDefault="00CA7EAD" w:rsidP="00BE2197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La Fundación Márgenes y Vínculos no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publica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informaciones adicionales a las obligatorias que sean relevantes desde el punto de vista de la transparencia y la rendición de cuentas.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932008" w:rsidRDefault="00E67A3E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07740" wp14:editId="1B0B752B">
                <wp:simplePos x="0" y="0"/>
                <wp:positionH relativeFrom="column">
                  <wp:posOffset>133350</wp:posOffset>
                </wp:positionH>
                <wp:positionV relativeFrom="paragraph">
                  <wp:posOffset>127001</wp:posOffset>
                </wp:positionV>
                <wp:extent cx="6264910" cy="1009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AD" w:rsidRDefault="00CA7EAD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CA7EAD" w:rsidRDefault="007E430D" w:rsidP="00C37DD6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Fundación</w:t>
                            </w:r>
                            <w:r w:rsidR="00CA7EAD">
                              <w:rPr>
                                <w:sz w:val="20"/>
                                <w:szCs w:val="20"/>
                              </w:rPr>
                              <w:t xml:space="preserve"> hace mención explícita de la razón de la falta de información sobre determinadas obligaciones de publicidad activa.</w:t>
                            </w:r>
                          </w:p>
                          <w:p w:rsidR="00CA7EAD" w:rsidRPr="00C37DD6" w:rsidRDefault="00CA7EAD" w:rsidP="00C37DD6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 publica la fecha de actualización de la información contenida en el Portal</w:t>
                            </w:r>
                            <w:r w:rsidRPr="00C37DD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0.5pt;margin-top:10pt;width:493.3pt;height:7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">
                <v:textbox>
                  <w:txbxContent>
                    <w:p w:rsidR="00CA7EAD" w:rsidRDefault="00CA7EAD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CA7EAD" w:rsidRDefault="007E430D" w:rsidP="00C37DD6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Fundación</w:t>
                      </w:r>
                      <w:r w:rsidR="00CA7EAD">
                        <w:rPr>
                          <w:sz w:val="20"/>
                          <w:szCs w:val="20"/>
                        </w:rPr>
                        <w:t xml:space="preserve"> hace mención explícita de la razón de la falta de información sobre determinadas obligaciones de publicidad activa.</w:t>
                      </w:r>
                    </w:p>
                    <w:p w:rsidR="00CA7EAD" w:rsidRPr="00C37DD6" w:rsidRDefault="00CA7EAD" w:rsidP="00C37DD6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 publica la fecha de actualización de la información contenida en el Portal</w:t>
                      </w:r>
                      <w:r w:rsidRPr="00C37DD6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0C6CFF" w:rsidRDefault="000C6CFF"/>
    <w:p w:rsidR="008C1E1E" w:rsidRDefault="008C1E1E"/>
    <w:p w:rsidR="00123D58" w:rsidRDefault="00123D58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r w:rsidR="00123D58">
        <w:t>la Fundación Márgenes y Vínculos</w:t>
      </w:r>
      <w:r w:rsidRPr="00CA6E55">
        <w:t>, en función de la información disponible en su web, alcanza el</w:t>
      </w:r>
      <w:r w:rsidR="00520CF5">
        <w:t xml:space="preserve"> 21,9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r w:rsidR="00123D58">
        <w:t>la Fundación Márgenes y Vínculos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123D58" w:rsidP="00BE2197">
      <w:pPr>
        <w:spacing w:before="120" w:after="120" w:line="312" w:lineRule="auto"/>
        <w:jc w:val="both"/>
      </w:pPr>
      <w:r>
        <w:rPr>
          <w:rFonts w:cs="Calibri"/>
          <w:color w:val="000000"/>
        </w:rPr>
        <w:t>La Fundación Márgenes y Vínculos</w:t>
      </w:r>
      <w:r w:rsidR="00BE2197" w:rsidRPr="00BF1400">
        <w:rPr>
          <w:rFonts w:cs="Calibri"/>
          <w:color w:val="000000"/>
        </w:rPr>
        <w:t xml:space="preserve"> </w:t>
      </w:r>
      <w:r w:rsidR="00BE2197" w:rsidRPr="00BF1400">
        <w:t xml:space="preserve">debería </w:t>
      </w:r>
      <w:r>
        <w:t>estructurar su Portal de Transparencia</w:t>
      </w:r>
      <w:r w:rsidR="00BE2197" w:rsidRPr="00BF1400">
        <w:t xml:space="preserve"> conforme al patrón que establece la LTAIBG: Información Institucional y Organizativa; e Información Económica y Presupuestaria.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520CF5" w:rsidRPr="00BF1400" w:rsidRDefault="00520CF5" w:rsidP="00520CF5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</w:t>
      </w:r>
      <w:bookmarkStart w:id="0" w:name="_GoBack"/>
      <w:bookmarkEnd w:id="0"/>
      <w:r w:rsidRPr="00BF1400">
        <w:rPr>
          <w:rFonts w:eastAsiaTheme="majorEastAsia" w:cs="Arial"/>
          <w:bCs/>
        </w:rPr>
        <w:t>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520CF5">
        <w:rPr>
          <w:b/>
          <w:color w:val="00642D"/>
        </w:rPr>
        <w:t>Incorporación de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 informar sobre la normativa que le resulta de aplicación</w:t>
      </w:r>
      <w:r>
        <w:rPr>
          <w:rFonts w:eastAsiaTheme="minorHAnsi" w:cs="Arial"/>
          <w:lang w:eastAsia="en-US" w:bidi="es-ES"/>
        </w:rPr>
        <w:t>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</w:t>
      </w:r>
      <w:r>
        <w:rPr>
          <w:rFonts w:eastAsiaTheme="minorHAnsi" w:cs="Arial"/>
          <w:lang w:eastAsia="en-US" w:bidi="es-ES"/>
        </w:rPr>
        <w:t xml:space="preserve"> publicarse una descripción de su estructura organizativa.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la identificación de sus responsables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el perfil y trayectoria profesional de sus máximos responsables.</w:t>
      </w:r>
      <w:r w:rsidRPr="00BF1400">
        <w:rPr>
          <w:rFonts w:eastAsiaTheme="minorHAnsi" w:cs="Arial"/>
          <w:szCs w:val="24"/>
          <w:lang w:eastAsia="en-US" w:bidi="es-ES"/>
        </w:rPr>
        <w:t xml:space="preserve"> </w:t>
      </w:r>
    </w:p>
    <w:p w:rsidR="00BE2197" w:rsidRDefault="00BE2197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lastRenderedPageBreak/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 xml:space="preserve">Debe publicarse información sobre los contratos adjudicados por </w:t>
      </w:r>
      <w:r w:rsidR="00520CF5">
        <w:rPr>
          <w:rFonts w:eastAsia="Times New Roman" w:cs="Arial"/>
          <w:bCs/>
          <w:szCs w:val="36"/>
        </w:rPr>
        <w:t xml:space="preserve">todas las </w:t>
      </w:r>
      <w:r w:rsidRPr="00BF1400">
        <w:rPr>
          <w:rFonts w:eastAsia="Times New Roman" w:cs="Arial"/>
          <w:bCs/>
          <w:szCs w:val="36"/>
        </w:rPr>
        <w:t>administraciones públicas</w:t>
      </w:r>
      <w:r w:rsidR="00520CF5">
        <w:rPr>
          <w:rFonts w:eastAsia="Times New Roman" w:cs="Arial"/>
          <w:bCs/>
          <w:szCs w:val="36"/>
        </w:rPr>
        <w:t xml:space="preserve"> del ámbito de actuación de la Fundación</w:t>
      </w:r>
      <w:r w:rsidRPr="00BF1400">
        <w:rPr>
          <w:rFonts w:eastAsia="Times New Roman" w:cs="Arial"/>
          <w:bCs/>
          <w:szCs w:val="36"/>
        </w:rPr>
        <w:t>.</w:t>
      </w:r>
    </w:p>
    <w:p w:rsidR="00894BD4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</w:t>
      </w:r>
      <w:r w:rsidR="00520CF5">
        <w:rPr>
          <w:rFonts w:eastAsia="Times New Roman" w:cs="Arial"/>
          <w:bCs/>
          <w:szCs w:val="36"/>
        </w:rPr>
        <w:t xml:space="preserve"> todas las</w:t>
      </w:r>
      <w:r w:rsidRPr="00BF1400">
        <w:rPr>
          <w:rFonts w:eastAsia="Times New Roman" w:cs="Arial"/>
          <w:bCs/>
          <w:szCs w:val="36"/>
        </w:rPr>
        <w:t xml:space="preserve"> administraciones públicas </w:t>
      </w:r>
      <w:r w:rsidR="00520CF5">
        <w:rPr>
          <w:rFonts w:eastAsia="Times New Roman" w:cs="Arial"/>
          <w:bCs/>
          <w:szCs w:val="36"/>
        </w:rPr>
        <w:t xml:space="preserve">de su ámbito de actuación, </w:t>
      </w:r>
      <w:r w:rsidRPr="00BF1400">
        <w:rPr>
          <w:rFonts w:eastAsia="Times New Roman" w:cs="Arial"/>
          <w:bCs/>
          <w:szCs w:val="36"/>
        </w:rPr>
        <w:t>con mención de las partes firmantes, su objeto, plazo de duración y en su caso, las obligaciones económicas convenidas y su cuantía.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>Debe completarse la información sobre subvenciones y ayudas públicas percibidas</w:t>
      </w:r>
      <w:r w:rsidR="00520CF5">
        <w:rPr>
          <w:rFonts w:eastAsia="Times New Roman" w:cs="Arial"/>
          <w:bCs/>
          <w:szCs w:val="36"/>
        </w:rPr>
        <w:t>, incorporando las subvenciones y ayudas concedidas por el Estado y todas las administraciones públicas de su ámbito de actuación</w:t>
      </w:r>
      <w:proofErr w:type="gramStart"/>
      <w:r w:rsidR="00520CF5">
        <w:rPr>
          <w:rFonts w:eastAsia="Times New Roman" w:cs="Arial"/>
          <w:bCs/>
          <w:szCs w:val="36"/>
        </w:rPr>
        <w:t>.</w:t>
      </w:r>
      <w:r>
        <w:rPr>
          <w:rFonts w:eastAsia="Times New Roman" w:cs="Arial"/>
          <w:bCs/>
          <w:szCs w:val="36"/>
        </w:rPr>
        <w:t>.</w:t>
      </w:r>
      <w:proofErr w:type="gramEnd"/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 xml:space="preserve"> Debe publicarse información sobre el presupuesto.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cs="Arial"/>
          <w:bCs/>
        </w:rPr>
      </w:pPr>
      <w:r w:rsidRPr="00BF1400">
        <w:rPr>
          <w:rFonts w:cs="Arial"/>
          <w:bCs/>
        </w:rPr>
        <w:t>Deben publicarse las cuentas anuales.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0" w:line="240" w:lineRule="auto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894BD4" w:rsidRPr="00BF1400" w:rsidRDefault="00894BD4" w:rsidP="00894BD4">
      <w:pPr>
        <w:spacing w:line="240" w:lineRule="auto"/>
        <w:rPr>
          <w:rFonts w:cs="Arial"/>
          <w:bCs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:rsidR="00520CF5" w:rsidRPr="00BF1400" w:rsidRDefault="00894BD4" w:rsidP="00520CF5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520CF5" w:rsidRPr="00520CF5">
        <w:rPr>
          <w:rFonts w:eastAsiaTheme="minorHAnsi"/>
          <w:szCs w:val="24"/>
          <w:lang w:eastAsia="en-US"/>
        </w:rPr>
        <w:t xml:space="preserve"> </w:t>
      </w:r>
      <w:r w:rsidR="00520CF5">
        <w:rPr>
          <w:rFonts w:eastAsiaTheme="minorHAnsi"/>
          <w:szCs w:val="24"/>
          <w:lang w:eastAsia="en-US"/>
        </w:rPr>
        <w:t>Para ello bastaría con que la fecha de la última revisión o actualización de la información se publique en la página inicial del Portal de Transparencia.</w:t>
      </w:r>
    </w:p>
    <w:p w:rsidR="00520CF5" w:rsidRPr="00BF1400" w:rsidRDefault="00520CF5" w:rsidP="00520CF5">
      <w:pPr>
        <w:spacing w:before="120" w:after="120" w:line="24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520CF5" w:rsidRDefault="00520CF5" w:rsidP="00520CF5">
      <w:pPr>
        <w:numPr>
          <w:ilvl w:val="0"/>
          <w:numId w:val="20"/>
        </w:numPr>
        <w:contextualSpacing/>
        <w:jc w:val="both"/>
      </w:pPr>
      <w:r w:rsidRPr="009E35FC"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A55F6E" w:rsidRDefault="00A55F6E" w:rsidP="00520CF5">
      <w:pPr>
        <w:spacing w:before="120" w:after="120" w:line="24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A55F6E" w:rsidRPr="00A55F6E" w:rsidRDefault="00A55F6E" w:rsidP="00894BD4">
      <w:pPr>
        <w:numPr>
          <w:ilvl w:val="0"/>
          <w:numId w:val="23"/>
        </w:numPr>
        <w:spacing w:before="120" w:after="120" w:line="240" w:lineRule="auto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704CD9" w:rsidRPr="00704CD9" w:rsidRDefault="00704CD9" w:rsidP="00704CD9"/>
    <w:p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520CF5">
        <w:t>julio</w:t>
      </w:r>
      <w:r w:rsidR="005B3AEE">
        <w:t xml:space="preserve"> de 2023</w:t>
      </w:r>
      <w:r>
        <w:t xml:space="preserve"> </w:t>
      </w:r>
    </w:p>
    <w:p w:rsidR="00905D36" w:rsidRDefault="00905D36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121FBA" w:rsidRDefault="00121FBA" w:rsidP="00FC4E4F">
      <w:pPr>
        <w:jc w:val="right"/>
      </w:pPr>
    </w:p>
    <w:p w:rsidR="001F645B" w:rsidRPr="001F645B" w:rsidRDefault="007E430D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EAD" w:rsidRDefault="00CA7EAD" w:rsidP="00932008">
      <w:pPr>
        <w:spacing w:after="0" w:line="240" w:lineRule="auto"/>
      </w:pPr>
      <w:r>
        <w:separator/>
      </w:r>
    </w:p>
  </w:endnote>
  <w:endnote w:type="continuationSeparator" w:id="0">
    <w:p w:rsidR="00CA7EAD" w:rsidRDefault="00CA7EAD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AD" w:rsidRDefault="00CA7E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AD" w:rsidRDefault="00CA7EA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AD" w:rsidRDefault="00CA7E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EAD" w:rsidRDefault="00CA7EAD" w:rsidP="00932008">
      <w:pPr>
        <w:spacing w:after="0" w:line="240" w:lineRule="auto"/>
      </w:pPr>
      <w:r>
        <w:separator/>
      </w:r>
    </w:p>
  </w:footnote>
  <w:footnote w:type="continuationSeparator" w:id="0">
    <w:p w:rsidR="00CA7EAD" w:rsidRDefault="00CA7EAD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AD" w:rsidRDefault="007E430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7391" o:spid="_x0000_s4301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AD" w:rsidRDefault="007E430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7392" o:spid="_x0000_s4301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AD" w:rsidRDefault="007E430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7390" o:spid="_x0000_s4300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3" type="#_x0000_t75" style="width:9pt;height:9pt" o:bullet="t">
        <v:imagedata r:id="rId1" o:title="BD14533_"/>
      </v:shape>
    </w:pict>
  </w:numPicBullet>
  <w:numPicBullet w:numPicBulletId="1">
    <w:pict>
      <v:shape id="_x0000_i1284" type="#_x0000_t75" style="width:11.25pt;height:11.25pt" o:bullet="t">
        <v:imagedata r:id="rId2" o:title="BD14654_"/>
      </v:shape>
    </w:pict>
  </w:numPicBullet>
  <w:numPicBullet w:numPicBulletId="2">
    <w:pict>
      <v:shape id="_x0000_i1285" type="#_x0000_t75" style="width:9pt;height:9pt" o:bullet="t">
        <v:imagedata r:id="rId3" o:title="BD21296_"/>
      </v:shape>
    </w:pict>
  </w:numPicBullet>
  <w:numPicBullet w:numPicBulletId="3">
    <w:pict>
      <v:shape id="_x0000_i1286" type="#_x0000_t75" style="width:9pt;height:9pt" o:bullet="t">
        <v:imagedata r:id="rId4" o:title="BD14533_"/>
      </v:shape>
    </w:pict>
  </w:numPicBullet>
  <w:numPicBullet w:numPicBulletId="4">
    <w:pict>
      <v:shape id="_x0000_i1287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60249"/>
    <w:multiLevelType w:val="hybridMultilevel"/>
    <w:tmpl w:val="A0BE397E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D872A2"/>
    <w:multiLevelType w:val="hybridMultilevel"/>
    <w:tmpl w:val="AA1C69A4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6E45E2"/>
    <w:multiLevelType w:val="hybridMultilevel"/>
    <w:tmpl w:val="67B4C6A8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"/>
  </w:num>
  <w:num w:numId="4">
    <w:abstractNumId w:val="14"/>
  </w:num>
  <w:num w:numId="5">
    <w:abstractNumId w:val="12"/>
  </w:num>
  <w:num w:numId="6">
    <w:abstractNumId w:val="15"/>
  </w:num>
  <w:num w:numId="7">
    <w:abstractNumId w:val="23"/>
  </w:num>
  <w:num w:numId="8">
    <w:abstractNumId w:val="25"/>
  </w:num>
  <w:num w:numId="9">
    <w:abstractNumId w:val="3"/>
  </w:num>
  <w:num w:numId="10">
    <w:abstractNumId w:val="20"/>
  </w:num>
  <w:num w:numId="11">
    <w:abstractNumId w:val="11"/>
  </w:num>
  <w:num w:numId="12">
    <w:abstractNumId w:val="0"/>
  </w:num>
  <w:num w:numId="13">
    <w:abstractNumId w:val="4"/>
  </w:num>
  <w:num w:numId="14">
    <w:abstractNumId w:val="18"/>
  </w:num>
  <w:num w:numId="15">
    <w:abstractNumId w:val="9"/>
  </w:num>
  <w:num w:numId="16">
    <w:abstractNumId w:val="8"/>
  </w:num>
  <w:num w:numId="17">
    <w:abstractNumId w:val="21"/>
  </w:num>
  <w:num w:numId="18">
    <w:abstractNumId w:val="13"/>
  </w:num>
  <w:num w:numId="19">
    <w:abstractNumId w:val="6"/>
  </w:num>
  <w:num w:numId="20">
    <w:abstractNumId w:val="24"/>
  </w:num>
  <w:num w:numId="21">
    <w:abstractNumId w:val="7"/>
  </w:num>
  <w:num w:numId="22">
    <w:abstractNumId w:val="2"/>
  </w:num>
  <w:num w:numId="23">
    <w:abstractNumId w:val="22"/>
  </w:num>
  <w:num w:numId="24">
    <w:abstractNumId w:val="10"/>
  </w:num>
  <w:num w:numId="25">
    <w:abstractNumId w:val="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  <o:shapelayout v:ext="edit">
      <o:idmap v:ext="edit" data="4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C6CFF"/>
    <w:rsid w:val="0010045F"/>
    <w:rsid w:val="00102733"/>
    <w:rsid w:val="001152DF"/>
    <w:rsid w:val="001216D4"/>
    <w:rsid w:val="00121FBA"/>
    <w:rsid w:val="00123D58"/>
    <w:rsid w:val="001561A4"/>
    <w:rsid w:val="00175C2F"/>
    <w:rsid w:val="001B3851"/>
    <w:rsid w:val="001F645B"/>
    <w:rsid w:val="00263797"/>
    <w:rsid w:val="00272D2D"/>
    <w:rsid w:val="00295EEB"/>
    <w:rsid w:val="002A154B"/>
    <w:rsid w:val="002D0E9C"/>
    <w:rsid w:val="00326862"/>
    <w:rsid w:val="00361AC5"/>
    <w:rsid w:val="0036594B"/>
    <w:rsid w:val="00382D7B"/>
    <w:rsid w:val="003E307B"/>
    <w:rsid w:val="003F05F5"/>
    <w:rsid w:val="003F271E"/>
    <w:rsid w:val="003F572A"/>
    <w:rsid w:val="00454391"/>
    <w:rsid w:val="00456EA7"/>
    <w:rsid w:val="004C0F5F"/>
    <w:rsid w:val="004D4907"/>
    <w:rsid w:val="004F2655"/>
    <w:rsid w:val="004F3953"/>
    <w:rsid w:val="00520CF5"/>
    <w:rsid w:val="00521DA9"/>
    <w:rsid w:val="00536ED0"/>
    <w:rsid w:val="00537708"/>
    <w:rsid w:val="00544E0C"/>
    <w:rsid w:val="00561402"/>
    <w:rsid w:val="00571438"/>
    <w:rsid w:val="0057532F"/>
    <w:rsid w:val="005B13BD"/>
    <w:rsid w:val="005B3AEE"/>
    <w:rsid w:val="005B6CF5"/>
    <w:rsid w:val="005C14C5"/>
    <w:rsid w:val="005F29B8"/>
    <w:rsid w:val="00674DA4"/>
    <w:rsid w:val="00676C76"/>
    <w:rsid w:val="006A2766"/>
    <w:rsid w:val="006B3064"/>
    <w:rsid w:val="006C1999"/>
    <w:rsid w:val="006E708E"/>
    <w:rsid w:val="00704CD9"/>
    <w:rsid w:val="00710031"/>
    <w:rsid w:val="00743756"/>
    <w:rsid w:val="007A488E"/>
    <w:rsid w:val="007B0F99"/>
    <w:rsid w:val="007D1EA8"/>
    <w:rsid w:val="007E430D"/>
    <w:rsid w:val="008063AC"/>
    <w:rsid w:val="00814E93"/>
    <w:rsid w:val="00843911"/>
    <w:rsid w:val="00844FA9"/>
    <w:rsid w:val="008640BD"/>
    <w:rsid w:val="0089480B"/>
    <w:rsid w:val="00894BD4"/>
    <w:rsid w:val="008C1E1E"/>
    <w:rsid w:val="008E49C3"/>
    <w:rsid w:val="008F044E"/>
    <w:rsid w:val="009000D9"/>
    <w:rsid w:val="00905D36"/>
    <w:rsid w:val="00932008"/>
    <w:rsid w:val="009609E9"/>
    <w:rsid w:val="0096428E"/>
    <w:rsid w:val="009F059D"/>
    <w:rsid w:val="009F1191"/>
    <w:rsid w:val="00A122E8"/>
    <w:rsid w:val="00A50B71"/>
    <w:rsid w:val="00A550F7"/>
    <w:rsid w:val="00A55F6E"/>
    <w:rsid w:val="00A87AFB"/>
    <w:rsid w:val="00AB3044"/>
    <w:rsid w:val="00AC12DB"/>
    <w:rsid w:val="00AD174D"/>
    <w:rsid w:val="00AD2022"/>
    <w:rsid w:val="00AE06DF"/>
    <w:rsid w:val="00AE557E"/>
    <w:rsid w:val="00AF3D56"/>
    <w:rsid w:val="00AF45DD"/>
    <w:rsid w:val="00B14CA2"/>
    <w:rsid w:val="00B213ED"/>
    <w:rsid w:val="00B35A03"/>
    <w:rsid w:val="00B35B7B"/>
    <w:rsid w:val="00B40246"/>
    <w:rsid w:val="00B53D32"/>
    <w:rsid w:val="00B841AE"/>
    <w:rsid w:val="00B8465C"/>
    <w:rsid w:val="00BA397C"/>
    <w:rsid w:val="00BB6799"/>
    <w:rsid w:val="00BD4582"/>
    <w:rsid w:val="00BE2197"/>
    <w:rsid w:val="00BE6A46"/>
    <w:rsid w:val="00C33A23"/>
    <w:rsid w:val="00C37DD6"/>
    <w:rsid w:val="00C44DD3"/>
    <w:rsid w:val="00C5416F"/>
    <w:rsid w:val="00C55BB1"/>
    <w:rsid w:val="00C5744D"/>
    <w:rsid w:val="00C727F4"/>
    <w:rsid w:val="00C857F7"/>
    <w:rsid w:val="00C94871"/>
    <w:rsid w:val="00C9604D"/>
    <w:rsid w:val="00CA7EAD"/>
    <w:rsid w:val="00CB45FC"/>
    <w:rsid w:val="00CB5511"/>
    <w:rsid w:val="00CC2049"/>
    <w:rsid w:val="00D96F84"/>
    <w:rsid w:val="00DA702C"/>
    <w:rsid w:val="00DD2A83"/>
    <w:rsid w:val="00DF63E7"/>
    <w:rsid w:val="00E10590"/>
    <w:rsid w:val="00E3088D"/>
    <w:rsid w:val="00E34195"/>
    <w:rsid w:val="00E47613"/>
    <w:rsid w:val="00E67A3E"/>
    <w:rsid w:val="00EA43C9"/>
    <w:rsid w:val="00EC39D5"/>
    <w:rsid w:val="00EE1C8D"/>
    <w:rsid w:val="00F14DA4"/>
    <w:rsid w:val="00F27CB9"/>
    <w:rsid w:val="00F42079"/>
    <w:rsid w:val="00F47C3B"/>
    <w:rsid w:val="00F579EB"/>
    <w:rsid w:val="00F71D7D"/>
    <w:rsid w:val="00F73FBC"/>
    <w:rsid w:val="00F86B85"/>
    <w:rsid w:val="00FA7C0C"/>
    <w:rsid w:val="00FB2688"/>
    <w:rsid w:val="00FC4E4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7.tmp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fmyv.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6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15B4A"/>
    <w:rsid w:val="00391DD4"/>
    <w:rsid w:val="003D088C"/>
    <w:rsid w:val="00543E16"/>
    <w:rsid w:val="005B0190"/>
    <w:rsid w:val="008B1136"/>
    <w:rsid w:val="008F4F2E"/>
    <w:rsid w:val="00AB6DFB"/>
    <w:rsid w:val="00AC3AC2"/>
    <w:rsid w:val="00B76BBA"/>
    <w:rsid w:val="00D051CA"/>
    <w:rsid w:val="00D35513"/>
    <w:rsid w:val="00DE55C7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B49CDE-D8C9-4DBF-8C2E-4B58D0B8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195</TotalTime>
  <Pages>10</Pages>
  <Words>2112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10</cp:revision>
  <cp:lastPrinted>2022-05-12T06:51:00Z</cp:lastPrinted>
  <dcterms:created xsi:type="dcterms:W3CDTF">2023-06-20T12:17:00Z</dcterms:created>
  <dcterms:modified xsi:type="dcterms:W3CDTF">2023-09-12T12:11:00Z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