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B843" w14:textId="77777777"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EDB95B" wp14:editId="7EEC884F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B293A" w14:textId="77777777" w:rsidR="00382946" w:rsidRPr="00CA4132" w:rsidRDefault="004627DC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382946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382946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38294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Acerinox Europa SA</w:t>
                                </w:r>
                                <w:r w:rsidR="00382946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382946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DB95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AEB293A" w14:textId="77777777" w:rsidR="00382946" w:rsidRPr="00CA4132" w:rsidRDefault="004627D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382946"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382946"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 w:rsidR="0038294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Acerinox Europa SA</w:t>
                          </w:r>
                          <w:r w:rsidR="00382946"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="00382946"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363E00" wp14:editId="62F57737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9BD20C" w14:textId="77777777" w:rsidR="00382946" w:rsidRDefault="00382946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AFE523C" wp14:editId="29A57FFF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63E00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59BD20C" w14:textId="77777777" w:rsidR="00382946" w:rsidRDefault="00382946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AFE523C" wp14:editId="29A57FFF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CC3A853" w14:textId="77777777" w:rsidR="0082470D" w:rsidRPr="00B1184C" w:rsidRDefault="0082470D"/>
    <w:p w14:paraId="091D44A8" w14:textId="77777777" w:rsidR="0082470D" w:rsidRPr="00B1184C" w:rsidRDefault="0082470D"/>
    <w:p w14:paraId="42DFA5F7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18EED2C5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1D188179" w14:textId="77777777"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EB646D" wp14:editId="4A789592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782C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02BB162" w14:textId="77777777" w:rsidR="0082470D" w:rsidRDefault="0082470D" w:rsidP="0082470D">
      <w:pPr>
        <w:rPr>
          <w:rFonts w:ascii="Arial" w:hAnsi="Arial"/>
          <w:b/>
          <w:sz w:val="36"/>
        </w:rPr>
      </w:pPr>
    </w:p>
    <w:p w14:paraId="3740DFCF" w14:textId="77777777"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876FDE" w:rsidRPr="00D1424C" w14:paraId="2DB40114" w14:textId="77777777" w:rsidTr="00876FD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CE8E" w14:textId="77777777" w:rsidR="00876FDE" w:rsidRPr="00D1424C" w:rsidRDefault="00876FDE" w:rsidP="00876FDE">
            <w:pPr>
              <w:rPr>
                <w:b/>
                <w:color w:val="00642D"/>
                <w:sz w:val="24"/>
                <w:lang w:eastAsia="es-ES"/>
              </w:rPr>
            </w:pPr>
            <w:r w:rsidRPr="00D1424C">
              <w:rPr>
                <w:b/>
                <w:color w:val="00642D"/>
                <w:sz w:val="24"/>
                <w:lang w:eastAsia="es-ES"/>
              </w:rPr>
              <w:t>Fecha de la evaluación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0CEE" w14:textId="77777777" w:rsidR="00876FDE" w:rsidRPr="00D1424C" w:rsidRDefault="00876FDE" w:rsidP="00876FDE">
            <w:pPr>
              <w:rPr>
                <w:sz w:val="24"/>
                <w:lang w:eastAsia="es-ES"/>
              </w:rPr>
            </w:pPr>
            <w:r>
              <w:rPr>
                <w:sz w:val="24"/>
                <w:lang w:eastAsia="es-ES"/>
              </w:rPr>
              <w:t>julio</w:t>
            </w:r>
            <w:r w:rsidRPr="00D1424C">
              <w:rPr>
                <w:sz w:val="24"/>
                <w:lang w:eastAsia="es-ES"/>
              </w:rPr>
              <w:t>/2023</w:t>
            </w:r>
          </w:p>
          <w:p w14:paraId="395FDD27" w14:textId="77777777" w:rsidR="00876FDE" w:rsidRPr="00D1424C" w:rsidRDefault="00876FDE" w:rsidP="00876FDE">
            <w:pPr>
              <w:rPr>
                <w:sz w:val="24"/>
                <w:lang w:eastAsia="es-ES"/>
              </w:rPr>
            </w:pPr>
            <w:r w:rsidRPr="00D1424C">
              <w:rPr>
                <w:sz w:val="24"/>
                <w:lang w:eastAsia="es-ES"/>
              </w:rPr>
              <w:t xml:space="preserve">Segunda revisión: </w:t>
            </w:r>
            <w:r>
              <w:rPr>
                <w:sz w:val="24"/>
                <w:lang w:eastAsia="es-ES"/>
              </w:rPr>
              <w:t>24/08/2023</w:t>
            </w:r>
            <w:r w:rsidRPr="00D1424C">
              <w:rPr>
                <w:sz w:val="24"/>
                <w:lang w:eastAsia="es-ES"/>
              </w:rPr>
              <w:t>/2023</w:t>
            </w:r>
          </w:p>
        </w:tc>
      </w:tr>
    </w:tbl>
    <w:p w14:paraId="6D9A22EC" w14:textId="77777777" w:rsidR="00415DBD" w:rsidRDefault="00415DBD" w:rsidP="00415DBD"/>
    <w:p w14:paraId="4D3A9C96" w14:textId="77777777" w:rsidR="008D5455" w:rsidRPr="00B1184C" w:rsidRDefault="008D5455" w:rsidP="00415DBD"/>
    <w:p w14:paraId="5C961336" w14:textId="77777777" w:rsidR="0082470D" w:rsidRPr="002D27E4" w:rsidRDefault="004627DC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046BEDF7" w14:textId="77777777" w:rsidR="0082470D" w:rsidRPr="00B1184C" w:rsidRDefault="0082470D" w:rsidP="0082470D">
      <w:pPr>
        <w:rPr>
          <w:rFonts w:ascii="Arial" w:hAnsi="Arial"/>
        </w:rPr>
      </w:pPr>
    </w:p>
    <w:p w14:paraId="3B94CD0F" w14:textId="77777777"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68B985B" w14:textId="77777777"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14:paraId="6746A800" w14:textId="77777777" w:rsidTr="00CA4132">
        <w:tc>
          <w:tcPr>
            <w:tcW w:w="2093" w:type="dxa"/>
            <w:shd w:val="clear" w:color="auto" w:fill="008A3E"/>
          </w:tcPr>
          <w:p w14:paraId="4460C814" w14:textId="77777777"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14:paraId="4FE88C1E" w14:textId="77777777"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14:paraId="27544779" w14:textId="77777777"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14:paraId="225D4531" w14:textId="77777777" w:rsidTr="00CA4132">
        <w:tc>
          <w:tcPr>
            <w:tcW w:w="2093" w:type="dxa"/>
            <w:vMerge w:val="restart"/>
            <w:vAlign w:val="center"/>
          </w:tcPr>
          <w:p w14:paraId="1CA7E6F0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14:paraId="70533DFB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14:paraId="447DBA3F" w14:textId="77777777" w:rsidR="00A249BB" w:rsidRPr="007942B7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265EEAAA" w14:textId="77777777"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14:paraId="2CB026EC" w14:textId="77777777" w:rsidTr="00CA4132">
        <w:tc>
          <w:tcPr>
            <w:tcW w:w="2093" w:type="dxa"/>
            <w:vMerge/>
          </w:tcPr>
          <w:p w14:paraId="6F341C93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D3920F3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14:paraId="53B1D355" w14:textId="77777777"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6805418A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3A7C40FC" w14:textId="77777777" w:rsidTr="00CA4132">
        <w:tc>
          <w:tcPr>
            <w:tcW w:w="2093" w:type="dxa"/>
            <w:vMerge/>
          </w:tcPr>
          <w:p w14:paraId="7CD1F2C3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D5B2A8A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14:paraId="4D7BA1CF" w14:textId="77777777"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1AFB6C73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1D198720" w14:textId="77777777" w:rsidTr="00260633">
        <w:tc>
          <w:tcPr>
            <w:tcW w:w="2093" w:type="dxa"/>
            <w:vMerge/>
          </w:tcPr>
          <w:p w14:paraId="4BD5C8C8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3847433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14:paraId="6B6AB6AB" w14:textId="77777777"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77EEBEC5" w14:textId="77777777"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A249BB" w:rsidRPr="007942B7" w14:paraId="136C8980" w14:textId="77777777" w:rsidTr="00CA4132">
        <w:tc>
          <w:tcPr>
            <w:tcW w:w="2093" w:type="dxa"/>
            <w:vMerge w:val="restart"/>
            <w:vAlign w:val="center"/>
          </w:tcPr>
          <w:p w14:paraId="77619E54" w14:textId="77777777" w:rsidR="00A249BB" w:rsidRPr="00AF196B" w:rsidRDefault="00A249BB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14:paraId="7703F632" w14:textId="77777777" w:rsidR="00A249BB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  <w:r w:rsidR="0044438D">
              <w:rPr>
                <w:sz w:val="20"/>
                <w:szCs w:val="20"/>
              </w:rPr>
              <w:t>: normas de carácter general</w:t>
            </w:r>
          </w:p>
        </w:tc>
        <w:tc>
          <w:tcPr>
            <w:tcW w:w="567" w:type="dxa"/>
          </w:tcPr>
          <w:p w14:paraId="6E08DBC4" w14:textId="77777777" w:rsidR="00A249BB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64E3D4EE" w14:textId="77777777" w:rsidR="00A249BB" w:rsidRPr="007942B7" w:rsidRDefault="00260633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14:paraId="44A8DECB" w14:textId="77777777" w:rsidTr="00CA4132">
        <w:tc>
          <w:tcPr>
            <w:tcW w:w="2093" w:type="dxa"/>
            <w:vMerge/>
            <w:vAlign w:val="center"/>
          </w:tcPr>
          <w:p w14:paraId="45E3C193" w14:textId="77777777" w:rsidR="00A249BB" w:rsidRPr="00AF196B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D860895" w14:textId="77777777" w:rsidR="00A249BB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14:paraId="2A04105A" w14:textId="77777777" w:rsidR="00A249BB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78F40676" w14:textId="77777777" w:rsidR="00A249BB" w:rsidRPr="00853CB9" w:rsidRDefault="00260633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3A4041">
              <w:rPr>
                <w:sz w:val="20"/>
                <w:szCs w:val="20"/>
              </w:rPr>
              <w:t xml:space="preserve">. </w:t>
            </w:r>
          </w:p>
        </w:tc>
      </w:tr>
      <w:tr w:rsidR="00260633" w:rsidRPr="007942B7" w14:paraId="52B78841" w14:textId="77777777" w:rsidTr="00CA4132">
        <w:tc>
          <w:tcPr>
            <w:tcW w:w="2093" w:type="dxa"/>
            <w:vMerge/>
            <w:vAlign w:val="center"/>
          </w:tcPr>
          <w:p w14:paraId="1D77EA64" w14:textId="77777777" w:rsidR="00260633" w:rsidRPr="00AF196B" w:rsidRDefault="00260633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C67AD3C" w14:textId="77777777" w:rsidR="00260633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14:paraId="506DA565" w14:textId="77777777" w:rsidR="00260633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196F024A" w14:textId="77777777" w:rsidR="00260633" w:rsidRDefault="00260633" w:rsidP="0026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</w:tr>
      <w:tr w:rsidR="00A249BB" w:rsidRPr="007942B7" w14:paraId="3DC2A550" w14:textId="77777777" w:rsidTr="00CA4132">
        <w:tc>
          <w:tcPr>
            <w:tcW w:w="2093" w:type="dxa"/>
            <w:vMerge/>
            <w:vAlign w:val="center"/>
          </w:tcPr>
          <w:p w14:paraId="65F3085E" w14:textId="77777777" w:rsidR="00A249BB" w:rsidRPr="00AF196B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794E76C" w14:textId="77777777" w:rsidR="00A249BB" w:rsidRDefault="00A249BB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  <w:r w:rsidR="00806AFB">
              <w:rPr>
                <w:sz w:val="20"/>
                <w:szCs w:val="20"/>
              </w:rPr>
              <w:t xml:space="preserve"> adjudicados por una administración pública</w:t>
            </w:r>
          </w:p>
        </w:tc>
        <w:tc>
          <w:tcPr>
            <w:tcW w:w="567" w:type="dxa"/>
          </w:tcPr>
          <w:p w14:paraId="667EFBF0" w14:textId="77777777" w:rsidR="00A249BB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309420FF" w14:textId="77777777" w:rsidR="00A249BB" w:rsidRPr="00173B7B" w:rsidRDefault="00260633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3A4041">
              <w:rPr>
                <w:sz w:val="20"/>
                <w:szCs w:val="20"/>
              </w:rPr>
              <w:t xml:space="preserve"> </w:t>
            </w:r>
          </w:p>
        </w:tc>
      </w:tr>
      <w:tr w:rsidR="00A249BB" w:rsidRPr="007942B7" w14:paraId="4D9CDCC3" w14:textId="7777777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14:paraId="6F4CBD42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14:paraId="6E058CF4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14:paraId="65FD4FC5" w14:textId="77777777"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41EA1E65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27A36D1E" w14:textId="77777777" w:rsidTr="00CA4132">
        <w:tc>
          <w:tcPr>
            <w:tcW w:w="2093" w:type="dxa"/>
            <w:vMerge/>
          </w:tcPr>
          <w:p w14:paraId="15CDF70A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98AF814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35BC8A6" w14:textId="77777777"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732D3050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11F25EAB" w14:textId="77777777" w:rsidTr="00CA4132">
        <w:tc>
          <w:tcPr>
            <w:tcW w:w="2093" w:type="dxa"/>
            <w:vMerge/>
          </w:tcPr>
          <w:p w14:paraId="439DDBB5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A02975B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14:paraId="70754769" w14:textId="77777777"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5E4180AD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22044801" w14:textId="77777777" w:rsidTr="00CA4132">
        <w:tc>
          <w:tcPr>
            <w:tcW w:w="2093" w:type="dxa"/>
            <w:vMerge/>
          </w:tcPr>
          <w:p w14:paraId="1A26763A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50925A13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14:paraId="19965DED" w14:textId="77777777"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389E0A77" w14:textId="77777777"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14:paraId="7ACD7AEF" w14:textId="77777777" w:rsidTr="00CA4132">
        <w:tc>
          <w:tcPr>
            <w:tcW w:w="2093" w:type="dxa"/>
            <w:vMerge/>
          </w:tcPr>
          <w:p w14:paraId="194B20DD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238713C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A5CF86A" w14:textId="77777777"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5BB2F0D1" w14:textId="77777777"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14:paraId="5E52E2FF" w14:textId="77777777" w:rsidTr="00CA4132">
        <w:tc>
          <w:tcPr>
            <w:tcW w:w="6912" w:type="dxa"/>
            <w:gridSpan w:val="2"/>
          </w:tcPr>
          <w:p w14:paraId="37F20A14" w14:textId="77777777"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14:paraId="5B79606E" w14:textId="77777777" w:rsidR="00A249BB" w:rsidRPr="001C7D84" w:rsidRDefault="006F00ED" w:rsidP="00CA4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03" w:type="dxa"/>
          </w:tcPr>
          <w:p w14:paraId="5A753A85" w14:textId="77777777"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14:paraId="2CDB32F2" w14:textId="77777777" w:rsidR="003A1694" w:rsidRDefault="003A1694" w:rsidP="00AC4A6F"/>
    <w:p w14:paraId="703E2D60" w14:textId="77777777" w:rsidR="00DF56A7" w:rsidRDefault="00DF56A7" w:rsidP="00DF56A7">
      <w:pPr>
        <w:jc w:val="both"/>
      </w:pPr>
    </w:p>
    <w:p w14:paraId="1C5FB64F" w14:textId="77777777" w:rsidR="00BA4354" w:rsidRDefault="00560E15" w:rsidP="00DF56A7">
      <w:pPr>
        <w:jc w:val="both"/>
      </w:pPr>
      <w:r>
        <w:t>Acerinox Europa SA</w:t>
      </w:r>
      <w:r w:rsidR="00260633">
        <w:t xml:space="preserve"> no</w:t>
      </w:r>
      <w:r w:rsidR="00CA4132">
        <w:t xml:space="preserve"> </w:t>
      </w:r>
      <w:r w:rsidR="00C52EE5">
        <w:t xml:space="preserve">ha aplicado </w:t>
      </w:r>
      <w:r w:rsidR="00260633">
        <w:t>ninguna</w:t>
      </w:r>
      <w:r w:rsidR="00DD6D85">
        <w:t xml:space="preserve"> </w:t>
      </w:r>
      <w:r w:rsidR="00C52EE5" w:rsidRPr="0076567C">
        <w:t xml:space="preserve">de las </w:t>
      </w:r>
      <w:r w:rsidR="006F00ED">
        <w:t>seis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14:paraId="1EE1C70C" w14:textId="77777777" w:rsidR="00FA5AFD" w:rsidRDefault="00FA5AFD" w:rsidP="00AC4A6F"/>
    <w:p w14:paraId="569DE2BC" w14:textId="77777777" w:rsidR="00560E15" w:rsidRDefault="00560E15" w:rsidP="00AC4A6F"/>
    <w:p w14:paraId="02103C2A" w14:textId="77777777" w:rsidR="00560E15" w:rsidRDefault="00560E15" w:rsidP="00AC4A6F"/>
    <w:p w14:paraId="43E0C005" w14:textId="77777777" w:rsidR="00560E15" w:rsidRDefault="00560E15" w:rsidP="00AC4A6F"/>
    <w:p w14:paraId="20335278" w14:textId="77777777" w:rsidR="00560E15" w:rsidRDefault="00560E15" w:rsidP="00AC4A6F"/>
    <w:p w14:paraId="6BEF771E" w14:textId="77777777" w:rsidR="00560E15" w:rsidRDefault="00560E15" w:rsidP="00AC4A6F"/>
    <w:p w14:paraId="5CB9BC92" w14:textId="77777777" w:rsidR="00560E15" w:rsidRDefault="00560E15" w:rsidP="00AC4A6F"/>
    <w:p w14:paraId="5C8424D9" w14:textId="77777777"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0ED224" wp14:editId="46A06939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D98A44" w14:textId="77777777" w:rsidR="00382946" w:rsidRPr="00F31BC3" w:rsidRDefault="0038294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D2C15F4" wp14:editId="2F5313F3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ED224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1DD98A44" w14:textId="77777777" w:rsidR="00382946" w:rsidRPr="00F31BC3" w:rsidRDefault="0038294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D2C15F4" wp14:editId="2F5313F3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548683AE" w14:textId="77777777" w:rsidR="003F6EDC" w:rsidRPr="002D27E4" w:rsidRDefault="004627DC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477684CD" w14:textId="77777777"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191BE4" w:rsidRPr="00191BE4" w14:paraId="699D956E" w14:textId="77777777" w:rsidTr="00462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8D1771A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6D2F6FE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65A19E1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99FC201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0E25E1A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740FF0F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385C6C7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E27A273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18FEDAB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382946" w:rsidRPr="00191BE4" w14:paraId="6A728CEF" w14:textId="77777777" w:rsidTr="0046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5D7A94C5" w14:textId="77777777" w:rsidR="00382946" w:rsidRPr="00191BE4" w:rsidRDefault="00382946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42AA346A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58,3</w:t>
            </w:r>
          </w:p>
        </w:tc>
        <w:tc>
          <w:tcPr>
            <w:tcW w:w="344" w:type="pct"/>
            <w:noWrap/>
            <w:vAlign w:val="center"/>
          </w:tcPr>
          <w:p w14:paraId="16A9A119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049606B7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0A8C4AAA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4319075E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323C700D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53A36076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41,7</w:t>
            </w:r>
          </w:p>
        </w:tc>
        <w:tc>
          <w:tcPr>
            <w:tcW w:w="344" w:type="pct"/>
            <w:noWrap/>
            <w:vAlign w:val="center"/>
          </w:tcPr>
          <w:p w14:paraId="3DB8827B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61,9</w:t>
            </w:r>
          </w:p>
        </w:tc>
      </w:tr>
      <w:tr w:rsidR="00382946" w:rsidRPr="00191BE4" w14:paraId="49F159A7" w14:textId="77777777" w:rsidTr="004627D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795AE60" w14:textId="77777777" w:rsidR="00382946" w:rsidRPr="00191BE4" w:rsidRDefault="00382946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544F74E3" w14:textId="77777777" w:rsidR="00382946" w:rsidRPr="00382946" w:rsidRDefault="00382946" w:rsidP="0038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07440468" w14:textId="77777777" w:rsidR="00382946" w:rsidRPr="00382946" w:rsidRDefault="00382946" w:rsidP="0038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5769B863" w14:textId="77777777" w:rsidR="00382946" w:rsidRPr="00382946" w:rsidRDefault="00382946" w:rsidP="0038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0DD3870F" w14:textId="77777777" w:rsidR="00382946" w:rsidRPr="00382946" w:rsidRDefault="00382946" w:rsidP="0038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06F0FCCE" w14:textId="77777777" w:rsidR="00382946" w:rsidRPr="00382946" w:rsidRDefault="00382946" w:rsidP="0038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661F20B5" w14:textId="77777777" w:rsidR="00382946" w:rsidRPr="00382946" w:rsidRDefault="00382946" w:rsidP="0038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5336B098" w14:textId="77777777" w:rsidR="00382946" w:rsidRPr="00382946" w:rsidRDefault="00382946" w:rsidP="0038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57,1</w:t>
            </w:r>
          </w:p>
        </w:tc>
        <w:tc>
          <w:tcPr>
            <w:tcW w:w="344" w:type="pct"/>
            <w:noWrap/>
            <w:vAlign w:val="center"/>
          </w:tcPr>
          <w:p w14:paraId="7421A62F" w14:textId="77777777" w:rsidR="00382946" w:rsidRPr="00382946" w:rsidRDefault="00382946" w:rsidP="00382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2946">
              <w:rPr>
                <w:sz w:val="18"/>
              </w:rPr>
              <w:t>44,9</w:t>
            </w:r>
          </w:p>
        </w:tc>
      </w:tr>
      <w:tr w:rsidR="00382946" w:rsidRPr="00191BE4" w14:paraId="4F880AFD" w14:textId="77777777" w:rsidTr="00462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B0929D1" w14:textId="77777777" w:rsidR="00382946" w:rsidRPr="00191BE4" w:rsidRDefault="00382946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39962213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382946">
              <w:rPr>
                <w:b/>
                <w:i/>
                <w:sz w:val="18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4FA60300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382946">
              <w:rPr>
                <w:b/>
                <w:i/>
                <w:sz w:val="18"/>
              </w:rPr>
              <w:t>53,8</w:t>
            </w:r>
          </w:p>
        </w:tc>
        <w:tc>
          <w:tcPr>
            <w:tcW w:w="344" w:type="pct"/>
            <w:noWrap/>
            <w:vAlign w:val="center"/>
          </w:tcPr>
          <w:p w14:paraId="2ECDF782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382946">
              <w:rPr>
                <w:b/>
                <w:i/>
                <w:sz w:val="18"/>
              </w:rPr>
              <w:t>53,8</w:t>
            </w:r>
          </w:p>
        </w:tc>
        <w:tc>
          <w:tcPr>
            <w:tcW w:w="344" w:type="pct"/>
            <w:noWrap/>
            <w:vAlign w:val="center"/>
          </w:tcPr>
          <w:p w14:paraId="2E9D0E45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382946">
              <w:rPr>
                <w:b/>
                <w:i/>
                <w:sz w:val="18"/>
              </w:rPr>
              <w:t>53,8</w:t>
            </w:r>
          </w:p>
        </w:tc>
        <w:tc>
          <w:tcPr>
            <w:tcW w:w="344" w:type="pct"/>
            <w:noWrap/>
            <w:vAlign w:val="center"/>
          </w:tcPr>
          <w:p w14:paraId="5A3930F3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382946">
              <w:rPr>
                <w:b/>
                <w:i/>
                <w:sz w:val="18"/>
              </w:rPr>
              <w:t>53,8</w:t>
            </w:r>
          </w:p>
        </w:tc>
        <w:tc>
          <w:tcPr>
            <w:tcW w:w="344" w:type="pct"/>
            <w:noWrap/>
            <w:vAlign w:val="center"/>
          </w:tcPr>
          <w:p w14:paraId="5F17C9D8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382946">
              <w:rPr>
                <w:b/>
                <w:i/>
                <w:sz w:val="18"/>
              </w:rPr>
              <w:t>53,8</w:t>
            </w:r>
          </w:p>
        </w:tc>
        <w:tc>
          <w:tcPr>
            <w:tcW w:w="344" w:type="pct"/>
            <w:noWrap/>
            <w:vAlign w:val="center"/>
          </w:tcPr>
          <w:p w14:paraId="2EA74F11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382946">
              <w:rPr>
                <w:b/>
                <w:i/>
                <w:sz w:val="18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639112B8" w14:textId="77777777" w:rsidR="00382946" w:rsidRPr="00382946" w:rsidRDefault="00382946" w:rsidP="00382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382946">
              <w:rPr>
                <w:b/>
                <w:i/>
                <w:sz w:val="18"/>
              </w:rPr>
              <w:t>52,7</w:t>
            </w:r>
          </w:p>
        </w:tc>
      </w:tr>
    </w:tbl>
    <w:p w14:paraId="311A6633" w14:textId="77777777" w:rsidR="00FA5AFD" w:rsidRDefault="00FA5AFD" w:rsidP="00F05E2C">
      <w:pPr>
        <w:pStyle w:val="Cuerpodelboletn"/>
        <w:rPr>
          <w:lang w:bidi="es-ES"/>
        </w:rPr>
      </w:pPr>
    </w:p>
    <w:p w14:paraId="5CCF87A5" w14:textId="77777777" w:rsidR="00A670E9" w:rsidRDefault="004061BC" w:rsidP="00BD5B2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382946">
        <w:rPr>
          <w:lang w:bidi="es-ES"/>
        </w:rPr>
        <w:t>52,7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Respecto de 2022</w:t>
      </w:r>
      <w:r w:rsidR="00BB3652">
        <w:rPr>
          <w:lang w:bidi="es-ES"/>
        </w:rPr>
        <w:t xml:space="preserve"> se produce </w:t>
      </w:r>
      <w:r w:rsidR="00382946">
        <w:rPr>
          <w:lang w:bidi="es-ES"/>
        </w:rPr>
        <w:t>una minoración</w:t>
      </w:r>
      <w:r w:rsidR="00BB3652">
        <w:rPr>
          <w:lang w:bidi="es-ES"/>
        </w:rPr>
        <w:t xml:space="preserve"> de </w:t>
      </w:r>
      <w:r w:rsidR="00382946">
        <w:rPr>
          <w:lang w:bidi="es-ES"/>
        </w:rPr>
        <w:t xml:space="preserve">15,7 </w:t>
      </w:r>
      <w:r w:rsidR="00BB3652">
        <w:rPr>
          <w:lang w:bidi="es-ES"/>
        </w:rPr>
        <w:t>puntos porcentuales atribuible</w:t>
      </w:r>
      <w:r w:rsidR="0076567C">
        <w:rPr>
          <w:lang w:bidi="es-ES"/>
        </w:rPr>
        <w:t xml:space="preserve">s a la </w:t>
      </w:r>
      <w:r w:rsidR="00382946">
        <w:rPr>
          <w:lang w:bidi="es-ES"/>
        </w:rPr>
        <w:t xml:space="preserve">a la revisión a la baja de las obligaciones Convenios y Subvenciones y ayudas Públicas, dado que no ha sido posible localizar la información sobre ambas obligaciones </w:t>
      </w:r>
      <w:r w:rsidR="000C1612">
        <w:rPr>
          <w:lang w:bidi="es-ES"/>
        </w:rPr>
        <w:t xml:space="preserve">que en 2022 estaba publicada en el acceso  </w:t>
      </w:r>
      <w:r w:rsidR="000C1612" w:rsidRPr="000C1612">
        <w:rPr>
          <w:bCs/>
        </w:rPr>
        <w:t>Accionistas e Inversores/sostenibilidad</w:t>
      </w:r>
      <w:r w:rsidR="00BD5B29">
        <w:rPr>
          <w:lang w:bidi="es-ES"/>
        </w:rPr>
        <w:t>.</w:t>
      </w:r>
    </w:p>
    <w:p w14:paraId="2093ABF8" w14:textId="77777777"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5C391991" w14:textId="77777777"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1596ACAA" w14:textId="77777777" w:rsidR="00965C69" w:rsidRDefault="00965C69" w:rsidP="00965C69">
      <w:pPr>
        <w:pStyle w:val="Cuerpodelboletn"/>
      </w:pPr>
    </w:p>
    <w:p w14:paraId="506AB931" w14:textId="77777777"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560E15">
        <w:t>Acerinox Europa SA</w:t>
      </w:r>
      <w:r w:rsidR="000C1612">
        <w:t>, que decrece respecto del nivel alcanzado en 2022.</w:t>
      </w:r>
      <w:r>
        <w:t xml:space="preserve"> No se ha aplicado ninguna de las recomendaciones derivadas de la evaluación realizada en 2022.</w:t>
      </w:r>
    </w:p>
    <w:p w14:paraId="294F78ED" w14:textId="77777777" w:rsidR="00260633" w:rsidRDefault="00260633" w:rsidP="00260633">
      <w:pPr>
        <w:pStyle w:val="Cuerpodelboletn"/>
      </w:pPr>
      <w:r>
        <w:t xml:space="preserve">Como consecuencia de esto persisten los déficits evidenciados en dicha evaluación: </w:t>
      </w:r>
    </w:p>
    <w:p w14:paraId="68DED3B1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F187C0" wp14:editId="56F194A2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6F7064" w14:textId="77777777" w:rsidR="00382946" w:rsidRPr="00F31BC3" w:rsidRDefault="00382946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13110BE" wp14:editId="725C1D17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187C0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5D6F7064" w14:textId="77777777" w:rsidR="00382946" w:rsidRPr="00F31BC3" w:rsidRDefault="00382946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13110BE" wp14:editId="725C1D17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DFFA6C" wp14:editId="0796C679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823A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476C24F6" w14:textId="77777777"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14:paraId="1AD2CE48" w14:textId="77777777"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24405CA0" w14:textId="77777777"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14:paraId="542E3001" w14:textId="77777777" w:rsidR="00260633" w:rsidRDefault="00260633" w:rsidP="00260633">
      <w:pPr>
        <w:pStyle w:val="Prrafodelista"/>
      </w:pPr>
    </w:p>
    <w:p w14:paraId="0AF473F4" w14:textId="77777777"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14:paraId="5F110618" w14:textId="77777777" w:rsidR="00260633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entidad.</w:t>
      </w:r>
    </w:p>
    <w:p w14:paraId="2B23B83D" w14:textId="77777777" w:rsidR="00260633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 de la entidad.</w:t>
      </w:r>
    </w:p>
    <w:p w14:paraId="145FB6C2" w14:textId="77777777"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14:paraId="36F2E59A" w14:textId="77777777" w:rsidR="00260633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14:paraId="1F5F1678" w14:textId="77777777" w:rsidR="000C1612" w:rsidRDefault="000C1612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No se publica información sobre los convenios suscritos con administraciones públicas</w:t>
      </w:r>
    </w:p>
    <w:p w14:paraId="1DEDC50D" w14:textId="77777777" w:rsidR="000C1612" w:rsidRDefault="000C1612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información sobre las subvenciones y ayudas públicas percibidas</w:t>
      </w:r>
    </w:p>
    <w:p w14:paraId="45AD33D4" w14:textId="77777777"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14:paraId="20AA1705" w14:textId="77777777"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</w:p>
    <w:p w14:paraId="3841EDD6" w14:textId="77777777"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544E0E79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0C1612">
        <w:rPr>
          <w:rFonts w:ascii="Century Gothic" w:hAnsi="Century Gothic"/>
        </w:rPr>
        <w:t>agosto</w:t>
      </w:r>
      <w:r>
        <w:rPr>
          <w:rFonts w:ascii="Century Gothic" w:hAnsi="Century Gothic"/>
        </w:rPr>
        <w:t xml:space="preserve"> de 2023</w:t>
      </w:r>
    </w:p>
    <w:p w14:paraId="518E08BB" w14:textId="77777777"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50F1C06E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65701546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7ED0C0D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7BF41E98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F469F2F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355B28E" w14:textId="77777777" w:rsidR="00260633" w:rsidRDefault="00260633" w:rsidP="00260633">
      <w:pPr>
        <w:rPr>
          <w:szCs w:val="22"/>
        </w:rPr>
      </w:pPr>
      <w:r>
        <w:br w:type="page"/>
      </w:r>
    </w:p>
    <w:p w14:paraId="79AFBB50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65B1E213" w14:textId="77777777"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48BD24" wp14:editId="078CD5D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69763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F53336" wp14:editId="19BA73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C33C03" w14:textId="77777777" w:rsidR="00382946" w:rsidRPr="00F31BC3" w:rsidRDefault="0038294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2D4F3EA" wp14:editId="4E9E3BE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53336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4CC33C03" w14:textId="77777777" w:rsidR="00382946" w:rsidRPr="00F31BC3" w:rsidRDefault="0038294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2D4F3EA" wp14:editId="4E9E3BE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0F6DA53" wp14:editId="392272A0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FB80CD7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7994411C" wp14:editId="4792B8F8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35685FC" w14:textId="77777777" w:rsidR="00382946" w:rsidRPr="00F31BC3" w:rsidRDefault="00382946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76C522D" wp14:editId="0199529B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994411C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135685FC" w14:textId="77777777" w:rsidR="00382946" w:rsidRPr="00F31BC3" w:rsidRDefault="00382946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76C522D" wp14:editId="0199529B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14:paraId="057CE8F0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43AD00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F4BE10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D03C76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50533F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3A7BFF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14:paraId="71351761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F04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399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9D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C26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E5A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14:paraId="17989124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D5E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EDE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7A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9C5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609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14:paraId="167937EC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CC3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7EB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FA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E99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593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14:paraId="77F95BB4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214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00F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3C8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B1A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677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14:paraId="25B7D596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04F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872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895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86B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6948" w14:textId="77777777"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14:paraId="4ADA9FE5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9AA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FD9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6C8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A62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EC9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14:paraId="0FDAD87D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E6C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A71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39C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BE1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406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14:paraId="678A229A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80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68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251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D47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CA9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14:paraId="4CFAEFA1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E51A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2A9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E84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055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B56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14:paraId="5F506214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7BF7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191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420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E8B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190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14:paraId="490D78CC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F78E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FA8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B5A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B2B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EC2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14:paraId="323A7CAF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001C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F6B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0ED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117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E76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14:paraId="7FC3C844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E168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E69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401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608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7D5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14:paraId="02279171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6E73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156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E3E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62C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CBB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14:paraId="25ED663B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3A9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C3C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586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510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B14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14:paraId="323BA31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7A7D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FA9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F10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988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4E5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14:paraId="1FFDD8A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A5B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199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0FE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B43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446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14:paraId="2D42488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B7A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E0A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561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67A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4D7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14:paraId="68E50D12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5911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A6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216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1FE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8BF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14:paraId="2915D470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3481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E7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71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A5C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432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614E6CC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A44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1E9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8F2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8E2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56D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14:paraId="485C7258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076C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3BC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796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D65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4F0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3272FC3C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79A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D3C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90D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A68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A25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14:paraId="31EA94D2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63B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15C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88B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E45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FA5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2F430D6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C1A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DA8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09C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AD6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EBF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14:paraId="4A506DDC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49F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53E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E60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A8E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DC2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7FDF42E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35DA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832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F41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D5E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B35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14:paraId="43DCFF09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8A4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E70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1A3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4A7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0D2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13A07CDF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D7C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FF0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6E7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2E9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E1A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14:paraId="5E70DCCF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3346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50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3E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0F3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84B4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14:paraId="03B8795E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3CED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A9B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27225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FD2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FFC1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14:paraId="306C6FB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4AE2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E3F" w14:textId="77777777"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88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081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3A2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14:paraId="437284D4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83E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AC7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A3D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ACA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0B7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14:paraId="405A0346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9B4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9EC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DD9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489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89D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14:paraId="54322E39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C6C6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41F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BAC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75E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0FC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14:paraId="0DD86165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192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A0F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4E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2C7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52F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411D1CFC" w14:textId="77777777"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4BDB" w14:textId="77777777" w:rsidR="00382946" w:rsidRDefault="00382946" w:rsidP="00F31BC3">
      <w:r>
        <w:separator/>
      </w:r>
    </w:p>
  </w:endnote>
  <w:endnote w:type="continuationSeparator" w:id="0">
    <w:p w14:paraId="6DB8E09B" w14:textId="77777777" w:rsidR="00382946" w:rsidRDefault="0038294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7573" w14:textId="77777777" w:rsidR="00382946" w:rsidRDefault="003829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225F" w14:textId="77777777" w:rsidR="00382946" w:rsidRDefault="003829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B61D" w14:textId="77777777" w:rsidR="00382946" w:rsidRDefault="003829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EE37" w14:textId="77777777" w:rsidR="00382946" w:rsidRDefault="00382946" w:rsidP="00F31BC3">
      <w:r>
        <w:separator/>
      </w:r>
    </w:p>
  </w:footnote>
  <w:footnote w:type="continuationSeparator" w:id="0">
    <w:p w14:paraId="000C9BDA" w14:textId="77777777" w:rsidR="00382946" w:rsidRDefault="00382946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1996" w14:textId="77777777" w:rsidR="00382946" w:rsidRDefault="003829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7022" w14:textId="77777777" w:rsidR="00382946" w:rsidRDefault="003829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C460" w14:textId="77777777" w:rsidR="00382946" w:rsidRDefault="00382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3363E0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C1612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66428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82946"/>
    <w:rsid w:val="00393F48"/>
    <w:rsid w:val="003A1694"/>
    <w:rsid w:val="003A390C"/>
    <w:rsid w:val="003A4041"/>
    <w:rsid w:val="003B399C"/>
    <w:rsid w:val="003B57E6"/>
    <w:rsid w:val="003B6B96"/>
    <w:rsid w:val="003B7AE9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627DC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6F00ED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76FDE"/>
    <w:rsid w:val="00882A5B"/>
    <w:rsid w:val="00891E6F"/>
    <w:rsid w:val="00894358"/>
    <w:rsid w:val="0089455A"/>
    <w:rsid w:val="00897D04"/>
    <w:rsid w:val="008A5AAE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394D"/>
    <w:rsid w:val="00D9090A"/>
    <w:rsid w:val="00D96084"/>
    <w:rsid w:val="00DA6660"/>
    <w:rsid w:val="00DC5B52"/>
    <w:rsid w:val="00DD515F"/>
    <w:rsid w:val="00DD6D85"/>
    <w:rsid w:val="00DF0436"/>
    <w:rsid w:val="00DF25D7"/>
    <w:rsid w:val="00DF54AF"/>
    <w:rsid w:val="00DF555F"/>
    <w:rsid w:val="00DF56A7"/>
    <w:rsid w:val="00E023B5"/>
    <w:rsid w:val="00E035CD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5A0B4D"/>
  <w15:docId w15:val="{63F716A6-2F61-4C30-B3C5-D5479B94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uiPriority w:val="59"/>
    <w:rsid w:val="00876FDE"/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301B4"/>
    <w:rsid w:val="00443EA4"/>
    <w:rsid w:val="00583D19"/>
    <w:rsid w:val="00722728"/>
    <w:rsid w:val="00787EBD"/>
    <w:rsid w:val="007C3485"/>
    <w:rsid w:val="008473C3"/>
    <w:rsid w:val="008E118A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21B50-FFE4-4758-A83F-D41E989FA7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49</TotalTime>
  <Pages>5</Pages>
  <Words>798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11</cp:revision>
  <cp:lastPrinted>2008-09-26T23:14:00Z</cp:lastPrinted>
  <dcterms:created xsi:type="dcterms:W3CDTF">2023-07-20T14:40:00Z</dcterms:created>
  <dcterms:modified xsi:type="dcterms:W3CDTF">2023-10-24T07:58:00Z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