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A54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1E9A87" wp14:editId="1606D669">
                <wp:simplePos x="0" y="0"/>
                <wp:positionH relativeFrom="column">
                  <wp:posOffset>331064</wp:posOffset>
                </wp:positionH>
                <wp:positionV relativeFrom="paragraph">
                  <wp:posOffset>473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0F904" w14:textId="77777777" w:rsidR="002A7F4D" w:rsidRPr="00CA4132" w:rsidRDefault="00A2412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2A7F4D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2A7F4D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2A7F4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Adamo Telecom Iberia SA</w:t>
                                </w:r>
                              </w:sdtContent>
                            </w:sdt>
                            <w:r w:rsidR="002A7F4D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E9A8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6.05pt;margin-top:.0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" filled="f" stroked="f">
                <v:textbox inset=",7.2pt,,7.2pt">
                  <w:txbxContent>
                    <w:p w14:paraId="6900F904" w14:textId="77777777" w:rsidR="002A7F4D" w:rsidRPr="00CA4132" w:rsidRDefault="00A2412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2A7F4D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2A7F4D"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 w:rsidR="002A7F4D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Adamo Telecom Iberia SA</w:t>
                          </w:r>
                        </w:sdtContent>
                      </w:sdt>
                      <w:r w:rsidR="002A7F4D"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67D54" wp14:editId="55A2E0FF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2C19D1" w14:textId="77777777" w:rsidR="002A7F4D" w:rsidRDefault="002A7F4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8002956" wp14:editId="493EA5E7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7D54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12C19D1" w14:textId="77777777" w:rsidR="002A7F4D" w:rsidRDefault="002A7F4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8002956" wp14:editId="493EA5E7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BB4DF9" w14:textId="77777777" w:rsidR="0082470D" w:rsidRPr="00B1184C" w:rsidRDefault="0082470D"/>
    <w:p w14:paraId="66AAFAD5" w14:textId="77777777" w:rsidR="0082470D" w:rsidRPr="00B1184C" w:rsidRDefault="0082470D"/>
    <w:p w14:paraId="4865B21F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006F1998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413596E3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9E7C9D" wp14:editId="2F1F750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E631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FEA64EC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1E2E8A9A" w14:textId="77777777" w:rsidR="00A75328" w:rsidRDefault="00A75328" w:rsidP="0082470D">
      <w:pPr>
        <w:rPr>
          <w:rFonts w:ascii="Arial" w:hAnsi="Arial"/>
          <w:b/>
          <w:sz w:val="36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A75328" w:rsidRPr="00D1424C" w14:paraId="2C3176EA" w14:textId="77777777" w:rsidTr="00A7532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F9C1" w14:textId="77777777" w:rsidR="00A75328" w:rsidRPr="00D1424C" w:rsidRDefault="00A75328" w:rsidP="00A75328">
            <w:pPr>
              <w:rPr>
                <w:b/>
                <w:color w:val="00642D"/>
                <w:sz w:val="24"/>
                <w:lang w:eastAsia="es-ES"/>
              </w:rPr>
            </w:pPr>
            <w:r w:rsidRPr="00D1424C">
              <w:rPr>
                <w:b/>
                <w:color w:val="00642D"/>
                <w:sz w:val="24"/>
                <w:lang w:eastAsia="es-ES"/>
              </w:rPr>
              <w:t>Fecha de la evaluación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49B6" w14:textId="77777777" w:rsidR="00A75328" w:rsidRPr="00D1424C" w:rsidRDefault="00A75328" w:rsidP="00A75328">
            <w:pPr>
              <w:rPr>
                <w:sz w:val="24"/>
                <w:lang w:eastAsia="es-ES"/>
              </w:rPr>
            </w:pPr>
            <w:r>
              <w:rPr>
                <w:sz w:val="24"/>
                <w:lang w:eastAsia="es-ES"/>
              </w:rPr>
              <w:t>julio</w:t>
            </w:r>
            <w:r w:rsidRPr="00D1424C">
              <w:rPr>
                <w:sz w:val="24"/>
                <w:lang w:eastAsia="es-ES"/>
              </w:rPr>
              <w:t>/2023</w:t>
            </w:r>
          </w:p>
          <w:p w14:paraId="0D69BAD7" w14:textId="77777777" w:rsidR="00A75328" w:rsidRPr="00D1424C" w:rsidRDefault="00A75328" w:rsidP="000F06B3">
            <w:pPr>
              <w:rPr>
                <w:sz w:val="24"/>
                <w:lang w:eastAsia="es-ES"/>
              </w:rPr>
            </w:pPr>
            <w:r w:rsidRPr="00D1424C">
              <w:rPr>
                <w:sz w:val="24"/>
                <w:lang w:eastAsia="es-ES"/>
              </w:rPr>
              <w:t xml:space="preserve">Segunda revisión: </w:t>
            </w:r>
            <w:r>
              <w:rPr>
                <w:sz w:val="24"/>
                <w:lang w:eastAsia="es-ES"/>
              </w:rPr>
              <w:t>24/08/2023</w:t>
            </w:r>
          </w:p>
        </w:tc>
      </w:tr>
    </w:tbl>
    <w:p w14:paraId="00ABBA51" w14:textId="77777777" w:rsidR="00A75328" w:rsidRDefault="00A75328" w:rsidP="0082470D">
      <w:pPr>
        <w:rPr>
          <w:rFonts w:ascii="Arial" w:hAnsi="Arial"/>
          <w:b/>
          <w:sz w:val="36"/>
        </w:rPr>
      </w:pPr>
    </w:p>
    <w:p w14:paraId="57175798" w14:textId="77777777" w:rsidR="00A75328" w:rsidRDefault="00A75328" w:rsidP="0082470D">
      <w:pPr>
        <w:rPr>
          <w:rFonts w:ascii="Arial" w:hAnsi="Arial"/>
          <w:b/>
          <w:sz w:val="36"/>
        </w:rPr>
      </w:pPr>
    </w:p>
    <w:p w14:paraId="35883577" w14:textId="77777777" w:rsidR="0082470D" w:rsidRPr="002D27E4" w:rsidRDefault="00A2412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577F3F7" w14:textId="77777777" w:rsidR="0082470D" w:rsidRPr="00B1184C" w:rsidRDefault="0082470D" w:rsidP="0082470D">
      <w:pPr>
        <w:rPr>
          <w:rFonts w:ascii="Arial" w:hAnsi="Arial"/>
        </w:rPr>
      </w:pPr>
    </w:p>
    <w:p w14:paraId="25D72D7D" w14:textId="77777777" w:rsidR="00760E4B" w:rsidRPr="00B1184C" w:rsidRDefault="00760E4B" w:rsidP="003E564B">
      <w:pPr>
        <w:pStyle w:val="Cuerpodelboletn"/>
        <w:sectPr w:rsidR="00760E4B" w:rsidRPr="00B1184C" w:rsidSect="00415D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4AF8D752" w14:textId="77777777"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14:paraId="79292208" w14:textId="77777777" w:rsidTr="000F06B3">
        <w:trPr>
          <w:cantSplit/>
          <w:tblHeader/>
        </w:trPr>
        <w:tc>
          <w:tcPr>
            <w:tcW w:w="2093" w:type="dxa"/>
            <w:shd w:val="clear" w:color="auto" w:fill="008A3E"/>
          </w:tcPr>
          <w:p w14:paraId="4769467F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14:paraId="2CC24A95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14:paraId="34B404CE" w14:textId="77777777"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14:paraId="67264086" w14:textId="77777777" w:rsidTr="00CA4132">
        <w:tc>
          <w:tcPr>
            <w:tcW w:w="2093" w:type="dxa"/>
            <w:vMerge w:val="restart"/>
            <w:vAlign w:val="center"/>
          </w:tcPr>
          <w:p w14:paraId="3A0B8CE2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14:paraId="68289D3B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14:paraId="7924C62F" w14:textId="77777777"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2D3EC8B" w14:textId="77777777"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14:paraId="5F91B8D4" w14:textId="77777777" w:rsidTr="00CA4132">
        <w:tc>
          <w:tcPr>
            <w:tcW w:w="2093" w:type="dxa"/>
            <w:vMerge/>
          </w:tcPr>
          <w:p w14:paraId="41863F14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562EB968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14:paraId="598BAE23" w14:textId="77777777"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5EA44902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2A083C69" w14:textId="77777777" w:rsidTr="00CA4132">
        <w:tc>
          <w:tcPr>
            <w:tcW w:w="2093" w:type="dxa"/>
            <w:vMerge/>
          </w:tcPr>
          <w:p w14:paraId="746C7474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FBC855E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14:paraId="7E555178" w14:textId="77777777"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2A235F35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4E70334E" w14:textId="77777777" w:rsidTr="00260633">
        <w:tc>
          <w:tcPr>
            <w:tcW w:w="2093" w:type="dxa"/>
            <w:vMerge/>
          </w:tcPr>
          <w:p w14:paraId="19025EEA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AFFF786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14:paraId="18C79238" w14:textId="77777777" w:rsidR="00A249BB" w:rsidRDefault="00A249BB" w:rsidP="002A7F4D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3B412D36" w14:textId="77777777"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14:paraId="5F160D61" w14:textId="77777777" w:rsidTr="00CA4132">
        <w:tc>
          <w:tcPr>
            <w:tcW w:w="2093" w:type="dxa"/>
            <w:vMerge w:val="restart"/>
            <w:vAlign w:val="center"/>
          </w:tcPr>
          <w:p w14:paraId="416D0423" w14:textId="77777777"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14:paraId="0E449387" w14:textId="77777777"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14:paraId="77DC493A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58F23632" w14:textId="77777777"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25EF64A2" w14:textId="77777777" w:rsidTr="00CA4132">
        <w:tc>
          <w:tcPr>
            <w:tcW w:w="2093" w:type="dxa"/>
            <w:vMerge/>
            <w:vAlign w:val="center"/>
          </w:tcPr>
          <w:p w14:paraId="6C0C2DAF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A417E8C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14:paraId="2DA090F6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03E5E784" w14:textId="77777777"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14:paraId="7CAAB4F9" w14:textId="77777777" w:rsidTr="00CA4132">
        <w:tc>
          <w:tcPr>
            <w:tcW w:w="2093" w:type="dxa"/>
            <w:vMerge/>
            <w:vAlign w:val="center"/>
          </w:tcPr>
          <w:p w14:paraId="6BF45EBC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8E341DE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14:paraId="6162A6F5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0ABDF85" w14:textId="77777777"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4236AD23" w14:textId="77777777" w:rsidTr="00CA4132">
        <w:tc>
          <w:tcPr>
            <w:tcW w:w="2093" w:type="dxa"/>
            <w:vMerge/>
            <w:vAlign w:val="center"/>
          </w:tcPr>
          <w:p w14:paraId="3BEDB57C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95827CC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responsables de la entidad</w:t>
            </w:r>
          </w:p>
        </w:tc>
        <w:tc>
          <w:tcPr>
            <w:tcW w:w="567" w:type="dxa"/>
          </w:tcPr>
          <w:p w14:paraId="35FB771B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0B1510EB" w14:textId="77777777"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32A27806" w14:textId="77777777" w:rsidTr="00CA4132">
        <w:tc>
          <w:tcPr>
            <w:tcW w:w="2093" w:type="dxa"/>
            <w:vMerge/>
            <w:vAlign w:val="center"/>
          </w:tcPr>
          <w:p w14:paraId="469CE02C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B50C444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14:paraId="348614BC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6D63456" w14:textId="77777777"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029548B8" w14:textId="77777777" w:rsidTr="00CA4132">
        <w:tc>
          <w:tcPr>
            <w:tcW w:w="2093" w:type="dxa"/>
            <w:vMerge/>
            <w:vAlign w:val="center"/>
          </w:tcPr>
          <w:p w14:paraId="1DE33B2C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161DB48" w14:textId="77777777"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14:paraId="122619E6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5ABC3DA2" w14:textId="77777777"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14:paraId="7C428041" w14:textId="77777777" w:rsidTr="00CA4132">
        <w:tc>
          <w:tcPr>
            <w:tcW w:w="2093" w:type="dxa"/>
            <w:vMerge/>
            <w:vAlign w:val="center"/>
          </w:tcPr>
          <w:p w14:paraId="34137EA8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AEEB545" w14:textId="77777777"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14:paraId="62ACF86C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20C337DB" w14:textId="77777777"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68903242" w14:textId="77777777" w:rsidTr="00CA4132">
        <w:tc>
          <w:tcPr>
            <w:tcW w:w="2093" w:type="dxa"/>
            <w:vMerge/>
            <w:vAlign w:val="center"/>
          </w:tcPr>
          <w:p w14:paraId="1E3F4A8E" w14:textId="77777777"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BF6AF" w14:textId="77777777"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14:paraId="34D39442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33EB650B" w14:textId="77777777" w:rsidR="007971C6" w:rsidRDefault="007971C6" w:rsidP="000F06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A pesar de que </w:t>
            </w:r>
            <w:proofErr w:type="gramStart"/>
            <w:r w:rsidR="002A7F4D">
              <w:rPr>
                <w:sz w:val="20"/>
                <w:szCs w:val="20"/>
              </w:rPr>
              <w:t>a  través</w:t>
            </w:r>
            <w:proofErr w:type="gramEnd"/>
            <w:r w:rsidR="002A7F4D">
              <w:rPr>
                <w:sz w:val="20"/>
                <w:szCs w:val="20"/>
              </w:rPr>
              <w:t xml:space="preserve"> del acceso  </w:t>
            </w:r>
            <w:r>
              <w:rPr>
                <w:sz w:val="20"/>
                <w:szCs w:val="20"/>
              </w:rPr>
              <w:t xml:space="preserve">Somos Adamo/Proyecto PEBA Fondos FEDER, </w:t>
            </w:r>
            <w:r w:rsidR="002A7F4D">
              <w:rPr>
                <w:sz w:val="20"/>
                <w:szCs w:val="20"/>
              </w:rPr>
              <w:t>se  informa de</w:t>
            </w:r>
            <w:r>
              <w:rPr>
                <w:sz w:val="20"/>
                <w:szCs w:val="20"/>
              </w:rPr>
              <w:t xml:space="preserve"> tres proyectos </w:t>
            </w:r>
            <w:r w:rsidR="002A7F4D">
              <w:rPr>
                <w:sz w:val="20"/>
                <w:szCs w:val="20"/>
              </w:rPr>
              <w:t>financiados con  fondos  públicos, , no se publica</w:t>
            </w:r>
            <w:r>
              <w:rPr>
                <w:sz w:val="20"/>
                <w:szCs w:val="20"/>
              </w:rPr>
              <w:t xml:space="preserve"> la cuantía </w:t>
            </w:r>
            <w:r w:rsidR="000F06B3">
              <w:rPr>
                <w:sz w:val="20"/>
                <w:szCs w:val="20"/>
              </w:rPr>
              <w:t>de la subvención o ayuda pública percibida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971C6" w:rsidRPr="007942B7" w14:paraId="75C14A57" w14:textId="77777777" w:rsidTr="00CA4132">
        <w:trPr>
          <w:trHeight w:val="265"/>
        </w:trPr>
        <w:tc>
          <w:tcPr>
            <w:tcW w:w="2093" w:type="dxa"/>
            <w:vMerge/>
            <w:vAlign w:val="center"/>
          </w:tcPr>
          <w:p w14:paraId="7EE4F0F4" w14:textId="77777777"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FFCBED2" w14:textId="77777777"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14:paraId="0E3153A3" w14:textId="77777777"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1562436C" w14:textId="77777777"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00020FBB" w14:textId="77777777" w:rsidTr="00CA4132">
        <w:trPr>
          <w:trHeight w:val="265"/>
        </w:trPr>
        <w:tc>
          <w:tcPr>
            <w:tcW w:w="2093" w:type="dxa"/>
            <w:vMerge/>
            <w:vAlign w:val="center"/>
          </w:tcPr>
          <w:p w14:paraId="134DF015" w14:textId="77777777"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0000E80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14:paraId="0D39192C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62876A33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14:paraId="20256DA0" w14:textId="77777777" w:rsidTr="00CA4132">
        <w:trPr>
          <w:trHeight w:val="265"/>
        </w:trPr>
        <w:tc>
          <w:tcPr>
            <w:tcW w:w="2093" w:type="dxa"/>
            <w:vMerge/>
            <w:vAlign w:val="center"/>
          </w:tcPr>
          <w:p w14:paraId="6A222D4E" w14:textId="77777777"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C310844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Retribuciones anuales altos cargos y máximos </w:t>
            </w:r>
            <w:r>
              <w:rPr>
                <w:sz w:val="20"/>
                <w:szCs w:val="20"/>
              </w:rPr>
              <w:lastRenderedPageBreak/>
              <w:t>responsables</w:t>
            </w:r>
          </w:p>
        </w:tc>
        <w:tc>
          <w:tcPr>
            <w:tcW w:w="567" w:type="dxa"/>
            <w:vAlign w:val="center"/>
          </w:tcPr>
          <w:p w14:paraId="4016F4DE" w14:textId="77777777"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3203" w:type="dxa"/>
          </w:tcPr>
          <w:p w14:paraId="4BBCAC29" w14:textId="77777777"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14:paraId="5010E86C" w14:textId="7777777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14:paraId="56EB469A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14:paraId="1B00539F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14:paraId="7694ADC9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40DBEC9C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17093DE0" w14:textId="77777777" w:rsidTr="00CA4132">
        <w:tc>
          <w:tcPr>
            <w:tcW w:w="2093" w:type="dxa"/>
            <w:vMerge/>
          </w:tcPr>
          <w:p w14:paraId="33B16993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82C0D49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D067E0B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4D1E1B46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06A9626B" w14:textId="77777777" w:rsidTr="00CA4132">
        <w:tc>
          <w:tcPr>
            <w:tcW w:w="2093" w:type="dxa"/>
            <w:vMerge/>
          </w:tcPr>
          <w:p w14:paraId="58976E00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463D59C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14:paraId="450692D2" w14:textId="77777777"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283B5144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14:paraId="46DE0112" w14:textId="77777777" w:rsidTr="00CA4132">
        <w:tc>
          <w:tcPr>
            <w:tcW w:w="2093" w:type="dxa"/>
            <w:vMerge/>
          </w:tcPr>
          <w:p w14:paraId="2B3145A4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C4962D9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14:paraId="4661D023" w14:textId="77777777"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14:paraId="317A961F" w14:textId="77777777"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14:paraId="1D96381E" w14:textId="77777777" w:rsidTr="00CA4132">
        <w:tc>
          <w:tcPr>
            <w:tcW w:w="2093" w:type="dxa"/>
            <w:vMerge/>
          </w:tcPr>
          <w:p w14:paraId="4DDBF943" w14:textId="77777777"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AF6647F" w14:textId="77777777"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97A17DB" w14:textId="77777777"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14:paraId="4BF1FD7B" w14:textId="77777777"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14:paraId="00E9AF92" w14:textId="77777777" w:rsidTr="00CA4132">
        <w:tc>
          <w:tcPr>
            <w:tcW w:w="6912" w:type="dxa"/>
            <w:gridSpan w:val="2"/>
          </w:tcPr>
          <w:p w14:paraId="26F3A7F9" w14:textId="77777777"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14:paraId="6C7FC376" w14:textId="77777777" w:rsidR="00A249BB" w:rsidRPr="001C7D84" w:rsidRDefault="002A7F4D" w:rsidP="00164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646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14:paraId="7C7A750F" w14:textId="77777777"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14:paraId="200135E7" w14:textId="77777777" w:rsidR="003A1694" w:rsidRDefault="003A1694" w:rsidP="00AC4A6F"/>
    <w:p w14:paraId="697DABCB" w14:textId="77777777" w:rsidR="00DF56A7" w:rsidRDefault="00DF56A7" w:rsidP="00DF56A7">
      <w:pPr>
        <w:jc w:val="both"/>
      </w:pPr>
    </w:p>
    <w:p w14:paraId="15347E07" w14:textId="77777777" w:rsidR="00BA4354" w:rsidRDefault="00613B10" w:rsidP="00DF56A7">
      <w:pPr>
        <w:jc w:val="both"/>
      </w:pPr>
      <w:r>
        <w:t>Adamo Telecom Iberia</w:t>
      </w:r>
      <w:r w:rsidR="00560E15">
        <w:t xml:space="preserve"> SA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164645">
        <w:t>trece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14:paraId="19D3844C" w14:textId="77777777" w:rsidR="00FA5AFD" w:rsidRDefault="00FA5AFD" w:rsidP="00AC4A6F"/>
    <w:p w14:paraId="62872276" w14:textId="77777777"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9F0F3" wp14:editId="17FD7ED5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60DAB1" w14:textId="77777777" w:rsidR="002A7F4D" w:rsidRPr="00F31BC3" w:rsidRDefault="002A7F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36F6AB6" wp14:editId="645D68C9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F0F3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" fillcolor="#50866c" stroked="f">
                <v:textbox inset=",7.2pt,,7.2pt">
                  <w:txbxContent>
                    <w:p w14:paraId="0E60DAB1" w14:textId="77777777" w:rsidR="002A7F4D" w:rsidRPr="00F31BC3" w:rsidRDefault="002A7F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36F6AB6" wp14:editId="645D68C9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541F450" w14:textId="77777777"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2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025A8F" w:rsidRPr="00025A8F" w14:paraId="205D604D" w14:textId="77777777" w:rsidTr="00A24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E468D08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39D625D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7D390BA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A643505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152C7A0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FC1118E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CCB328D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A5F2D61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05CBA22" w14:textId="77777777" w:rsidR="00025A8F" w:rsidRPr="00025A8F" w:rsidRDefault="00025A8F" w:rsidP="00EE31D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025A8F" w:rsidRPr="00025A8F" w14:paraId="191E535D" w14:textId="77777777" w:rsidTr="00A2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39443B6C" w14:textId="77777777" w:rsidR="00025A8F" w:rsidRPr="00025A8F" w:rsidRDefault="00025A8F" w:rsidP="00EE31DC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 xml:space="preserve">Institucional y Organizativa 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09A862B9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1BE0076F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7C89F7F3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53FA222F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3DFE371F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5C957621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14:paraId="6CE1AFF8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928B116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14,3</w:t>
            </w:r>
          </w:p>
        </w:tc>
      </w:tr>
      <w:tr w:rsidR="00025A8F" w:rsidRPr="00025A8F" w14:paraId="325A8C9F" w14:textId="77777777" w:rsidTr="00A241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3B70DD5E" w14:textId="77777777" w:rsidR="00025A8F" w:rsidRPr="00025A8F" w:rsidRDefault="00025A8F" w:rsidP="00EE31DC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3E93D08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55D74C99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FA26A9D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54E0EB7D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53B70E2C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0A7A02D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9B8B14C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2D766702" w14:textId="77777777" w:rsidR="00025A8F" w:rsidRPr="00025A8F" w:rsidRDefault="00025A8F" w:rsidP="00EE31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sz w:val="18"/>
                <w:szCs w:val="18"/>
                <w:lang w:eastAsia="es-ES"/>
              </w:rPr>
              <w:t>0,0</w:t>
            </w:r>
          </w:p>
        </w:tc>
      </w:tr>
      <w:tr w:rsidR="00025A8F" w:rsidRPr="00025A8F" w14:paraId="6F41D30B" w14:textId="77777777" w:rsidTr="00A2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56D181E2" w14:textId="77777777" w:rsidR="00025A8F" w:rsidRPr="00025A8F" w:rsidRDefault="00025A8F" w:rsidP="00EE31DC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025A8F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E7097F0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0081AE0E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09FEF6BA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154BF46C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1DEC90B7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17788487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344" w:type="pct"/>
            <w:noWrap/>
            <w:vAlign w:val="center"/>
          </w:tcPr>
          <w:p w14:paraId="0580E82E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3D57E03A" w14:textId="77777777" w:rsidR="00025A8F" w:rsidRPr="00025A8F" w:rsidRDefault="00025A8F" w:rsidP="00EE31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</w:pPr>
            <w:r w:rsidRPr="00025A8F">
              <w:rPr>
                <w:rFonts w:eastAsia="Times New Roman" w:cs="Times New Roman"/>
                <w:b/>
                <w:i/>
                <w:sz w:val="18"/>
                <w:szCs w:val="18"/>
                <w:lang w:eastAsia="es-ES"/>
              </w:rPr>
              <w:t>6,1</w:t>
            </w:r>
          </w:p>
        </w:tc>
      </w:tr>
    </w:tbl>
    <w:p w14:paraId="4B4A378B" w14:textId="77777777" w:rsidR="00025A8F" w:rsidRDefault="00025A8F" w:rsidP="00F05E2C">
      <w:pPr>
        <w:pStyle w:val="Cuerpodelboletn"/>
        <w:rPr>
          <w:lang w:bidi="es-ES"/>
        </w:rPr>
      </w:pPr>
    </w:p>
    <w:p w14:paraId="7941B4B9" w14:textId="77777777" w:rsidR="00EB68A3" w:rsidRDefault="004061BC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025A8F">
        <w:rPr>
          <w:lang w:bidi="es-ES"/>
        </w:rPr>
        <w:t>6,1</w:t>
      </w:r>
      <w:r w:rsidR="00DD6D85">
        <w:rPr>
          <w:lang w:bidi="es-ES"/>
        </w:rPr>
        <w:t>%</w:t>
      </w:r>
      <w:r w:rsidR="00025A8F">
        <w:rPr>
          <w:lang w:bidi="es-ES"/>
        </w:rPr>
        <w:t>, permaneciendo estable respecto de 2022,  dado que  no se ha aplicado ninguna de la recomendaciones derivadas de la evaluación realizada el pasado año,</w:t>
      </w:r>
    </w:p>
    <w:p w14:paraId="68BF0641" w14:textId="77777777" w:rsidR="00025A8F" w:rsidRDefault="00025A8F" w:rsidP="00F05E2C">
      <w:pPr>
        <w:pStyle w:val="Cuerpodelboletn"/>
      </w:pPr>
    </w:p>
    <w:p w14:paraId="035FDEEF" w14:textId="77777777" w:rsidR="00025A8F" w:rsidRDefault="00025A8F" w:rsidP="00F05E2C">
      <w:pPr>
        <w:pStyle w:val="Cuerpodelboletn"/>
        <w:sectPr w:rsidR="00025A8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0FF818D8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3BDDDBC7" w14:textId="77777777"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613B10">
        <w:t>Adamo Telecom Iberia</w:t>
      </w:r>
      <w:r w:rsidR="00560E15">
        <w:t xml:space="preserve"> SA</w:t>
      </w:r>
      <w:r>
        <w:t>. No se ha aplicado ninguna de las recomendaciones derivadas de la evaluación realizada en 2022</w:t>
      </w:r>
      <w:r w:rsidR="00025A8F">
        <w:t xml:space="preserve"> y en consecuencia se mantiene un ínfimo nivel de cumplimiento de las obligaciones de publicidad activa.</w:t>
      </w:r>
    </w:p>
    <w:p w14:paraId="49453BCE" w14:textId="77777777"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14:paraId="001437DD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78213" wp14:editId="1C4604CC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C0C442" w14:textId="77777777" w:rsidR="002A7F4D" w:rsidRPr="00F31BC3" w:rsidRDefault="002A7F4D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E89C859" wp14:editId="36D7FCA9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8213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4Mxy1woCAAD+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3BC0C442" w14:textId="77777777" w:rsidR="002A7F4D" w:rsidRPr="00F31BC3" w:rsidRDefault="002A7F4D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E89C859" wp14:editId="36D7FCA9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32BD2F" wp14:editId="46907AF5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AA42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jYXfbQUCAADs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22AFCD96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14:paraId="4D6EC517" w14:textId="77777777"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2D8BE36A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lastRenderedPageBreak/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6AA02E19" w14:textId="77777777" w:rsidR="00260633" w:rsidRDefault="00260633" w:rsidP="00260633">
      <w:pPr>
        <w:pStyle w:val="Prrafodelista"/>
      </w:pPr>
    </w:p>
    <w:p w14:paraId="1E15780F" w14:textId="77777777"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14:paraId="38AB9E68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sociales ni la normativa de carácter general que regula la naturaleza y funcionamiento de la empresa.</w:t>
      </w:r>
    </w:p>
    <w:p w14:paraId="2AE8D625" w14:textId="77777777"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14:paraId="416C2587" w14:textId="77777777"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14:paraId="6CE88EF2" w14:textId="77777777"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responsables.</w:t>
      </w:r>
    </w:p>
    <w:p w14:paraId="30C0D120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14:paraId="70239229" w14:textId="77777777"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14:paraId="1FAB316C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14:paraId="0593BFE6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025A8F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14:paraId="10358EDC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14:paraId="71B63927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14:paraId="76BB85F3" w14:textId="77777777"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 y de fiscalización por órganos de control externo.</w:t>
      </w:r>
    </w:p>
    <w:p w14:paraId="130EB3FD" w14:textId="77777777"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máximos responsables de la empresa.</w:t>
      </w:r>
      <w:r w:rsidR="00260633">
        <w:rPr>
          <w:rFonts w:ascii="Century Gothic" w:hAnsi="Century Gothic"/>
        </w:rPr>
        <w:t xml:space="preserve"> </w:t>
      </w:r>
    </w:p>
    <w:p w14:paraId="361BBC5D" w14:textId="77777777"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61161240" w14:textId="77777777"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14:paraId="26C7129E" w14:textId="77777777"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3E220A6B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025A8F">
        <w:rPr>
          <w:rFonts w:ascii="Century Gothic" w:hAnsi="Century Gothic"/>
        </w:rPr>
        <w:t>agosto</w:t>
      </w:r>
      <w:r>
        <w:rPr>
          <w:rFonts w:ascii="Century Gothic" w:hAnsi="Century Gothic"/>
        </w:rPr>
        <w:t xml:space="preserve"> de 2023</w:t>
      </w:r>
    </w:p>
    <w:p w14:paraId="3AF68E9A" w14:textId="77777777"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1FC97AB8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0F75B758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2075DEC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FAAEDFD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3B78F926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2AFAF269" w14:textId="77777777" w:rsidR="00260633" w:rsidRDefault="00260633" w:rsidP="00260633">
      <w:pPr>
        <w:rPr>
          <w:szCs w:val="22"/>
        </w:rPr>
      </w:pPr>
      <w:r>
        <w:br w:type="page"/>
      </w:r>
    </w:p>
    <w:p w14:paraId="7832642F" w14:textId="77777777"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403A4833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C9DC67" wp14:editId="6E191543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D2FF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518DDF" wp14:editId="7ABC7874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E6AC75" w14:textId="77777777" w:rsidR="002A7F4D" w:rsidRPr="00F31BC3" w:rsidRDefault="002A7F4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04C2D4" wp14:editId="2CB2F3EB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18DDF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49E6AC75" w14:textId="77777777" w:rsidR="002A7F4D" w:rsidRPr="00F31BC3" w:rsidRDefault="002A7F4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04C2D4" wp14:editId="2CB2F3EB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B65EF2E" wp14:editId="00958710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6BC11D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036B3201" wp14:editId="426A04E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1F902EA" w14:textId="77777777" w:rsidR="002A7F4D" w:rsidRPr="00F31BC3" w:rsidRDefault="002A7F4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8443AFC" wp14:editId="1C97D3BB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36B3201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21F902EA" w14:textId="77777777" w:rsidR="002A7F4D" w:rsidRPr="00F31BC3" w:rsidRDefault="002A7F4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8443AFC" wp14:editId="1C97D3BB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14:paraId="26421984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6F0A06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2845402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3BB7B6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A7ADB3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638A5E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3E548F8E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B1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B4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5B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A8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F0E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7F00984C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18E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E38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0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5E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50D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4BF7F482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0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04C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0B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C5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4F1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7B4E9909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0B6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132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FF7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9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B6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14:paraId="3C27657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F22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434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38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5E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E790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42A88663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69A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2D9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29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10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FEC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14:paraId="7828EF74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DF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F4C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02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5D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30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6E98B4EA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0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AA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B6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DB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927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12F50B90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7A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01C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8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6F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01A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2D18D2B3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524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514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8CB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5C9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71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1E464617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E99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AB3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108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0A0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43A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5540A247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A89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60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73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4EE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BBC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626AED04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72D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249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1B6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3B5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6AE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2DC245B7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3AF2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8EC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69E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F8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F74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59ADFE39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953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7C6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9F4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6E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E3A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512F480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A82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2A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944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0D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6B7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1A03342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994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E78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131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EB8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18B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44C25D8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FE6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83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002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241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D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71EA92CB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E5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B7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82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45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731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19ECA68A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7A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50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4C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37D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D82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11C92306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C97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78B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4EA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9F9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AF6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0CAD2CB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DA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13E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5D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468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ECE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51657E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113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241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67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DD8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BB1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581CEB4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AD4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5D4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1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F6D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937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0AA37E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2C0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FB7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D62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31B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601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7EF91138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B7A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B11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083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BF1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5CB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F6C5D2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9B8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C85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334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1E4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5A1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1EC96F3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4BC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251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FED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78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5B5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419F16A0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D9C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C65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97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D92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47C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617483A0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CB9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6D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A1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AC3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97FD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5F9AD115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6C3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353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EBF4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9DD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0A1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6C328BE6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ECF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3D4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08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14A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774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638AC4F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DDE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D2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115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41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92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1FA5F2F8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0F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498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2B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86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48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05B9EB64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E03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B32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1E8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442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C34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14:paraId="36F039D4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185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61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CAB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3F6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1EB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38E74A6A" w14:textId="77777777"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6860" w14:textId="77777777" w:rsidR="002A7F4D" w:rsidRDefault="002A7F4D" w:rsidP="00F31BC3">
      <w:r>
        <w:separator/>
      </w:r>
    </w:p>
  </w:endnote>
  <w:endnote w:type="continuationSeparator" w:id="0">
    <w:p w14:paraId="4BAE03F1" w14:textId="77777777" w:rsidR="002A7F4D" w:rsidRDefault="002A7F4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613A" w14:textId="77777777" w:rsidR="002A7F4D" w:rsidRDefault="002A7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E649" w14:textId="77777777" w:rsidR="002A7F4D" w:rsidRDefault="002A7F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E322" w14:textId="77777777" w:rsidR="002A7F4D" w:rsidRDefault="002A7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6A76" w14:textId="77777777" w:rsidR="002A7F4D" w:rsidRDefault="002A7F4D" w:rsidP="00F31BC3">
      <w:r>
        <w:separator/>
      </w:r>
    </w:p>
  </w:footnote>
  <w:footnote w:type="continuationSeparator" w:id="0">
    <w:p w14:paraId="79F5A745" w14:textId="77777777" w:rsidR="002A7F4D" w:rsidRDefault="002A7F4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AD1C" w14:textId="77777777" w:rsidR="002A7F4D" w:rsidRDefault="002A7F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F751" w14:textId="77777777" w:rsidR="002A7F4D" w:rsidRDefault="002A7F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C8F2" w14:textId="77777777" w:rsidR="002A7F4D" w:rsidRDefault="002A7F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E267D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25A8F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6B3"/>
    <w:rsid w:val="000F0DA5"/>
    <w:rsid w:val="00104DE9"/>
    <w:rsid w:val="00104E94"/>
    <w:rsid w:val="001149B1"/>
    <w:rsid w:val="00132732"/>
    <w:rsid w:val="00146C3C"/>
    <w:rsid w:val="00164645"/>
    <w:rsid w:val="00164876"/>
    <w:rsid w:val="00165185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D637F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A7F4D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B76FB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125"/>
    <w:rsid w:val="00A249BB"/>
    <w:rsid w:val="00A24E51"/>
    <w:rsid w:val="00A51AAD"/>
    <w:rsid w:val="00A670E9"/>
    <w:rsid w:val="00A75328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ACF593"/>
  <w15:docId w15:val="{CA59EC15-55C3-4411-94F5-B6CFFA2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uiPriority w:val="59"/>
    <w:rsid w:val="00A75328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025A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555F0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DEC33-DE1C-41B9-B660-64D09ED4A3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1197</TotalTime>
  <Pages>5</Pages>
  <Words>906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 DIEZ DOMINGUEZ</cp:lastModifiedBy>
  <cp:revision>11</cp:revision>
  <cp:lastPrinted>2008-09-26T23:14:00Z</cp:lastPrinted>
  <dcterms:created xsi:type="dcterms:W3CDTF">2023-07-24T08:18:00Z</dcterms:created>
  <dcterms:modified xsi:type="dcterms:W3CDTF">2023-10-24T07:58:00Z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