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158" w:rsidRPr="00CA4132" w:rsidRDefault="00AA2E0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82158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82158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18215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Baobab Soluciones SL</w:t>
                                </w:r>
                              </w:sdtContent>
                            </w:sdt>
                            <w:r w:rsidR="00182158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82158" w:rsidRPr="00CA4132" w:rsidRDefault="0018215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Baobab Soluciones SL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82158" w:rsidRDefault="0018215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82158" w:rsidRDefault="0018215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182158" w:rsidRDefault="00182158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182158" w:rsidRPr="00182158" w:rsidTr="00182158">
        <w:tc>
          <w:tcPr>
            <w:tcW w:w="3652" w:type="dxa"/>
          </w:tcPr>
          <w:p w:rsidR="00182158" w:rsidRPr="00182158" w:rsidRDefault="00182158" w:rsidP="00182158">
            <w:pPr>
              <w:rPr>
                <w:rFonts w:cs="Times New Roman"/>
                <w:b/>
                <w:color w:val="00642D"/>
                <w:sz w:val="24"/>
              </w:rPr>
            </w:pPr>
            <w:r w:rsidRPr="00182158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182158" w:rsidRDefault="00182158" w:rsidP="0018215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25/07/2023</w:t>
            </w:r>
          </w:p>
          <w:p w:rsidR="00182158" w:rsidRPr="00182158" w:rsidRDefault="00182158" w:rsidP="0018215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25/08/2023</w:t>
            </w:r>
          </w:p>
        </w:tc>
      </w:tr>
    </w:tbl>
    <w:p w:rsidR="00182158" w:rsidRDefault="00182158" w:rsidP="0082470D">
      <w:pPr>
        <w:rPr>
          <w:rFonts w:ascii="Arial" w:hAnsi="Arial"/>
        </w:rPr>
      </w:pPr>
    </w:p>
    <w:p w:rsidR="00182158" w:rsidRDefault="00182158" w:rsidP="0082470D">
      <w:pPr>
        <w:rPr>
          <w:rFonts w:ascii="Arial" w:hAnsi="Arial"/>
        </w:rPr>
      </w:pPr>
    </w:p>
    <w:p w:rsidR="00182158" w:rsidRPr="002D27E4" w:rsidRDefault="00AA2E0F" w:rsidP="00182158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47C05592CEFE4D31BBED89A264376549"/>
          </w:placeholder>
        </w:sdtPr>
        <w:sdtEndPr>
          <w:rPr>
            <w:color w:val="50866C"/>
          </w:rPr>
        </w:sdtEndPr>
        <w:sdtContent>
          <w:r w:rsidR="00182158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182158" w:rsidRPr="00B1184C" w:rsidRDefault="00182158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BB57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  <w:vAlign w:val="center"/>
          </w:tcPr>
          <w:p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BB5733" w:rsidP="001821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821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BB5733" w:rsidP="00DF56A7">
      <w:pPr>
        <w:jc w:val="both"/>
      </w:pPr>
      <w:r>
        <w:t>Baobab Soluciones SL</w:t>
      </w:r>
      <w:r w:rsidR="00260633">
        <w:t xml:space="preserve"> 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 xml:space="preserve">de las </w:t>
      </w:r>
      <w:r w:rsidR="00182158">
        <w:t>once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BB5733" w:rsidRDefault="00BB5733" w:rsidP="00AC4A6F"/>
    <w:p w:rsidR="00BB5733" w:rsidRDefault="00BB5733" w:rsidP="00AC4A6F"/>
    <w:p w:rsidR="00BB5733" w:rsidRDefault="00BB5733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82158" w:rsidRPr="00F31BC3" w:rsidRDefault="0018215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82158" w:rsidRPr="00F31BC3" w:rsidRDefault="0018215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82158" w:rsidRPr="00182158" w:rsidTr="00182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82158" w:rsidRPr="00182158" w:rsidRDefault="00182158" w:rsidP="00182158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82158" w:rsidRPr="00182158" w:rsidRDefault="00182158" w:rsidP="0018215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82158" w:rsidRPr="00182158" w:rsidRDefault="00182158" w:rsidP="0018215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82158" w:rsidRPr="00182158" w:rsidRDefault="00182158" w:rsidP="0018215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82158" w:rsidRPr="00182158" w:rsidRDefault="00182158" w:rsidP="0018215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82158" w:rsidRPr="00182158" w:rsidRDefault="00182158" w:rsidP="0018215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82158" w:rsidRPr="00182158" w:rsidRDefault="00182158" w:rsidP="0018215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82158" w:rsidRPr="00182158" w:rsidRDefault="00182158" w:rsidP="0018215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82158" w:rsidRPr="00182158" w:rsidRDefault="00182158" w:rsidP="0018215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82158" w:rsidRPr="00182158" w:rsidTr="00182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82158" w:rsidRPr="00182158" w:rsidRDefault="00182158" w:rsidP="00182158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42,9</w:t>
            </w:r>
          </w:p>
        </w:tc>
      </w:tr>
      <w:tr w:rsidR="00182158" w:rsidRPr="00182158" w:rsidTr="0018215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82158" w:rsidRPr="00182158" w:rsidRDefault="00182158" w:rsidP="00182158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82158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18"/>
              </w:rPr>
            </w:pPr>
            <w:r w:rsidRPr="00182158">
              <w:rPr>
                <w:rFonts w:eastAsia="Calibri" w:cs="Times New Roman"/>
                <w:sz w:val="18"/>
                <w:szCs w:val="18"/>
              </w:rPr>
              <w:t>0,0</w:t>
            </w:r>
          </w:p>
        </w:tc>
      </w:tr>
      <w:tr w:rsidR="00182158" w:rsidRPr="00182158" w:rsidTr="00182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82158" w:rsidRPr="00182158" w:rsidRDefault="00182158" w:rsidP="00182158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82158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82158">
              <w:rPr>
                <w:rFonts w:eastAsia="Calibri" w:cs="Times New Roman"/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82158">
              <w:rPr>
                <w:rFonts w:eastAsia="Calibri" w:cs="Times New Roman"/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82158">
              <w:rPr>
                <w:rFonts w:eastAsia="Calibri" w:cs="Times New Roman"/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82158">
              <w:rPr>
                <w:rFonts w:eastAsia="Calibri" w:cs="Times New Roman"/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82158">
              <w:rPr>
                <w:rFonts w:eastAsia="Calibri" w:cs="Times New Roman"/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82158">
              <w:rPr>
                <w:rFonts w:eastAsia="Calibri" w:cs="Times New Roman"/>
                <w:b/>
                <w:i/>
                <w:sz w:val="18"/>
                <w:szCs w:val="18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82158">
              <w:rPr>
                <w:rFonts w:eastAsia="Calibri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82158" w:rsidRPr="00182158" w:rsidRDefault="00182158" w:rsidP="00182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182158">
              <w:rPr>
                <w:rFonts w:eastAsia="Calibri" w:cs="Times New Roman"/>
                <w:b/>
                <w:i/>
                <w:sz w:val="18"/>
                <w:szCs w:val="18"/>
              </w:rPr>
              <w:t>18,4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182158">
        <w:rPr>
          <w:lang w:bidi="es-ES"/>
        </w:rPr>
        <w:t>18,4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182158">
        <w:rPr>
          <w:lang w:bidi="es-ES"/>
        </w:rPr>
        <w:t xml:space="preserve">Respecto de 2022 el Índice de cumplimiento ha permanecido estable, dado </w:t>
      </w:r>
      <w:proofErr w:type="spellStart"/>
      <w:r w:rsidR="00182158">
        <w:rPr>
          <w:lang w:bidi="es-ES"/>
        </w:rPr>
        <w:t>ue</w:t>
      </w:r>
      <w:proofErr w:type="spellEnd"/>
      <w:r w:rsidR="00182158">
        <w:rPr>
          <w:lang w:bidi="es-ES"/>
        </w:rPr>
        <w:t xml:space="preserve"> no se ha aplicado ninguna de las recomendaciones derivadas de la evaluación realizada en ese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BB5733">
        <w:t>Baobab Soluciones SL</w:t>
      </w:r>
      <w:r>
        <w:t>. No se ha aplicado ninguna de las recomendaciones derivadas de la evaluación realizada en 2022</w:t>
      </w:r>
      <w:r w:rsidR="00182158">
        <w:t xml:space="preserve"> y, por lo tanto</w:t>
      </w:r>
      <w:r>
        <w:t>.</w:t>
      </w:r>
      <w:r w:rsidR="00182158">
        <w:t xml:space="preserve"> El cumplimiento de las obligaciones de publicidad activa sigue siendo ínfimo.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82158" w:rsidRPr="00F31BC3" w:rsidRDefault="00182158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82158" w:rsidRPr="00F31BC3" w:rsidRDefault="00182158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sociales </w:t>
      </w:r>
      <w:r w:rsidR="00182158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 la normativa de carácter general que regula la naturaleza y funcionamiento de la empresa.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182158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percibidas.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de cuentas y de fiscalización por órganos de control externo.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altos cargos y máximos responsables de la empresa.</w:t>
      </w:r>
      <w:r w:rsidR="00260633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182158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82158" w:rsidRPr="00F31BC3" w:rsidRDefault="0018215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82158" w:rsidRPr="00F31BC3" w:rsidRDefault="0018215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82158" w:rsidRPr="00F31BC3" w:rsidRDefault="0018215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82158" w:rsidRPr="00F31BC3" w:rsidRDefault="0018215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58" w:rsidRDefault="00182158" w:rsidP="00F31BC3">
      <w:r>
        <w:separator/>
      </w:r>
    </w:p>
  </w:endnote>
  <w:endnote w:type="continuationSeparator" w:id="0">
    <w:p w:rsidR="00182158" w:rsidRDefault="0018215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8" w:rsidRDefault="001821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8" w:rsidRDefault="001821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8" w:rsidRDefault="001821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58" w:rsidRDefault="00182158" w:rsidP="00F31BC3">
      <w:r>
        <w:separator/>
      </w:r>
    </w:p>
  </w:footnote>
  <w:footnote w:type="continuationSeparator" w:id="0">
    <w:p w:rsidR="00182158" w:rsidRDefault="0018215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8" w:rsidRDefault="001821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8" w:rsidRDefault="0018215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58" w:rsidRDefault="001821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2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37245"/>
    <w:rsid w:val="00146C3C"/>
    <w:rsid w:val="00164876"/>
    <w:rsid w:val="001763F8"/>
    <w:rsid w:val="0018215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09A1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A2E0F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B5733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2158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821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2158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18215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7C05592CEFE4D31BBED89A26437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7AF6-BD46-4755-9466-5E3C44BDEF38}"/>
      </w:docPartPr>
      <w:docPartBody>
        <w:p w:rsidR="00E85864" w:rsidRDefault="00E85864" w:rsidP="00E85864">
          <w:pPr>
            <w:pStyle w:val="47C05592CEFE4D31BBED89A26437654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E85864"/>
    <w:rsid w:val="00EA0738"/>
    <w:rsid w:val="00EB2177"/>
    <w:rsid w:val="00EF5732"/>
    <w:rsid w:val="00F0267E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5864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47C05592CEFE4D31BBED89A264376549">
    <w:name w:val="47C05592CEFE4D31BBED89A264376549"/>
    <w:rsid w:val="00E858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5864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47C05592CEFE4D31BBED89A264376549">
    <w:name w:val="47C05592CEFE4D31BBED89A264376549"/>
    <w:rsid w:val="00E85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6B18D-7421-40D1-8581-2AE093AF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17</TotalTime>
  <Pages>5</Pages>
  <Words>847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2023-07-25T10:21:00Z</dcterms:created>
  <dcterms:modified xsi:type="dcterms:W3CDTF">2023-10-23T11:32:00Z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