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sidP="00C47AC9">
      <w:r>
        <w:rPr>
          <w:noProof/>
        </w:rPr>
        <mc:AlternateContent>
          <mc:Choice Requires="wps">
            <w:drawing>
              <wp:anchor distT="0" distB="0" distL="114300" distR="114300" simplePos="0" relativeHeight="251661312" behindDoc="0" locked="0" layoutInCell="1" allowOverlap="1" wp14:anchorId="23E76D63" wp14:editId="005C21B2">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77B" w:rsidRPr="00006957" w:rsidRDefault="009473CC" w:rsidP="00B40246">
                            <w:pPr>
                              <w:pStyle w:val="Ttulodelboletn"/>
                              <w:jc w:val="center"/>
                              <w:rPr>
                                <w:rFonts w:ascii="Century Gothic" w:hAnsi="Century Gothic"/>
                                <w:sz w:val="50"/>
                                <w:szCs w:val="50"/>
                              </w:rPr>
                            </w:pPr>
                            <w:sdt>
                              <w:sdtPr>
                                <w:rPr>
                                  <w:rFonts w:ascii="Century Gothic" w:hAnsi="Century Gothic"/>
                                  <w:sz w:val="50"/>
                                  <w:szCs w:val="50"/>
                                </w:rPr>
                                <w:id w:val="228783080"/>
                                <w:placeholder>
                                  <w:docPart w:val="31940EEAFD8F4058AD3AB0127031DCF8"/>
                                </w:placeholder>
                              </w:sdtPr>
                              <w:sdtEndPr/>
                              <w:sdtContent>
                                <w:r w:rsidR="007B177B" w:rsidRPr="00006957">
                                  <w:rPr>
                                    <w:rFonts w:ascii="Century Gothic" w:hAnsi="Century Gothic"/>
                                    <w:sz w:val="50"/>
                                    <w:szCs w:val="50"/>
                                    <w:lang w:bidi="es-ES"/>
                                  </w:rPr>
                                  <w:t xml:space="preserve">Informe de evaluación sobre el cumplimiento de las </w:t>
                                </w:r>
                                <w:r w:rsidR="007B177B" w:rsidRPr="00F27D3B">
                                  <w:rPr>
                                    <w:rFonts w:ascii="Century Gothic" w:hAnsi="Century Gothic"/>
                                    <w:sz w:val="48"/>
                                    <w:szCs w:val="48"/>
                                    <w:lang w:bidi="es-ES"/>
                                  </w:rPr>
                                  <w:t>obligaciones</w:t>
                                </w:r>
                                <w:r w:rsidR="007B177B" w:rsidRPr="00F27D3B">
                                  <w:rPr>
                                    <w:rFonts w:ascii="Century Gothic" w:hAnsi="Century Gothic"/>
                                    <w:sz w:val="50"/>
                                    <w:szCs w:val="50"/>
                                    <w:lang w:bidi="es-ES"/>
                                  </w:rPr>
                                  <w:t xml:space="preserve"> de Publicidad Activa </w:t>
                                </w:r>
                              </w:sdtContent>
                            </w:sdt>
                            <w:r w:rsidR="00794A63">
                              <w:rPr>
                                <w:rFonts w:ascii="Century Gothic" w:hAnsi="Century Gothic"/>
                                <w:sz w:val="50"/>
                                <w:szCs w:val="50"/>
                              </w:rPr>
                              <w:t>por parte del Centro</w:t>
                            </w:r>
                            <w:r w:rsidR="007D128D">
                              <w:rPr>
                                <w:rFonts w:ascii="Century Gothic" w:hAnsi="Century Gothic"/>
                                <w:sz w:val="50"/>
                                <w:szCs w:val="50"/>
                              </w:rPr>
                              <w:t xml:space="preserve"> de Estudios Jurídicos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p w:rsidR="007B177B" w:rsidRPr="00006957" w:rsidRDefault="00A625FA" w:rsidP="00B40246">
                      <w:pPr>
                        <w:pStyle w:val="Ttulodelboletn"/>
                        <w:jc w:val="center"/>
                        <w:rPr>
                          <w:rFonts w:ascii="Century Gothic" w:hAnsi="Century Gothic"/>
                          <w:sz w:val="50"/>
                          <w:szCs w:val="50"/>
                        </w:rPr>
                      </w:pPr>
                      <w:sdt>
                        <w:sdtPr>
                          <w:rPr>
                            <w:rFonts w:ascii="Century Gothic" w:hAnsi="Century Gothic"/>
                            <w:sz w:val="50"/>
                            <w:szCs w:val="50"/>
                          </w:rPr>
                          <w:id w:val="228783080"/>
                          <w:placeholder>
                            <w:docPart w:val="31940EEAFD8F4058AD3AB0127031DCF8"/>
                          </w:placeholder>
                        </w:sdtPr>
                        <w:sdtEndPr/>
                        <w:sdtContent>
                          <w:r w:rsidR="007B177B" w:rsidRPr="00006957">
                            <w:rPr>
                              <w:rFonts w:ascii="Century Gothic" w:hAnsi="Century Gothic"/>
                              <w:sz w:val="50"/>
                              <w:szCs w:val="50"/>
                              <w:lang w:bidi="es-ES"/>
                            </w:rPr>
                            <w:t xml:space="preserve">Informe de evaluación sobre el cumplimiento de las </w:t>
                          </w:r>
                          <w:r w:rsidR="007B177B" w:rsidRPr="00F27D3B">
                            <w:rPr>
                              <w:rFonts w:ascii="Century Gothic" w:hAnsi="Century Gothic"/>
                              <w:sz w:val="48"/>
                              <w:szCs w:val="48"/>
                              <w:lang w:bidi="es-ES"/>
                            </w:rPr>
                            <w:t>obligaciones</w:t>
                          </w:r>
                          <w:r w:rsidR="007B177B" w:rsidRPr="00F27D3B">
                            <w:rPr>
                              <w:rFonts w:ascii="Century Gothic" w:hAnsi="Century Gothic"/>
                              <w:sz w:val="50"/>
                              <w:szCs w:val="50"/>
                              <w:lang w:bidi="es-ES"/>
                            </w:rPr>
                            <w:t xml:space="preserve"> de Publicidad Activa </w:t>
                          </w:r>
                        </w:sdtContent>
                      </w:sdt>
                      <w:r w:rsidR="00794A63">
                        <w:rPr>
                          <w:rFonts w:ascii="Century Gothic" w:hAnsi="Century Gothic"/>
                          <w:sz w:val="50"/>
                          <w:szCs w:val="50"/>
                        </w:rPr>
                        <w:t>por parte del Centro</w:t>
                      </w:r>
                      <w:r w:rsidR="007D128D">
                        <w:rPr>
                          <w:rFonts w:ascii="Century Gothic" w:hAnsi="Century Gothic"/>
                          <w:sz w:val="50"/>
                          <w:szCs w:val="50"/>
                        </w:rPr>
                        <w:t xml:space="preserve"> de Estudios Jurídicos</w:t>
                      </w:r>
                    </w:p>
                  </w:txbxContent>
                </v:textbox>
              </v:shape>
            </w:pict>
          </mc:Fallback>
        </mc:AlternateContent>
      </w:r>
      <w:r w:rsidR="00D13049">
        <w:t>2</w: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B177B" w:rsidRDefault="007B177B"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B177B" w:rsidRDefault="007B177B"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720BFF">
            <w:pPr>
              <w:rPr>
                <w:sz w:val="24"/>
                <w:szCs w:val="24"/>
              </w:rPr>
            </w:pPr>
            <w:r>
              <w:rPr>
                <w:sz w:val="24"/>
                <w:szCs w:val="24"/>
              </w:rPr>
              <w:t>Centro de Estudios Jurídicos</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CC43D9" w:rsidP="001B29CB">
            <w:pPr>
              <w:rPr>
                <w:sz w:val="24"/>
                <w:szCs w:val="24"/>
              </w:rPr>
            </w:pPr>
            <w:r>
              <w:rPr>
                <w:sz w:val="24"/>
                <w:szCs w:val="24"/>
              </w:rPr>
              <w:t>22/02/2023</w:t>
            </w:r>
          </w:p>
          <w:p w:rsidR="00785889" w:rsidRPr="00CB5511" w:rsidRDefault="00785889" w:rsidP="001B29CB">
            <w:pPr>
              <w:rPr>
                <w:sz w:val="24"/>
                <w:szCs w:val="24"/>
              </w:rPr>
            </w:pPr>
            <w:r>
              <w:rPr>
                <w:sz w:val="24"/>
                <w:szCs w:val="24"/>
              </w:rPr>
              <w:t>Segunda revisión: 26/04/2023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CC43D9" w:rsidP="00CC43D9">
            <w:pPr>
              <w:rPr>
                <w:sz w:val="24"/>
                <w:szCs w:val="24"/>
              </w:rPr>
            </w:pPr>
            <w:r w:rsidRPr="00CC43D9">
              <w:rPr>
                <w:sz w:val="24"/>
                <w:szCs w:val="24"/>
              </w:rPr>
              <w:t>https://www.cej-mjusticia.es/es/transparencia</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proofErr w:type="spellStart"/>
            <w:r>
              <w:rPr>
                <w:sz w:val="20"/>
                <w:szCs w:val="20"/>
              </w:rPr>
              <w:t>2.1.a</w:t>
            </w:r>
            <w:proofErr w:type="spellEnd"/>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proofErr w:type="spellStart"/>
            <w:r>
              <w:rPr>
                <w:sz w:val="20"/>
                <w:szCs w:val="20"/>
              </w:rPr>
              <w:t>2.1.a.1</w:t>
            </w:r>
            <w:proofErr w:type="spellEnd"/>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proofErr w:type="spellStart"/>
            <w:r>
              <w:rPr>
                <w:sz w:val="20"/>
                <w:szCs w:val="20"/>
              </w:rPr>
              <w:t>2.1.b</w:t>
            </w:r>
            <w:proofErr w:type="spellEnd"/>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proofErr w:type="spellStart"/>
            <w:r>
              <w:rPr>
                <w:sz w:val="20"/>
                <w:szCs w:val="20"/>
              </w:rPr>
              <w:t>2.1.c</w:t>
            </w:r>
            <w:proofErr w:type="spellEnd"/>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proofErr w:type="spellStart"/>
            <w:r>
              <w:rPr>
                <w:sz w:val="20"/>
                <w:szCs w:val="20"/>
              </w:rPr>
              <w:t>2.1.d</w:t>
            </w:r>
            <w:proofErr w:type="spellEnd"/>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proofErr w:type="spellStart"/>
            <w:r>
              <w:rPr>
                <w:sz w:val="20"/>
                <w:szCs w:val="20"/>
              </w:rPr>
              <w:t>2.1.e</w:t>
            </w:r>
            <w:proofErr w:type="spellEnd"/>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proofErr w:type="spellStart"/>
            <w:r>
              <w:rPr>
                <w:sz w:val="20"/>
                <w:szCs w:val="20"/>
              </w:rPr>
              <w:t>2.1.f</w:t>
            </w:r>
            <w:proofErr w:type="spellEnd"/>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proofErr w:type="spellStart"/>
            <w:r>
              <w:rPr>
                <w:sz w:val="20"/>
                <w:szCs w:val="20"/>
              </w:rPr>
              <w:t>2.1.g</w:t>
            </w:r>
            <w:proofErr w:type="spellEnd"/>
          </w:p>
        </w:tc>
        <w:tc>
          <w:tcPr>
            <w:tcW w:w="8129" w:type="dxa"/>
          </w:tcPr>
          <w:p w:rsidR="005B19E4" w:rsidRPr="00F14DA4" w:rsidRDefault="005B19E4" w:rsidP="00B60213">
            <w:pPr>
              <w:rPr>
                <w:sz w:val="20"/>
                <w:szCs w:val="20"/>
              </w:rPr>
            </w:pPr>
            <w:r>
              <w:rPr>
                <w:sz w:val="20"/>
                <w:szCs w:val="20"/>
              </w:rPr>
              <w:t xml:space="preserve">Sociedades Mercantiles </w:t>
            </w:r>
            <w:r w:rsidR="00B60213">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B60213" w:rsidRPr="00F14DA4" w:rsidTr="00AE0920">
        <w:tc>
          <w:tcPr>
            <w:tcW w:w="1760" w:type="dxa"/>
          </w:tcPr>
          <w:p w:rsidR="00B60213" w:rsidRPr="00F14DA4" w:rsidRDefault="00B60213" w:rsidP="003F7718">
            <w:pPr>
              <w:rPr>
                <w:sz w:val="20"/>
                <w:szCs w:val="20"/>
              </w:rPr>
            </w:pPr>
            <w:proofErr w:type="spellStart"/>
            <w:r>
              <w:rPr>
                <w:sz w:val="20"/>
                <w:szCs w:val="20"/>
              </w:rPr>
              <w:t>2.1.h</w:t>
            </w:r>
            <w:proofErr w:type="spellEnd"/>
          </w:p>
        </w:tc>
        <w:tc>
          <w:tcPr>
            <w:tcW w:w="8129" w:type="dxa"/>
          </w:tcPr>
          <w:p w:rsidR="00B60213" w:rsidRDefault="00B60213" w:rsidP="00AE0920">
            <w:pPr>
              <w:rPr>
                <w:sz w:val="20"/>
                <w:szCs w:val="20"/>
              </w:rPr>
            </w:pPr>
            <w:r>
              <w:rPr>
                <w:sz w:val="20"/>
                <w:szCs w:val="20"/>
              </w:rPr>
              <w:t>Fundaciones del Sector Público</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B60213">
            <w:pPr>
              <w:rPr>
                <w:sz w:val="20"/>
                <w:szCs w:val="20"/>
              </w:rPr>
            </w:pPr>
            <w:proofErr w:type="spellStart"/>
            <w:r>
              <w:rPr>
                <w:sz w:val="20"/>
                <w:szCs w:val="20"/>
              </w:rPr>
              <w:t>2.1.i</w:t>
            </w:r>
            <w:proofErr w:type="spellEnd"/>
          </w:p>
        </w:tc>
        <w:tc>
          <w:tcPr>
            <w:tcW w:w="8129" w:type="dxa"/>
          </w:tcPr>
          <w:p w:rsidR="00B60213" w:rsidRPr="00F14DA4" w:rsidRDefault="00B60213"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AE0920">
            <w:pPr>
              <w:rPr>
                <w:sz w:val="20"/>
                <w:szCs w:val="20"/>
              </w:rPr>
            </w:pPr>
            <w:proofErr w:type="spellStart"/>
            <w:r>
              <w:rPr>
                <w:sz w:val="20"/>
                <w:szCs w:val="20"/>
              </w:rPr>
              <w:t>3.a</w:t>
            </w:r>
            <w:proofErr w:type="spellEnd"/>
          </w:p>
        </w:tc>
        <w:tc>
          <w:tcPr>
            <w:tcW w:w="8129" w:type="dxa"/>
          </w:tcPr>
          <w:p w:rsidR="00B60213" w:rsidRPr="00F14DA4" w:rsidRDefault="00B60213"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AE0920">
            <w:pPr>
              <w:rPr>
                <w:sz w:val="20"/>
                <w:szCs w:val="20"/>
              </w:rPr>
            </w:pPr>
            <w:proofErr w:type="spellStart"/>
            <w:r>
              <w:rPr>
                <w:sz w:val="20"/>
                <w:szCs w:val="20"/>
              </w:rPr>
              <w:t>3.b</w:t>
            </w:r>
            <w:proofErr w:type="spellEnd"/>
          </w:p>
        </w:tc>
        <w:tc>
          <w:tcPr>
            <w:tcW w:w="8129" w:type="dxa"/>
          </w:tcPr>
          <w:p w:rsidR="00B60213" w:rsidRPr="00F14DA4" w:rsidRDefault="00B60213"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B60213" w:rsidRPr="004A123A" w:rsidRDefault="00B60213"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171B47">
            <w:pPr>
              <w:rPr>
                <w:sz w:val="20"/>
                <w:szCs w:val="20"/>
              </w:rPr>
            </w:pPr>
            <w:r w:rsidRPr="0057532F">
              <w:rPr>
                <w:sz w:val="20"/>
                <w:szCs w:val="20"/>
              </w:rPr>
              <w:t xml:space="preserve">Encomiendas </w:t>
            </w:r>
            <w:r w:rsidR="00171B47">
              <w:rPr>
                <w:sz w:val="20"/>
                <w:szCs w:val="20"/>
              </w:rPr>
              <w:t>de gestión</w:t>
            </w:r>
            <w:r w:rsidR="0039670C">
              <w:rPr>
                <w:sz w:val="20"/>
                <w:szCs w:val="20"/>
              </w:rPr>
              <w:t xml:space="preserve"> y encargos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9473CC"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EF5297" w:rsidRDefault="00CB5511" w:rsidP="00EF5297">
            <w:pPr>
              <w:jc w:val="center"/>
              <w:rPr>
                <w:sz w:val="24"/>
                <w:szCs w:val="24"/>
              </w:rPr>
            </w:pPr>
          </w:p>
        </w:tc>
        <w:tc>
          <w:tcPr>
            <w:tcW w:w="3969" w:type="dxa"/>
            <w:vMerge w:val="restart"/>
          </w:tcPr>
          <w:p w:rsidR="00CB5511" w:rsidRPr="000C6CFF" w:rsidRDefault="00CC43D9" w:rsidP="00CB5511">
            <w:pPr>
              <w:rPr>
                <w:sz w:val="20"/>
                <w:szCs w:val="20"/>
              </w:rPr>
            </w:pPr>
            <w:r>
              <w:rPr>
                <w:sz w:val="20"/>
                <w:szCs w:val="20"/>
              </w:rPr>
              <w:t>El acceso al Portal de Transparencia se localiza en el acceso Conócenos de la página home de la web del CEJ</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C43D9"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051072" w:rsidRDefault="00CB5511" w:rsidP="00CB5511">
            <w:pPr>
              <w:jc w:val="center"/>
              <w:rPr>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CC43D9" w:rsidP="001856FA">
            <w:pPr>
              <w:jc w:val="both"/>
              <w:rPr>
                <w:sz w:val="20"/>
                <w:szCs w:val="20"/>
              </w:rPr>
            </w:pPr>
            <w:r>
              <w:rPr>
                <w:sz w:val="20"/>
                <w:szCs w:val="20"/>
              </w:rPr>
              <w:t>El Portal de Transparencia sólo contiene dos enlaces al baremo de retribuciones y a una nota explicativa sobre este baremo. Ambas informa</w:t>
            </w:r>
            <w:r w:rsidR="001856FA">
              <w:rPr>
                <w:sz w:val="20"/>
                <w:szCs w:val="20"/>
              </w:rPr>
              <w:t>ciones no forman parte de las obligaciones de publicidad activa</w:t>
            </w:r>
            <w:r>
              <w:rPr>
                <w:sz w:val="20"/>
                <w:szCs w:val="20"/>
              </w:rPr>
              <w:t xml:space="preserve"> contempladas en la LTAIBG. Por otra parte, en el Portal se indica que la información que se publica es complementaria de la que se localiza en el Portal de Transparencia de la Administración del Estado.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051072" w:rsidRDefault="00CC43D9" w:rsidP="00CB5511">
            <w:pPr>
              <w:jc w:val="center"/>
              <w:rPr>
                <w:sz w:val="24"/>
                <w:szCs w:val="24"/>
              </w:rPr>
            </w:pPr>
            <w:r>
              <w:rPr>
                <w:sz w:val="24"/>
                <w:szCs w:val="24"/>
              </w:rPr>
              <w:t>X</w:t>
            </w:r>
          </w:p>
        </w:tc>
        <w:tc>
          <w:tcPr>
            <w:tcW w:w="3977" w:type="dxa"/>
            <w:vMerge/>
          </w:tcPr>
          <w:p w:rsidR="00932008" w:rsidRPr="00932008" w:rsidRDefault="00932008">
            <w:pPr>
              <w:rPr>
                <w:sz w:val="20"/>
                <w:szCs w:val="20"/>
              </w:rPr>
            </w:pPr>
          </w:p>
        </w:tc>
      </w:tr>
    </w:tbl>
    <w:p w:rsidR="00561402" w:rsidRDefault="00561402"/>
    <w:p w:rsidR="00CC43D9" w:rsidRDefault="00CC43D9" w:rsidP="00CC43D9">
      <w:pPr>
        <w:ind w:left="284" w:hanging="284"/>
      </w:pPr>
      <w:r w:rsidRPr="00CC43D9">
        <w:rPr>
          <w:noProof/>
        </w:rPr>
        <w:drawing>
          <wp:inline distT="0" distB="0" distL="0" distR="0" wp14:anchorId="1EC4AEDB" wp14:editId="65995FCA">
            <wp:extent cx="5612130" cy="2814955"/>
            <wp:effectExtent l="0" t="0" r="762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814955"/>
                    </a:xfrm>
                    <a:prstGeom prst="rect">
                      <a:avLst/>
                    </a:prstGeom>
                  </pic:spPr>
                </pic:pic>
              </a:graphicData>
            </a:graphic>
          </wp:inline>
        </w:drawing>
      </w: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CC43D9"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3D53D6" w:rsidRDefault="00CC43D9" w:rsidP="0019238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w:t>
            </w:r>
            <w:r w:rsidR="00192381">
              <w:rPr>
                <w:rStyle w:val="Ttulo2Car"/>
                <w:b w:val="0"/>
                <w:color w:val="auto"/>
                <w:sz w:val="20"/>
                <w:szCs w:val="20"/>
                <w:lang w:bidi="es-ES"/>
              </w:rPr>
              <w:t>enlaza al texto consolidado de la LO del Poder Judicial así como a la publicación en el BOE de los Estatutos del organismo</w:t>
            </w:r>
            <w:r>
              <w:rPr>
                <w:rStyle w:val="Ttulo2Car"/>
                <w:b w:val="0"/>
                <w:color w:val="auto"/>
                <w:sz w:val="20"/>
                <w:szCs w:val="20"/>
                <w:lang w:bidi="es-ES"/>
              </w:rPr>
              <w:t xml:space="preserve">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19238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192381" w:rsidP="00367BA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Centro de Estudios Jurídicos del acceso Conócenos. La información no está datada y tampoco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19238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A45706" w:rsidP="00BC32C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la parte inferior de la página home, a través del enlace Protección de Datos. </w:t>
            </w:r>
            <w:r w:rsidRPr="00A45706">
              <w:rPr>
                <w:rStyle w:val="Ttulo2Car"/>
                <w:b w:val="0"/>
                <w:color w:val="auto"/>
                <w:sz w:val="20"/>
                <w:szCs w:val="20"/>
                <w:lang w:bidi="es-ES"/>
              </w:rPr>
              <w:t>La información no está datada y tampoco se publica la fecha de la última revisión o actualización de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A45706"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A45706" w:rsidP="00EF5297">
            <w:pPr>
              <w:pStyle w:val="Cuerpodelboletn"/>
              <w:spacing w:before="120" w:after="120" w:line="312" w:lineRule="auto"/>
              <w:rPr>
                <w:rStyle w:val="Ttulo2Car"/>
                <w:b w:val="0"/>
                <w:color w:val="auto"/>
                <w:sz w:val="20"/>
                <w:szCs w:val="20"/>
                <w:lang w:bidi="es-ES"/>
              </w:rPr>
            </w:pPr>
            <w:r w:rsidRPr="00A45706">
              <w:rPr>
                <w:rStyle w:val="Ttulo2Car"/>
                <w:b w:val="0"/>
                <w:color w:val="auto"/>
                <w:sz w:val="20"/>
                <w:szCs w:val="20"/>
                <w:lang w:bidi="es-ES"/>
              </w:rPr>
              <w:t>Localizable en el apartado Centro de Estudios Jurídicos del acceso Conócenos. La información no está datada y tampoco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287B6A"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A45706" w:rsidP="00A45706">
            <w:pPr>
              <w:pStyle w:val="Cuerpodelboletn"/>
              <w:spacing w:before="120" w:after="120" w:line="312" w:lineRule="auto"/>
              <w:rPr>
                <w:rStyle w:val="Ttulo2Car"/>
                <w:b w:val="0"/>
                <w:color w:val="auto"/>
                <w:sz w:val="20"/>
                <w:szCs w:val="20"/>
                <w:lang w:bidi="es-ES"/>
              </w:rPr>
            </w:pPr>
            <w:r w:rsidRPr="00A45706">
              <w:rPr>
                <w:rStyle w:val="Ttulo2Car"/>
                <w:b w:val="0"/>
                <w:color w:val="auto"/>
                <w:sz w:val="20"/>
                <w:szCs w:val="20"/>
                <w:lang w:bidi="es-ES"/>
              </w:rPr>
              <w:t xml:space="preserve">Localizable en el apartado </w:t>
            </w:r>
            <w:r>
              <w:rPr>
                <w:rStyle w:val="Ttulo2Car"/>
                <w:b w:val="0"/>
                <w:color w:val="auto"/>
                <w:sz w:val="20"/>
                <w:szCs w:val="20"/>
                <w:lang w:bidi="es-ES"/>
              </w:rPr>
              <w:t>Organigrama</w:t>
            </w:r>
            <w:r w:rsidRPr="00A45706">
              <w:rPr>
                <w:rStyle w:val="Ttulo2Car"/>
                <w:b w:val="0"/>
                <w:color w:val="auto"/>
                <w:sz w:val="20"/>
                <w:szCs w:val="20"/>
                <w:lang w:bidi="es-ES"/>
              </w:rPr>
              <w:t xml:space="preserve"> del acceso Conócenos. </w:t>
            </w:r>
            <w:r w:rsidR="00287B6A">
              <w:rPr>
                <w:rStyle w:val="Ttulo2Car"/>
                <w:b w:val="0"/>
                <w:color w:val="auto"/>
                <w:sz w:val="20"/>
                <w:szCs w:val="20"/>
                <w:lang w:bidi="es-ES"/>
              </w:rPr>
              <w:t xml:space="preserve">Se publica en formato no reutilizable. </w:t>
            </w:r>
            <w:r w:rsidRPr="00A45706">
              <w:rPr>
                <w:rStyle w:val="Ttulo2Car"/>
                <w:b w:val="0"/>
                <w:color w:val="auto"/>
                <w:sz w:val="20"/>
                <w:szCs w:val="20"/>
                <w:lang w:bidi="es-ES"/>
              </w:rPr>
              <w:t>La información no está datada y tampoco se publica la fecha de la última revisión o actualización de la información.</w:t>
            </w:r>
          </w:p>
        </w:tc>
      </w:tr>
      <w:tr w:rsidR="00EF5297" w:rsidRPr="00CB5511" w:rsidTr="00F47C3B">
        <w:tc>
          <w:tcPr>
            <w:tcW w:w="1591" w:type="dxa"/>
            <w:vMerge/>
            <w:tcBorders>
              <w:right w:val="single" w:sz="4" w:space="0" w:color="00642D"/>
            </w:tcBorders>
            <w:shd w:val="clear" w:color="auto" w:fill="00642D"/>
          </w:tcPr>
          <w:p w:rsidR="00EF5297" w:rsidRPr="00CB5511" w:rsidRDefault="00EF529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287B6A"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F5297" w:rsidRPr="003D53D6" w:rsidRDefault="00287B6A" w:rsidP="00367BA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Dirección del Centro de Estudios Jurídicos.</w:t>
            </w:r>
            <w:r w:rsidRPr="00A45706">
              <w:rPr>
                <w:rStyle w:val="Ttulo2Car"/>
                <w:b w:val="0"/>
                <w:color w:val="auto"/>
                <w:sz w:val="20"/>
                <w:szCs w:val="20"/>
                <w:lang w:bidi="es-ES"/>
              </w:rPr>
              <w:t xml:space="preserve"> La información no está datada y tampoco se publica la fecha de la última revisión o actualización de la información.</w:t>
            </w:r>
          </w:p>
        </w:tc>
      </w:tr>
      <w:tr w:rsidR="00EF5297" w:rsidRPr="00CB5511" w:rsidTr="00F47C3B">
        <w:tc>
          <w:tcPr>
            <w:tcW w:w="1591" w:type="dxa"/>
            <w:vMerge/>
            <w:tcBorders>
              <w:right w:val="single" w:sz="4" w:space="0" w:color="00642D"/>
            </w:tcBorders>
            <w:shd w:val="clear" w:color="auto" w:fill="00642D"/>
          </w:tcPr>
          <w:p w:rsidR="00EF5297" w:rsidRPr="00CB5511" w:rsidRDefault="00EF529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F5297">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287B6A"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F5297" w:rsidRPr="00371F01" w:rsidRDefault="00287B6A" w:rsidP="00EF5297">
            <w:pPr>
              <w:pStyle w:val="Cuerpodelboletn"/>
              <w:spacing w:before="120" w:after="120" w:line="312" w:lineRule="auto"/>
              <w:rPr>
                <w:sz w:val="20"/>
                <w:szCs w:val="20"/>
              </w:rPr>
            </w:pPr>
            <w:r w:rsidRPr="00287B6A">
              <w:rPr>
                <w:sz w:val="20"/>
                <w:szCs w:val="20"/>
              </w:rPr>
              <w:t>Localizable en el apartado Dirección del Centro de Estudios Jurídicos. La información no está datada y tampoco se publica la fecha de la última revisión o actualización de la información.</w:t>
            </w:r>
          </w:p>
        </w:tc>
      </w:tr>
      <w:tr w:rsidR="00BC32CF" w:rsidRPr="00CB5511" w:rsidTr="00F47C3B">
        <w:tc>
          <w:tcPr>
            <w:tcW w:w="1591" w:type="dxa"/>
            <w:vMerge w:val="restart"/>
            <w:tcBorders>
              <w:right w:val="single" w:sz="4" w:space="0" w:color="00642D"/>
            </w:tcBorders>
            <w:shd w:val="clear" w:color="auto" w:fill="00642D"/>
            <w:textDirection w:val="btLr"/>
          </w:tcPr>
          <w:p w:rsidR="00BC32CF" w:rsidRPr="001561A4" w:rsidRDefault="00BC32CF"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BC32CF" w:rsidRPr="00E34195" w:rsidRDefault="00BC32CF"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BC32CF" w:rsidRPr="003D53D6" w:rsidRDefault="00287B6A"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C32CF" w:rsidRPr="00BC32CF" w:rsidRDefault="004A75BA" w:rsidP="004A75BA">
            <w:pPr>
              <w:spacing w:line="276" w:lineRule="auto"/>
              <w:rPr>
                <w:color w:val="000000"/>
                <w:sz w:val="20"/>
                <w:szCs w:val="20"/>
              </w:rPr>
            </w:pPr>
            <w:r>
              <w:rPr>
                <w:color w:val="000000"/>
                <w:sz w:val="20"/>
                <w:szCs w:val="20"/>
              </w:rPr>
              <w:t>Se publica el Plan Estratégico 2021-2024 y los planes de actuación correspondientes a los años 2022 y 2023</w:t>
            </w:r>
          </w:p>
        </w:tc>
      </w:tr>
      <w:tr w:rsidR="00BC32CF" w:rsidRPr="00CB5511" w:rsidTr="00F47C3B">
        <w:tc>
          <w:tcPr>
            <w:tcW w:w="1591" w:type="dxa"/>
            <w:vMerge/>
            <w:tcBorders>
              <w:right w:val="single" w:sz="4" w:space="0" w:color="00642D"/>
            </w:tcBorders>
            <w:shd w:val="clear" w:color="auto" w:fill="00642D"/>
          </w:tcPr>
          <w:p w:rsidR="00BC32CF" w:rsidRPr="00CB5511" w:rsidRDefault="00BC32CF"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C32CF" w:rsidRPr="00E34195" w:rsidRDefault="00BC32CF"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Grado de cumplimiento y </w:t>
            </w:r>
            <w:r>
              <w:rPr>
                <w:rStyle w:val="Ttulo2Car"/>
                <w:b w:val="0"/>
                <w:color w:val="auto"/>
                <w:sz w:val="20"/>
                <w:szCs w:val="20"/>
                <w:lang w:bidi="es-ES"/>
              </w:rPr>
              <w:lastRenderedPageBreak/>
              <w:t>resultados</w:t>
            </w:r>
          </w:p>
        </w:tc>
        <w:tc>
          <w:tcPr>
            <w:tcW w:w="789" w:type="dxa"/>
            <w:tcBorders>
              <w:top w:val="single" w:sz="4" w:space="0" w:color="00642D"/>
              <w:left w:val="single" w:sz="4" w:space="0" w:color="00642D"/>
              <w:bottom w:val="single" w:sz="4" w:space="0" w:color="00642D"/>
              <w:right w:val="single" w:sz="4" w:space="0" w:color="00642D"/>
            </w:tcBorders>
          </w:tcPr>
          <w:p w:rsidR="00BC32CF" w:rsidRPr="003D53D6" w:rsidRDefault="00BC32CF"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BC32CF" w:rsidRPr="00BC32CF" w:rsidRDefault="004A75BA" w:rsidP="00474BA6">
            <w:pPr>
              <w:rPr>
                <w:color w:val="000000"/>
                <w:sz w:val="20"/>
                <w:szCs w:val="20"/>
              </w:rPr>
            </w:pPr>
            <w:r>
              <w:rPr>
                <w:color w:val="000000"/>
                <w:sz w:val="20"/>
                <w:szCs w:val="20"/>
              </w:rPr>
              <w:t>No se ha localizado información</w:t>
            </w:r>
          </w:p>
        </w:tc>
      </w:tr>
      <w:tr w:rsidR="00EF5297" w:rsidRPr="00CB5511" w:rsidTr="00F47C3B">
        <w:tc>
          <w:tcPr>
            <w:tcW w:w="1591" w:type="dxa"/>
            <w:vMerge/>
            <w:tcBorders>
              <w:right w:val="single" w:sz="4" w:space="0" w:color="00642D"/>
            </w:tcBorders>
            <w:shd w:val="clear" w:color="auto" w:fill="00642D"/>
          </w:tcPr>
          <w:p w:rsidR="00EF5297" w:rsidRPr="00CB5511" w:rsidRDefault="00EF529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287B6A"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F5297" w:rsidRPr="003D53D6" w:rsidRDefault="00287B6A" w:rsidP="00BC32C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los planes anuales de actuación</w:t>
            </w:r>
          </w:p>
        </w:tc>
      </w:tr>
    </w:tbl>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BC32CF"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7696" behindDoc="0" locked="0" layoutInCell="1" allowOverlap="1" wp14:anchorId="2BF281AA" wp14:editId="11651A1F">
                <wp:simplePos x="0" y="0"/>
                <wp:positionH relativeFrom="column">
                  <wp:posOffset>711642</wp:posOffset>
                </wp:positionH>
                <wp:positionV relativeFrom="paragraph">
                  <wp:posOffset>153532</wp:posOffset>
                </wp:positionV>
                <wp:extent cx="5509523" cy="2393343"/>
                <wp:effectExtent l="0" t="0" r="15240" b="260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393343"/>
                        </a:xfrm>
                        <a:prstGeom prst="rect">
                          <a:avLst/>
                        </a:prstGeom>
                        <a:solidFill>
                          <a:srgbClr val="FFFFFF"/>
                        </a:solidFill>
                        <a:ln w="9525">
                          <a:solidFill>
                            <a:srgbClr val="000000"/>
                          </a:solidFill>
                          <a:miter lim="800000"/>
                          <a:headEnd/>
                          <a:tailEnd/>
                        </a:ln>
                      </wps:spPr>
                      <wps:txbx>
                        <w:txbxContent>
                          <w:p w:rsidR="007B177B" w:rsidRDefault="007B177B" w:rsidP="00BC32CF">
                            <w:pPr>
                              <w:rPr>
                                <w:b/>
                                <w:color w:val="00642D"/>
                              </w:rPr>
                            </w:pPr>
                            <w:r w:rsidRPr="00BD4582">
                              <w:rPr>
                                <w:b/>
                                <w:color w:val="00642D"/>
                              </w:rPr>
                              <w:t>Contenidos</w:t>
                            </w:r>
                          </w:p>
                          <w:p w:rsidR="007B177B" w:rsidRDefault="007B177B" w:rsidP="00BC32CF">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7B177B" w:rsidRPr="004A75BA" w:rsidRDefault="007B177B" w:rsidP="004A75BA">
                            <w:pPr>
                              <w:pStyle w:val="Prrafodelista"/>
                              <w:numPr>
                                <w:ilvl w:val="0"/>
                                <w:numId w:val="16"/>
                              </w:numPr>
                              <w:rPr>
                                <w:sz w:val="20"/>
                                <w:szCs w:val="20"/>
                              </w:rPr>
                            </w:pPr>
                            <w:r>
                              <w:rPr>
                                <w:sz w:val="20"/>
                                <w:szCs w:val="20"/>
                              </w:rPr>
                              <w:t>No se ha localizado información sobre cumplimiento y resultados de planes y programas.</w:t>
                            </w:r>
                          </w:p>
                          <w:p w:rsidR="007B177B" w:rsidRDefault="007B177B" w:rsidP="00BC32CF">
                            <w:pPr>
                              <w:rPr>
                                <w:b/>
                                <w:color w:val="00642D"/>
                              </w:rPr>
                            </w:pPr>
                            <w:r>
                              <w:rPr>
                                <w:b/>
                                <w:color w:val="00642D"/>
                              </w:rPr>
                              <w:t>Calidad de la Información</w:t>
                            </w:r>
                          </w:p>
                          <w:p w:rsidR="007B177B" w:rsidRDefault="007B177B" w:rsidP="004A75BA">
                            <w:pPr>
                              <w:pStyle w:val="Prrafodelista"/>
                              <w:numPr>
                                <w:ilvl w:val="0"/>
                                <w:numId w:val="16"/>
                              </w:numPr>
                              <w:rPr>
                                <w:sz w:val="20"/>
                                <w:szCs w:val="20"/>
                              </w:rPr>
                            </w:pPr>
                            <w:r>
                              <w:rPr>
                                <w:sz w:val="20"/>
                                <w:szCs w:val="20"/>
                              </w:rPr>
                              <w:t>En general, la información no está datada y no se publica la fecha de la última revisión o actualización de la información.</w:t>
                            </w:r>
                          </w:p>
                          <w:p w:rsidR="007B177B" w:rsidRPr="004A75BA" w:rsidRDefault="007B177B" w:rsidP="004A75BA">
                            <w:pPr>
                              <w:pStyle w:val="Prrafodelista"/>
                              <w:numPr>
                                <w:ilvl w:val="0"/>
                                <w:numId w:val="16"/>
                              </w:numPr>
                              <w:rPr>
                                <w:sz w:val="20"/>
                                <w:szCs w:val="20"/>
                              </w:rPr>
                            </w:pPr>
                            <w:r w:rsidRPr="004A75BA">
                              <w:rPr>
                                <w:sz w:val="20"/>
                                <w:szCs w:val="20"/>
                              </w:rPr>
                              <w:t>El organigrama se publica en formato no reutilizable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56.05pt;margin-top:12.1pt;width:433.8pt;height:18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">
                <v:textbox>
                  <w:txbxContent>
                    <w:p w:rsidR="007B177B" w:rsidRDefault="007B177B" w:rsidP="00BC32CF">
                      <w:pPr>
                        <w:rPr>
                          <w:b/>
                          <w:color w:val="00642D"/>
                        </w:rPr>
                      </w:pPr>
                      <w:r w:rsidRPr="00BD4582">
                        <w:rPr>
                          <w:b/>
                          <w:color w:val="00642D"/>
                        </w:rPr>
                        <w:t>Contenidos</w:t>
                      </w:r>
                    </w:p>
                    <w:p w:rsidR="007B177B" w:rsidRDefault="007B177B" w:rsidP="00BC32CF">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7B177B" w:rsidRPr="004A75BA" w:rsidRDefault="007B177B" w:rsidP="004A75BA">
                      <w:pPr>
                        <w:pStyle w:val="Prrafodelista"/>
                        <w:numPr>
                          <w:ilvl w:val="0"/>
                          <w:numId w:val="16"/>
                        </w:numPr>
                        <w:rPr>
                          <w:sz w:val="20"/>
                          <w:szCs w:val="20"/>
                        </w:rPr>
                      </w:pPr>
                      <w:r>
                        <w:rPr>
                          <w:sz w:val="20"/>
                          <w:szCs w:val="20"/>
                        </w:rPr>
                        <w:t>No se ha localizado información sobre cumplimiento y resultados de planes y programas.</w:t>
                      </w:r>
                    </w:p>
                    <w:p w:rsidR="007B177B" w:rsidRDefault="007B177B" w:rsidP="00BC32CF">
                      <w:pPr>
                        <w:rPr>
                          <w:b/>
                          <w:color w:val="00642D"/>
                        </w:rPr>
                      </w:pPr>
                      <w:r>
                        <w:rPr>
                          <w:b/>
                          <w:color w:val="00642D"/>
                        </w:rPr>
                        <w:t>Calidad de la Información</w:t>
                      </w:r>
                    </w:p>
                    <w:p w:rsidR="007B177B" w:rsidRDefault="007B177B" w:rsidP="004A75BA">
                      <w:pPr>
                        <w:pStyle w:val="Prrafodelista"/>
                        <w:numPr>
                          <w:ilvl w:val="0"/>
                          <w:numId w:val="16"/>
                        </w:numPr>
                        <w:rPr>
                          <w:sz w:val="20"/>
                          <w:szCs w:val="20"/>
                        </w:rPr>
                      </w:pPr>
                      <w:r>
                        <w:rPr>
                          <w:sz w:val="20"/>
                          <w:szCs w:val="20"/>
                        </w:rPr>
                        <w:t>En general, la información no está datada y no se publica la fecha de la última revisión o actualización de la información.</w:t>
                      </w:r>
                    </w:p>
                    <w:p w:rsidR="007B177B" w:rsidRPr="004A75BA" w:rsidRDefault="007B177B" w:rsidP="004A75BA">
                      <w:pPr>
                        <w:pStyle w:val="Prrafodelista"/>
                        <w:numPr>
                          <w:ilvl w:val="0"/>
                          <w:numId w:val="16"/>
                        </w:numPr>
                        <w:rPr>
                          <w:sz w:val="20"/>
                          <w:szCs w:val="20"/>
                        </w:rPr>
                      </w:pPr>
                      <w:r w:rsidRPr="004A75BA">
                        <w:rPr>
                          <w:sz w:val="20"/>
                          <w:szCs w:val="20"/>
                        </w:rPr>
                        <w:t>El organigrama se publica en formato no reutilizable</w:t>
                      </w:r>
                    </w:p>
                  </w:txbxContent>
                </v:textbox>
              </v:shape>
            </w:pict>
          </mc:Fallback>
        </mc:AlternateContent>
      </w:r>
    </w:p>
    <w:p w:rsidR="00BC32CF" w:rsidRDefault="00BC32CF" w:rsidP="001561A4">
      <w:pPr>
        <w:pStyle w:val="Cuerpodelboletn"/>
        <w:spacing w:before="120" w:after="120" w:line="312" w:lineRule="auto"/>
        <w:ind w:left="360"/>
        <w:rPr>
          <w:b/>
          <w:color w:val="00642D"/>
          <w:szCs w:val="22"/>
        </w:rPr>
      </w:pPr>
    </w:p>
    <w:p w:rsidR="00BC32CF" w:rsidRDefault="00BC32CF" w:rsidP="001561A4">
      <w:pPr>
        <w:pStyle w:val="Cuerpodelboletn"/>
        <w:spacing w:before="120" w:after="120" w:line="312" w:lineRule="auto"/>
        <w:ind w:left="360"/>
        <w:rPr>
          <w:b/>
          <w:color w:val="00642D"/>
          <w:szCs w:val="22"/>
        </w:rPr>
      </w:pPr>
    </w:p>
    <w:p w:rsidR="00BC32CF" w:rsidRDefault="00BC32CF" w:rsidP="001561A4">
      <w:pPr>
        <w:pStyle w:val="Cuerpodelboletn"/>
        <w:spacing w:before="120" w:after="120" w:line="312" w:lineRule="auto"/>
        <w:ind w:left="360"/>
        <w:rPr>
          <w:b/>
          <w:color w:val="00642D"/>
          <w:szCs w:val="22"/>
        </w:rPr>
      </w:pPr>
    </w:p>
    <w:p w:rsidR="00BC32CF" w:rsidRDefault="00BC32CF" w:rsidP="001561A4">
      <w:pPr>
        <w:pStyle w:val="Cuerpodelboletn"/>
        <w:spacing w:before="120" w:after="120" w:line="312" w:lineRule="auto"/>
        <w:ind w:left="360"/>
        <w:rPr>
          <w:b/>
          <w:color w:val="00642D"/>
          <w:szCs w:val="22"/>
        </w:rPr>
      </w:pPr>
    </w:p>
    <w:p w:rsidR="00BC32CF" w:rsidRDefault="00BC32CF" w:rsidP="001561A4">
      <w:pPr>
        <w:pStyle w:val="Cuerpodelboletn"/>
        <w:spacing w:before="120" w:after="120" w:line="312" w:lineRule="auto"/>
        <w:ind w:left="360"/>
        <w:rPr>
          <w:b/>
          <w:color w:val="00642D"/>
          <w:szCs w:val="22"/>
        </w:rPr>
      </w:pPr>
    </w:p>
    <w:p w:rsidR="00BC32CF" w:rsidRDefault="00BC32CF" w:rsidP="001561A4">
      <w:pPr>
        <w:pStyle w:val="Cuerpodelboletn"/>
        <w:spacing w:before="120" w:after="120" w:line="312" w:lineRule="auto"/>
        <w:ind w:left="360"/>
        <w:rPr>
          <w:b/>
          <w:color w:val="00642D"/>
          <w:szCs w:val="22"/>
        </w:rPr>
      </w:pPr>
    </w:p>
    <w:p w:rsidR="00BC32CF" w:rsidRDefault="00BC32CF" w:rsidP="001561A4">
      <w:pPr>
        <w:pStyle w:val="Cuerpodelboletn"/>
        <w:spacing w:before="120" w:after="120" w:line="312" w:lineRule="auto"/>
        <w:ind w:left="360"/>
        <w:rPr>
          <w:b/>
          <w:color w:val="00642D"/>
          <w:szCs w:val="22"/>
        </w:rPr>
      </w:pPr>
    </w:p>
    <w:p w:rsidR="00BC32CF" w:rsidRDefault="00BC32CF" w:rsidP="001561A4">
      <w:pPr>
        <w:pStyle w:val="Cuerpodelboletn"/>
        <w:spacing w:before="120" w:after="120" w:line="312" w:lineRule="auto"/>
        <w:ind w:left="360"/>
        <w:rPr>
          <w:b/>
          <w:color w:val="00642D"/>
          <w:szCs w:val="22"/>
        </w:rPr>
      </w:pPr>
    </w:p>
    <w:p w:rsidR="00BC32CF" w:rsidRDefault="00BC32CF" w:rsidP="001561A4">
      <w:pPr>
        <w:pStyle w:val="Cuerpodelboletn"/>
        <w:spacing w:before="120" w:after="120" w:line="312" w:lineRule="auto"/>
        <w:ind w:left="360"/>
        <w:rPr>
          <w:b/>
          <w:color w:val="00642D"/>
          <w:szCs w:val="22"/>
        </w:rPr>
      </w:pPr>
    </w:p>
    <w:p w:rsidR="00720BFF" w:rsidRDefault="00720BFF" w:rsidP="001561A4">
      <w:pPr>
        <w:pStyle w:val="Cuerpodelboletn"/>
        <w:spacing w:before="120" w:after="120" w:line="312" w:lineRule="auto"/>
        <w:ind w:left="360"/>
        <w:rPr>
          <w:b/>
          <w:color w:val="00642D"/>
          <w:szCs w:val="22"/>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720BFF" w:rsidRPr="00E34195" w:rsidTr="00CC43D9">
        <w:trPr>
          <w:cantSplit/>
          <w:trHeight w:val="1350"/>
        </w:trPr>
        <w:tc>
          <w:tcPr>
            <w:tcW w:w="1477" w:type="dxa"/>
            <w:shd w:val="clear" w:color="auto" w:fill="00642D"/>
            <w:vAlign w:val="center"/>
          </w:tcPr>
          <w:p w:rsidR="00720BFF" w:rsidRPr="00E34195" w:rsidRDefault="00720BFF" w:rsidP="00CC43D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720BFF" w:rsidRPr="00E34195" w:rsidRDefault="00720BFF" w:rsidP="00CC43D9">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720BFF" w:rsidRPr="00E34195" w:rsidRDefault="00720BFF" w:rsidP="00CC43D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720BFF" w:rsidRPr="00E34195" w:rsidRDefault="00720BFF" w:rsidP="00CC43D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720BFF" w:rsidRPr="00CB5511" w:rsidTr="00CC43D9">
        <w:tc>
          <w:tcPr>
            <w:tcW w:w="1477" w:type="dxa"/>
            <w:tcBorders>
              <w:right w:val="single" w:sz="4" w:space="0" w:color="00642D"/>
            </w:tcBorders>
            <w:shd w:val="clear" w:color="auto" w:fill="00642D"/>
          </w:tcPr>
          <w:p w:rsidR="00720BFF" w:rsidRPr="00E34195" w:rsidRDefault="00720BFF" w:rsidP="00CC43D9">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720BFF" w:rsidRPr="00CB5511" w:rsidRDefault="00720BFF" w:rsidP="00CC43D9">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720BFF" w:rsidRPr="004A75BA" w:rsidRDefault="004A75BA" w:rsidP="00CC43D9">
            <w:pPr>
              <w:pStyle w:val="Cuerpodelboletn"/>
              <w:spacing w:before="120" w:after="120" w:line="312" w:lineRule="auto"/>
              <w:rPr>
                <w:rStyle w:val="Ttulo2Car"/>
                <w:b w:val="0"/>
                <w:color w:val="auto"/>
                <w:sz w:val="20"/>
                <w:szCs w:val="20"/>
                <w:lang w:bidi="es-ES"/>
              </w:rPr>
            </w:pPr>
            <w:r w:rsidRPr="004A75BA">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20BFF" w:rsidRPr="004A75BA" w:rsidRDefault="004A75BA" w:rsidP="004A75BA">
            <w:pPr>
              <w:spacing w:line="276" w:lineRule="auto"/>
              <w:rPr>
                <w:rStyle w:val="Ttulo2Car"/>
                <w:b w:val="0"/>
                <w:sz w:val="20"/>
                <w:szCs w:val="20"/>
                <w:lang w:bidi="es-ES"/>
              </w:rPr>
            </w:pPr>
            <w:r w:rsidRPr="004A75BA">
              <w:rPr>
                <w:rStyle w:val="Ttulo2Car"/>
                <w:b w:val="0"/>
                <w:color w:val="auto"/>
                <w:sz w:val="20"/>
                <w:szCs w:val="20"/>
                <w:lang w:bidi="es-ES"/>
              </w:rPr>
              <w:t>Dadas</w:t>
            </w:r>
            <w:r>
              <w:rPr>
                <w:rStyle w:val="Ttulo2Car"/>
                <w:b w:val="0"/>
                <w:color w:val="auto"/>
                <w:sz w:val="20"/>
                <w:szCs w:val="20"/>
                <w:lang w:bidi="es-ES"/>
              </w:rPr>
              <w:t xml:space="preserve"> las funciones del CEJ, formación dirigida al personal de la administración de justicia, se ha considerado no aplicable esta obligación.</w:t>
            </w:r>
          </w:p>
        </w:tc>
      </w:tr>
      <w:tr w:rsidR="00720BFF" w:rsidRPr="00CB5511" w:rsidTr="00CC43D9">
        <w:tc>
          <w:tcPr>
            <w:tcW w:w="1477" w:type="dxa"/>
            <w:tcBorders>
              <w:right w:val="single" w:sz="4" w:space="0" w:color="00642D"/>
            </w:tcBorders>
            <w:shd w:val="clear" w:color="auto" w:fill="00642D"/>
          </w:tcPr>
          <w:p w:rsidR="00720BFF" w:rsidRPr="00E34195" w:rsidRDefault="00720BFF" w:rsidP="00CC43D9">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720BFF" w:rsidRPr="006A2766" w:rsidRDefault="00720BFF" w:rsidP="00CC43D9">
            <w:pPr>
              <w:rPr>
                <w:rStyle w:val="Ttulo2Car"/>
                <w:b w:val="0"/>
                <w:color w:val="auto"/>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720BFF" w:rsidRPr="004A75BA" w:rsidRDefault="004A75BA" w:rsidP="00CC43D9">
            <w:pPr>
              <w:pStyle w:val="Cuerpodelboletn"/>
              <w:spacing w:before="120" w:after="120" w:line="312" w:lineRule="auto"/>
              <w:rPr>
                <w:rStyle w:val="Ttulo2Car"/>
                <w:b w:val="0"/>
                <w:color w:val="auto"/>
                <w:sz w:val="20"/>
                <w:szCs w:val="20"/>
                <w:lang w:bidi="es-ES"/>
              </w:rPr>
            </w:pPr>
            <w:r w:rsidRPr="004A75BA">
              <w:rPr>
                <w:rStyle w:val="Ttulo2Car"/>
                <w:b w:val="0"/>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20BFF" w:rsidRPr="00CB5511" w:rsidRDefault="004A75BA" w:rsidP="00CC43D9">
            <w:pPr>
              <w:pStyle w:val="Cuerpodelboletn"/>
              <w:spacing w:before="120" w:after="120" w:line="312" w:lineRule="auto"/>
              <w:rPr>
                <w:rStyle w:val="Ttulo2Car"/>
                <w:sz w:val="20"/>
                <w:szCs w:val="20"/>
                <w:lang w:bidi="es-ES"/>
              </w:rPr>
            </w:pPr>
            <w:r w:rsidRPr="004A75BA">
              <w:rPr>
                <w:rStyle w:val="Ttulo2Car"/>
                <w:b w:val="0"/>
                <w:color w:val="auto"/>
                <w:sz w:val="20"/>
                <w:szCs w:val="20"/>
                <w:lang w:bidi="es-ES"/>
              </w:rPr>
              <w:t>Dadas</w:t>
            </w:r>
            <w:r>
              <w:rPr>
                <w:rStyle w:val="Ttulo2Car"/>
                <w:b w:val="0"/>
                <w:color w:val="auto"/>
                <w:sz w:val="20"/>
                <w:szCs w:val="20"/>
                <w:lang w:bidi="es-ES"/>
              </w:rPr>
              <w:t xml:space="preserve"> las funciones del CEJ, formación dirigida al personal de la administración de justicia, se ha considerado no aplicable esta obligación.</w:t>
            </w:r>
          </w:p>
        </w:tc>
      </w:tr>
    </w:tbl>
    <w:p w:rsidR="00720BFF" w:rsidRDefault="00720BFF" w:rsidP="00720BFF">
      <w:pPr>
        <w:pStyle w:val="Cuerpodelboletn"/>
        <w:spacing w:before="120" w:after="120" w:line="312" w:lineRule="auto"/>
        <w:ind w:left="360"/>
        <w:rPr>
          <w:rStyle w:val="Ttulo2Car"/>
          <w:color w:val="00642D"/>
          <w:lang w:bidi="es-ES"/>
        </w:rPr>
      </w:pPr>
    </w:p>
    <w:p w:rsidR="00111C48" w:rsidRDefault="00111C48" w:rsidP="00C33A23">
      <w:pPr>
        <w:pStyle w:val="Cuerpodelboletn"/>
        <w:spacing w:before="120" w:after="120" w:line="312" w:lineRule="auto"/>
        <w:ind w:left="360"/>
        <w:rPr>
          <w:rStyle w:val="Ttulo2Car"/>
          <w:color w:val="00642D"/>
          <w:lang w:bidi="es-ES"/>
        </w:rPr>
      </w:pPr>
    </w:p>
    <w:p w:rsidR="00111C48" w:rsidRDefault="00111C48" w:rsidP="00C33A23">
      <w:pPr>
        <w:pStyle w:val="Cuerpodelboletn"/>
        <w:spacing w:before="120" w:after="120" w:line="312" w:lineRule="auto"/>
        <w:ind w:left="360"/>
        <w:rPr>
          <w:rStyle w:val="Ttulo2Car"/>
          <w:color w:val="00642D"/>
          <w:lang w:bidi="es-ES"/>
        </w:rPr>
      </w:pPr>
    </w:p>
    <w:p w:rsidR="00111C48" w:rsidRDefault="00111C48"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720BFF">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4A75BA" w:rsidRDefault="004A75BA" w:rsidP="004A75BA">
            <w:pPr>
              <w:pStyle w:val="Cuerpodelboletn"/>
              <w:spacing w:before="120" w:after="120" w:line="312" w:lineRule="auto"/>
              <w:jc w:val="center"/>
              <w:rPr>
                <w:rStyle w:val="Ttulo2Car"/>
                <w:b w:val="0"/>
                <w:color w:val="auto"/>
                <w:sz w:val="20"/>
                <w:szCs w:val="20"/>
                <w:lang w:bidi="es-ES"/>
              </w:rPr>
            </w:pPr>
            <w:r w:rsidRPr="004A75BA">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3506AE" w:rsidRPr="00D04CAF" w:rsidRDefault="009030BC" w:rsidP="003506A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el acceso Conócenos se proporciona un enlace a la Plataforma de Contratación del Sector Público</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4A75BA" w:rsidRDefault="00C33A23" w:rsidP="004A75BA">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9030BC" w:rsidRDefault="009030BC" w:rsidP="003506AE">
            <w:pPr>
              <w:pStyle w:val="Cuerpodelboletn"/>
              <w:spacing w:before="120" w:after="120" w:line="312" w:lineRule="auto"/>
              <w:rPr>
                <w:rStyle w:val="Ttulo2Car"/>
                <w:b w:val="0"/>
                <w:color w:val="auto"/>
                <w:sz w:val="20"/>
                <w:szCs w:val="20"/>
                <w:lang w:bidi="es-ES"/>
              </w:rPr>
            </w:pPr>
            <w:r w:rsidRPr="009030BC">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4A75BA" w:rsidRDefault="009030BC" w:rsidP="004A75BA">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9030BC" w:rsidRDefault="009030BC">
            <w:pPr>
              <w:rPr>
                <w:rStyle w:val="Ttulo2Car"/>
                <w:b w:val="0"/>
                <w:color w:val="auto"/>
                <w:sz w:val="20"/>
                <w:szCs w:val="20"/>
                <w:lang w:bidi="es-ES"/>
              </w:rPr>
            </w:pPr>
            <w:r w:rsidRPr="009030BC">
              <w:rPr>
                <w:rStyle w:val="Ttulo2Car"/>
                <w:b w:val="0"/>
                <w:color w:val="auto"/>
                <w:sz w:val="20"/>
                <w:szCs w:val="20"/>
                <w:lang w:bidi="es-ES"/>
              </w:rPr>
              <w:t>No aplicable, no se han localizado contratos desistidos en la Plataforma de Contratación del Sector Público</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4A75BA" w:rsidRDefault="00D04CAF" w:rsidP="004A75BA">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9030BC" w:rsidRDefault="009030BC">
            <w:pPr>
              <w:rPr>
                <w:sz w:val="20"/>
                <w:szCs w:val="20"/>
              </w:rPr>
            </w:pPr>
            <w:r w:rsidRPr="009030BC">
              <w:rPr>
                <w:sz w:val="20"/>
                <w:szCs w:val="20"/>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4A75BA" w:rsidRDefault="009030BC" w:rsidP="004A75BA">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9030BC" w:rsidRDefault="009030BC" w:rsidP="00F06750">
            <w:pPr>
              <w:pStyle w:val="Cuerpodelboletn"/>
              <w:spacing w:before="120" w:after="120" w:line="312" w:lineRule="auto"/>
              <w:rPr>
                <w:sz w:val="20"/>
                <w:szCs w:val="20"/>
              </w:rPr>
            </w:pPr>
            <w:r w:rsidRPr="009030BC">
              <w:rPr>
                <w:sz w:val="20"/>
                <w:szCs w:val="20"/>
              </w:rPr>
              <w:t>Localizable en la Plataforma de Contratación del Sector Público</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4A75BA" w:rsidRDefault="00C33A23" w:rsidP="004A75BA">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2227" w:rsidRPr="009030BC" w:rsidRDefault="009030BC" w:rsidP="00F0675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39670C">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 xml:space="preserve">Encomiendas </w:t>
            </w:r>
            <w:r w:rsidR="0039670C">
              <w:rPr>
                <w:rStyle w:val="Ttulo2Car"/>
                <w:color w:val="FFFFFF" w:themeColor="background1"/>
                <w:sz w:val="20"/>
                <w:szCs w:val="20"/>
                <w:lang w:bidi="es-ES"/>
              </w:rPr>
              <w:t>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E36001">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E36001">
              <w:rPr>
                <w:rStyle w:val="Ttulo2Car"/>
                <w:b w:val="0"/>
                <w:color w:val="auto"/>
                <w:sz w:val="20"/>
                <w:szCs w:val="20"/>
                <w:lang w:bidi="es-ES"/>
              </w:rPr>
              <w:t>de gestión</w:t>
            </w:r>
            <w:r w:rsidR="0039670C">
              <w:rPr>
                <w:rStyle w:val="Ttulo2Car"/>
                <w:b w:val="0"/>
                <w:color w:val="auto"/>
                <w:sz w:val="20"/>
                <w:szCs w:val="20"/>
                <w:lang w:bidi="es-ES"/>
              </w:rPr>
              <w:t xml:space="preserve">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4A75BA" w:rsidRDefault="009609E9" w:rsidP="004A75BA">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9030BC" w:rsidRDefault="009030BC" w:rsidP="006D075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4A75BA" w:rsidRDefault="009609E9" w:rsidP="004A75BA">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9030BC" w:rsidRDefault="009030B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4A75BA" w:rsidRDefault="009609E9" w:rsidP="004A75BA">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9030BC" w:rsidRDefault="009030BC" w:rsidP="00B1671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4A75BA" w:rsidRDefault="009030BC" w:rsidP="004A75BA">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9030BC" w:rsidRDefault="009030B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información económico-financiera del acceso Conócenos. Último presupuesto publicado 2022</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4A75BA" w:rsidRDefault="00F47C3B" w:rsidP="004A75BA">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9030BC" w:rsidRDefault="009030B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4A75BA" w:rsidRDefault="00F47C3B" w:rsidP="004A75BA">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9030BC" w:rsidP="001D51F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última información publicada corresponde al ejercicio 2019. Dado el desfase temporal</w:t>
            </w:r>
            <w:r w:rsidR="001856FA">
              <w:rPr>
                <w:rStyle w:val="Ttulo2Car"/>
                <w:b w:val="0"/>
                <w:color w:val="auto"/>
                <w:sz w:val="20"/>
                <w:szCs w:val="20"/>
                <w:lang w:bidi="es-ES"/>
              </w:rPr>
              <w:t>,</w:t>
            </w:r>
            <w:r>
              <w:rPr>
                <w:rStyle w:val="Ttulo2Car"/>
                <w:b w:val="0"/>
                <w:color w:val="auto"/>
                <w:sz w:val="20"/>
                <w:szCs w:val="20"/>
                <w:lang w:bidi="es-ES"/>
              </w:rPr>
              <w:t xml:space="preserve"> ya que deberían estar publicadas las cuentas </w:t>
            </w:r>
            <w:r w:rsidR="004F26E1">
              <w:rPr>
                <w:rStyle w:val="Ttulo2Car"/>
                <w:b w:val="0"/>
                <w:color w:val="auto"/>
                <w:sz w:val="20"/>
                <w:szCs w:val="20"/>
                <w:lang w:bidi="es-ES"/>
              </w:rPr>
              <w:lastRenderedPageBreak/>
              <w:t>correspondientes</w:t>
            </w:r>
            <w:r>
              <w:rPr>
                <w:rStyle w:val="Ttulo2Car"/>
                <w:b w:val="0"/>
                <w:color w:val="auto"/>
                <w:sz w:val="20"/>
                <w:szCs w:val="20"/>
                <w:lang w:bidi="es-ES"/>
              </w:rPr>
              <w:t xml:space="preserve"> a 2021, se ha considerado no cumplida esta obligación</w:t>
            </w:r>
            <w:r w:rsidR="004F26E1">
              <w:rPr>
                <w:rStyle w:val="Ttulo2Car"/>
                <w:b w:val="0"/>
                <w:color w:val="auto"/>
                <w:sz w:val="20"/>
                <w:szCs w:val="20"/>
                <w:lang w:bidi="es-ES"/>
              </w:rPr>
              <w:t>.</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4A75BA" w:rsidRDefault="00F47C3B" w:rsidP="004A75BA">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BA1093" w:rsidP="00A1622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4A75BA" w:rsidRDefault="00BD4582" w:rsidP="004A75BA">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BA1093" w:rsidP="00AA47E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4A75BA" w:rsidRDefault="00BD4582" w:rsidP="004A75BA">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BA1093" w:rsidP="00BA109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No existen altos </w:t>
            </w:r>
            <w:r w:rsidR="00785889">
              <w:rPr>
                <w:rStyle w:val="Ttulo2Car"/>
                <w:b w:val="0"/>
                <w:color w:val="auto"/>
                <w:sz w:val="20"/>
                <w:szCs w:val="20"/>
                <w:lang w:bidi="es-ES"/>
              </w:rPr>
              <w:t>cargos en la estructura del CEJ, aunque se debería informar expresamente de esta circunstancia</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4A75BA" w:rsidRDefault="00BD4582" w:rsidP="004A75BA">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BA1093" w:rsidP="00F552C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4A75BA" w:rsidRDefault="00BD4582" w:rsidP="004A75BA">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BA1093" w:rsidP="009609E9">
            <w:pPr>
              <w:pStyle w:val="Cuerpodelboletn"/>
              <w:spacing w:before="120" w:after="120" w:line="312" w:lineRule="auto"/>
              <w:rPr>
                <w:rStyle w:val="Ttulo2Car"/>
                <w:b w:val="0"/>
                <w:color w:val="auto"/>
                <w:sz w:val="20"/>
                <w:szCs w:val="20"/>
                <w:lang w:bidi="es-ES"/>
              </w:rPr>
            </w:pPr>
            <w:r w:rsidRPr="00BA1093">
              <w:rPr>
                <w:rStyle w:val="Ttulo2Car"/>
                <w:b w:val="0"/>
                <w:color w:val="auto"/>
                <w:sz w:val="20"/>
                <w:szCs w:val="20"/>
                <w:lang w:bidi="es-ES"/>
              </w:rPr>
              <w:t>No aplicable. No existen altos cargos en la estructura del CEJ</w:t>
            </w:r>
            <w:r w:rsidR="00785889">
              <w:rPr>
                <w:rStyle w:val="Ttulo2Car"/>
                <w:b w:val="0"/>
                <w:color w:val="auto"/>
                <w:sz w:val="20"/>
                <w:szCs w:val="20"/>
                <w:lang w:bidi="es-ES"/>
              </w:rPr>
              <w:t xml:space="preserve">. Como se ha indicado, debería informarse expresamente de esta </w:t>
            </w:r>
            <w:proofErr w:type="spellStart"/>
            <w:r w:rsidR="00785889">
              <w:rPr>
                <w:rStyle w:val="Ttulo2Car"/>
                <w:b w:val="0"/>
                <w:color w:val="auto"/>
                <w:sz w:val="20"/>
                <w:szCs w:val="20"/>
                <w:lang w:bidi="es-ES"/>
              </w:rPr>
              <w:t>circunstacia</w:t>
            </w:r>
            <w:proofErr w:type="spellEnd"/>
            <w:r w:rsidR="00785889">
              <w:rPr>
                <w:rStyle w:val="Ttulo2Car"/>
                <w:b w:val="0"/>
                <w:color w:val="auto"/>
                <w:sz w:val="20"/>
                <w:szCs w:val="20"/>
                <w:lang w:bidi="es-ES"/>
              </w:rPr>
              <w:t>.</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4A75BA" w:rsidRDefault="00BA1093" w:rsidP="004A75BA">
            <w:pPr>
              <w:pStyle w:val="Cuerpodelboletn"/>
              <w:spacing w:before="120" w:after="120" w:line="312" w:lineRule="auto"/>
              <w:jc w:val="center"/>
              <w:rPr>
                <w:rStyle w:val="Ttulo2Car"/>
                <w:b w:val="0"/>
                <w:color w:val="auto"/>
                <w:sz w:val="20"/>
                <w:szCs w:val="20"/>
                <w:lang w:bidi="es-ES"/>
              </w:rPr>
            </w:pPr>
            <w:r>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BA1093" w:rsidP="00B1671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las Memorias de Actividad</w:t>
            </w:r>
          </w:p>
        </w:tc>
      </w:tr>
    </w:tbl>
    <w:p w:rsidR="00457DBB" w:rsidRDefault="00457DBB" w:rsidP="006D0755">
      <w:pPr>
        <w:pStyle w:val="Cuerpodelboletn"/>
        <w:spacing w:before="120" w:after="120" w:line="312" w:lineRule="auto"/>
        <w:rPr>
          <w:rStyle w:val="Ttulo2Car"/>
          <w:color w:val="00642D"/>
          <w:lang w:bidi="es-ES"/>
        </w:rPr>
      </w:pPr>
    </w:p>
    <w:p w:rsidR="00BA1093" w:rsidRDefault="00BA1093" w:rsidP="006D0755">
      <w:pPr>
        <w:pStyle w:val="Cuerpodelboletn"/>
        <w:spacing w:before="120" w:after="120" w:line="312" w:lineRule="auto"/>
        <w:rPr>
          <w:rStyle w:val="Ttulo2Car"/>
          <w:color w:val="00642D"/>
          <w:lang w:bidi="es-ES"/>
        </w:rPr>
      </w:pPr>
    </w:p>
    <w:p w:rsidR="007B22FB" w:rsidRDefault="007B22FB" w:rsidP="006D0755">
      <w:pPr>
        <w:pStyle w:val="Cuerpodelboletn"/>
        <w:spacing w:before="120" w:after="120" w:line="312" w:lineRule="auto"/>
        <w:rPr>
          <w:rStyle w:val="Ttulo2Car"/>
          <w:color w:val="00642D"/>
          <w:lang w:bidi="es-ES"/>
        </w:rPr>
      </w:pPr>
    </w:p>
    <w:p w:rsidR="00BA1093" w:rsidRDefault="00BA1093" w:rsidP="006D0755">
      <w:pPr>
        <w:pStyle w:val="Cuerpodelboletn"/>
        <w:spacing w:before="120" w:after="120" w:line="312" w:lineRule="auto"/>
        <w:rPr>
          <w:rStyle w:val="Ttulo2Car"/>
          <w:color w:val="00642D"/>
          <w:lang w:bidi="es-ES"/>
        </w:rPr>
      </w:pPr>
    </w:p>
    <w:p w:rsidR="00BA1093" w:rsidRDefault="00BA1093" w:rsidP="006D0755">
      <w:pPr>
        <w:pStyle w:val="Cuerpodelboletn"/>
        <w:spacing w:before="120" w:after="120" w:line="312" w:lineRule="auto"/>
        <w:rPr>
          <w:rStyle w:val="Ttulo2Car"/>
          <w:color w:val="00642D"/>
          <w:lang w:bidi="es-ES"/>
        </w:rPr>
      </w:pPr>
    </w:p>
    <w:p w:rsidR="00BA1093" w:rsidRDefault="00BA1093" w:rsidP="006D0755">
      <w:pPr>
        <w:pStyle w:val="Cuerpodelboletn"/>
        <w:spacing w:before="120" w:after="120" w:line="312" w:lineRule="auto"/>
        <w:rPr>
          <w:rStyle w:val="Ttulo2Car"/>
          <w:color w:val="00642D"/>
          <w:lang w:bidi="es-ES"/>
        </w:rPr>
      </w:pPr>
    </w:p>
    <w:p w:rsidR="00BA1093" w:rsidRDefault="00BA1093" w:rsidP="006D0755">
      <w:pPr>
        <w:pStyle w:val="Cuerpodelboletn"/>
        <w:spacing w:before="120" w:after="120" w:line="312" w:lineRule="auto"/>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B177B" w:rsidRDefault="007B177B" w:rsidP="00BD4582">
                            <w:pPr>
                              <w:rPr>
                                <w:b/>
                                <w:color w:val="00642D"/>
                              </w:rPr>
                            </w:pPr>
                            <w:r w:rsidRPr="00BD4582">
                              <w:rPr>
                                <w:b/>
                                <w:color w:val="00642D"/>
                              </w:rPr>
                              <w:t>Contenidos</w:t>
                            </w:r>
                          </w:p>
                          <w:p w:rsidR="007B177B" w:rsidRDefault="007B177B" w:rsidP="00B60213">
                            <w:pPr>
                              <w:jc w:val="both"/>
                              <w:rPr>
                                <w:sz w:val="20"/>
                                <w:szCs w:val="20"/>
                              </w:rPr>
                            </w:pPr>
                            <w:r w:rsidRPr="00352F8C">
                              <w:rPr>
                                <w:sz w:val="20"/>
                                <w:szCs w:val="20"/>
                              </w:rPr>
                              <w:t>La información publicada no contempla la totalidad de los contenidos obligatorios establecidos en el artículo 8 de la LTAIBG.</w:t>
                            </w:r>
                          </w:p>
                          <w:p w:rsidR="007B177B" w:rsidRDefault="007B177B" w:rsidP="00EC0A22">
                            <w:pPr>
                              <w:pStyle w:val="Prrafodelista"/>
                              <w:numPr>
                                <w:ilvl w:val="0"/>
                                <w:numId w:val="17"/>
                              </w:numPr>
                              <w:jc w:val="both"/>
                              <w:rPr>
                                <w:sz w:val="20"/>
                                <w:szCs w:val="20"/>
                              </w:rPr>
                            </w:pPr>
                            <w:r>
                              <w:rPr>
                                <w:sz w:val="20"/>
                                <w:szCs w:val="20"/>
                              </w:rPr>
                              <w:t>No se ha localizado información sobre modificaciones de contratos adjudicados</w:t>
                            </w:r>
                          </w:p>
                          <w:p w:rsidR="007B177B" w:rsidRDefault="007B177B" w:rsidP="00EC0A22">
                            <w:pPr>
                              <w:pStyle w:val="Prrafodelista"/>
                              <w:numPr>
                                <w:ilvl w:val="0"/>
                                <w:numId w:val="17"/>
                              </w:numPr>
                              <w:jc w:val="both"/>
                              <w:rPr>
                                <w:sz w:val="20"/>
                                <w:szCs w:val="20"/>
                              </w:rPr>
                            </w:pPr>
                            <w:r>
                              <w:rPr>
                                <w:sz w:val="20"/>
                                <w:szCs w:val="20"/>
                              </w:rPr>
                              <w:t>No se ha localizado información estadística sobre los contratos adjudicados según procedimiento de adjudicación.</w:t>
                            </w:r>
                          </w:p>
                          <w:p w:rsidR="007B177B" w:rsidRDefault="007B177B" w:rsidP="00EC0A22">
                            <w:pPr>
                              <w:pStyle w:val="Prrafodelista"/>
                              <w:numPr>
                                <w:ilvl w:val="0"/>
                                <w:numId w:val="17"/>
                              </w:numPr>
                              <w:jc w:val="both"/>
                              <w:rPr>
                                <w:sz w:val="20"/>
                                <w:szCs w:val="20"/>
                              </w:rPr>
                            </w:pPr>
                            <w:r>
                              <w:rPr>
                                <w:sz w:val="20"/>
                                <w:szCs w:val="20"/>
                              </w:rPr>
                              <w:t>No se ha localizado información sobre Convenios</w:t>
                            </w:r>
                          </w:p>
                          <w:p w:rsidR="007B177B" w:rsidRDefault="007B177B" w:rsidP="00EC0A22">
                            <w:pPr>
                              <w:pStyle w:val="Prrafodelista"/>
                              <w:numPr>
                                <w:ilvl w:val="0"/>
                                <w:numId w:val="17"/>
                              </w:numPr>
                              <w:jc w:val="both"/>
                              <w:rPr>
                                <w:sz w:val="20"/>
                                <w:szCs w:val="20"/>
                              </w:rPr>
                            </w:pPr>
                            <w:r>
                              <w:rPr>
                                <w:sz w:val="20"/>
                                <w:szCs w:val="20"/>
                              </w:rPr>
                              <w:t>No se ha localizado información sobre encomiendas de gestión  y sobre las subcontrataciones derivadas de éstas</w:t>
                            </w:r>
                          </w:p>
                          <w:p w:rsidR="007B177B" w:rsidRDefault="007B177B" w:rsidP="00EC0A22">
                            <w:pPr>
                              <w:pStyle w:val="Prrafodelista"/>
                              <w:numPr>
                                <w:ilvl w:val="0"/>
                                <w:numId w:val="17"/>
                              </w:numPr>
                              <w:jc w:val="both"/>
                              <w:rPr>
                                <w:sz w:val="20"/>
                                <w:szCs w:val="20"/>
                              </w:rPr>
                            </w:pPr>
                            <w:r>
                              <w:rPr>
                                <w:sz w:val="20"/>
                                <w:szCs w:val="20"/>
                              </w:rPr>
                              <w:t>No se ha localizado información sobre subvenciones y ayudas públicas concedidas</w:t>
                            </w:r>
                          </w:p>
                          <w:p w:rsidR="007B177B" w:rsidRDefault="007B177B" w:rsidP="00EC0A22">
                            <w:pPr>
                              <w:pStyle w:val="Prrafodelista"/>
                              <w:numPr>
                                <w:ilvl w:val="0"/>
                                <w:numId w:val="17"/>
                              </w:numPr>
                              <w:jc w:val="both"/>
                              <w:rPr>
                                <w:sz w:val="20"/>
                                <w:szCs w:val="20"/>
                              </w:rPr>
                            </w:pPr>
                            <w:r>
                              <w:rPr>
                                <w:sz w:val="20"/>
                                <w:szCs w:val="20"/>
                              </w:rPr>
                              <w:t>No se ha localizado información sobre ejecución presupuestaria.</w:t>
                            </w:r>
                          </w:p>
                          <w:p w:rsidR="007B177B" w:rsidRDefault="007B177B" w:rsidP="00EC0A22">
                            <w:pPr>
                              <w:pStyle w:val="Prrafodelista"/>
                              <w:numPr>
                                <w:ilvl w:val="0"/>
                                <w:numId w:val="17"/>
                              </w:numPr>
                              <w:jc w:val="both"/>
                              <w:rPr>
                                <w:sz w:val="20"/>
                                <w:szCs w:val="20"/>
                              </w:rPr>
                            </w:pPr>
                            <w:r>
                              <w:rPr>
                                <w:sz w:val="20"/>
                                <w:szCs w:val="20"/>
                              </w:rPr>
                              <w:t>La información sobre las cuentas anuales está muy desfasada.</w:t>
                            </w:r>
                          </w:p>
                          <w:p w:rsidR="007B177B" w:rsidRDefault="007B177B" w:rsidP="00EC0A22">
                            <w:pPr>
                              <w:pStyle w:val="Prrafodelista"/>
                              <w:numPr>
                                <w:ilvl w:val="0"/>
                                <w:numId w:val="17"/>
                              </w:numPr>
                              <w:jc w:val="both"/>
                              <w:rPr>
                                <w:sz w:val="20"/>
                                <w:szCs w:val="20"/>
                              </w:rPr>
                            </w:pPr>
                            <w:r>
                              <w:rPr>
                                <w:sz w:val="20"/>
                                <w:szCs w:val="20"/>
                              </w:rPr>
                              <w:t>No se han localizado informes de auditoría o fiscalización elaborados por el Tribunal de Cuentas.</w:t>
                            </w:r>
                          </w:p>
                          <w:p w:rsidR="007B177B" w:rsidRDefault="007B177B" w:rsidP="00EC0A22">
                            <w:pPr>
                              <w:pStyle w:val="Prrafodelista"/>
                              <w:numPr>
                                <w:ilvl w:val="0"/>
                                <w:numId w:val="17"/>
                              </w:numPr>
                              <w:jc w:val="both"/>
                              <w:rPr>
                                <w:sz w:val="20"/>
                                <w:szCs w:val="20"/>
                              </w:rPr>
                            </w:pPr>
                            <w:r>
                              <w:rPr>
                                <w:sz w:val="20"/>
                                <w:szCs w:val="20"/>
                              </w:rPr>
                              <w:t>No se ha localizado información sobre las retribuciones percibidas por los máximos responsables.</w:t>
                            </w:r>
                          </w:p>
                          <w:p w:rsidR="007B177B" w:rsidRPr="00EC0A22" w:rsidRDefault="007B177B" w:rsidP="00EC0A22">
                            <w:pPr>
                              <w:pStyle w:val="Prrafodelista"/>
                              <w:numPr>
                                <w:ilvl w:val="0"/>
                                <w:numId w:val="17"/>
                              </w:numPr>
                              <w:jc w:val="both"/>
                              <w:rPr>
                                <w:sz w:val="20"/>
                                <w:szCs w:val="20"/>
                              </w:rPr>
                            </w:pPr>
                            <w:r>
                              <w:rPr>
                                <w:sz w:val="20"/>
                                <w:szCs w:val="20"/>
                              </w:rPr>
                              <w:t>No se ha localizado información sobre las autorizaciones de compatibilidad concedidas a empleados del CEJ</w:t>
                            </w:r>
                          </w:p>
                          <w:p w:rsidR="007B177B" w:rsidRDefault="007B177B" w:rsidP="00720BFF">
                            <w:pPr>
                              <w:jc w:val="both"/>
                              <w:rPr>
                                <w:b/>
                                <w:color w:val="00642D"/>
                              </w:rPr>
                            </w:pPr>
                            <w:r w:rsidRPr="00C01380">
                              <w:rPr>
                                <w:b/>
                                <w:color w:val="00642D"/>
                              </w:rPr>
                              <w:t>Calidad de la Información</w:t>
                            </w:r>
                          </w:p>
                          <w:p w:rsidR="007B177B" w:rsidRDefault="007B177B" w:rsidP="001266B1">
                            <w:pPr>
                              <w:pStyle w:val="Prrafodelista"/>
                              <w:numPr>
                                <w:ilvl w:val="0"/>
                                <w:numId w:val="20"/>
                              </w:numPr>
                              <w:rPr>
                                <w:sz w:val="20"/>
                                <w:szCs w:val="20"/>
                              </w:rPr>
                            </w:pPr>
                            <w:r w:rsidRPr="001266B1">
                              <w:rPr>
                                <w:sz w:val="20"/>
                                <w:szCs w:val="20"/>
                              </w:rPr>
                              <w:t>Los últimos presupuestos publicados corresponden al ejercicio 2022</w:t>
                            </w:r>
                            <w:r>
                              <w:rPr>
                                <w:sz w:val="20"/>
                                <w:szCs w:val="20"/>
                              </w:rPr>
                              <w:t>.</w:t>
                            </w:r>
                          </w:p>
                          <w:p w:rsidR="007B177B" w:rsidRPr="001266B1" w:rsidRDefault="007B177B" w:rsidP="001266B1">
                            <w:pPr>
                              <w:pStyle w:val="Prrafodelista"/>
                              <w:numPr>
                                <w:ilvl w:val="0"/>
                                <w:numId w:val="20"/>
                              </w:numPr>
                              <w:rPr>
                                <w:sz w:val="20"/>
                                <w:szCs w:val="20"/>
                              </w:rPr>
                            </w:pPr>
                            <w:r>
                              <w:rPr>
                                <w:sz w:val="20"/>
                                <w:szCs w:val="20"/>
                              </w:rPr>
                              <w:t>La información sobre contratos se localiza a través de la Plataforma de Contratación del Sector Público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7B177B" w:rsidRDefault="007B177B" w:rsidP="00BD4582">
                      <w:pPr>
                        <w:rPr>
                          <w:b/>
                          <w:color w:val="00642D"/>
                        </w:rPr>
                      </w:pPr>
                      <w:r w:rsidRPr="00BD4582">
                        <w:rPr>
                          <w:b/>
                          <w:color w:val="00642D"/>
                        </w:rPr>
                        <w:t>Contenidos</w:t>
                      </w:r>
                    </w:p>
                    <w:p w:rsidR="007B177B" w:rsidRDefault="007B177B" w:rsidP="00B60213">
                      <w:pPr>
                        <w:jc w:val="both"/>
                        <w:rPr>
                          <w:sz w:val="20"/>
                          <w:szCs w:val="20"/>
                        </w:rPr>
                      </w:pPr>
                      <w:r w:rsidRPr="00352F8C">
                        <w:rPr>
                          <w:sz w:val="20"/>
                          <w:szCs w:val="20"/>
                        </w:rPr>
                        <w:t>La información publicada no contempla la totalidad de los contenidos obligatorios establecidos en el artículo 8 de la LTAIBG.</w:t>
                      </w:r>
                    </w:p>
                    <w:p w:rsidR="007B177B" w:rsidRDefault="007B177B" w:rsidP="00EC0A22">
                      <w:pPr>
                        <w:pStyle w:val="Prrafodelista"/>
                        <w:numPr>
                          <w:ilvl w:val="0"/>
                          <w:numId w:val="17"/>
                        </w:numPr>
                        <w:jc w:val="both"/>
                        <w:rPr>
                          <w:sz w:val="20"/>
                          <w:szCs w:val="20"/>
                        </w:rPr>
                      </w:pPr>
                      <w:r>
                        <w:rPr>
                          <w:sz w:val="20"/>
                          <w:szCs w:val="20"/>
                        </w:rPr>
                        <w:t>No se ha localizado información sobre modificaciones de contratos adjudicados</w:t>
                      </w:r>
                    </w:p>
                    <w:p w:rsidR="007B177B" w:rsidRDefault="007B177B" w:rsidP="00EC0A22">
                      <w:pPr>
                        <w:pStyle w:val="Prrafodelista"/>
                        <w:numPr>
                          <w:ilvl w:val="0"/>
                          <w:numId w:val="17"/>
                        </w:numPr>
                        <w:jc w:val="both"/>
                        <w:rPr>
                          <w:sz w:val="20"/>
                          <w:szCs w:val="20"/>
                        </w:rPr>
                      </w:pPr>
                      <w:r>
                        <w:rPr>
                          <w:sz w:val="20"/>
                          <w:szCs w:val="20"/>
                        </w:rPr>
                        <w:t>No se ha localizado información estadística sobre los contratos adjudicados según procedimiento de adjudicación.</w:t>
                      </w:r>
                    </w:p>
                    <w:p w:rsidR="007B177B" w:rsidRDefault="007B177B" w:rsidP="00EC0A22">
                      <w:pPr>
                        <w:pStyle w:val="Prrafodelista"/>
                        <w:numPr>
                          <w:ilvl w:val="0"/>
                          <w:numId w:val="17"/>
                        </w:numPr>
                        <w:jc w:val="both"/>
                        <w:rPr>
                          <w:sz w:val="20"/>
                          <w:szCs w:val="20"/>
                        </w:rPr>
                      </w:pPr>
                      <w:r>
                        <w:rPr>
                          <w:sz w:val="20"/>
                          <w:szCs w:val="20"/>
                        </w:rPr>
                        <w:t>No se ha localizado información sobre Convenios</w:t>
                      </w:r>
                    </w:p>
                    <w:p w:rsidR="007B177B" w:rsidRDefault="007B177B" w:rsidP="00EC0A22">
                      <w:pPr>
                        <w:pStyle w:val="Prrafodelista"/>
                        <w:numPr>
                          <w:ilvl w:val="0"/>
                          <w:numId w:val="17"/>
                        </w:numPr>
                        <w:jc w:val="both"/>
                        <w:rPr>
                          <w:sz w:val="20"/>
                          <w:szCs w:val="20"/>
                        </w:rPr>
                      </w:pPr>
                      <w:r>
                        <w:rPr>
                          <w:sz w:val="20"/>
                          <w:szCs w:val="20"/>
                        </w:rPr>
                        <w:t>No se ha localizado información sobre encomiendas de gestión  y sobre las subcontrataciones derivadas de éstas</w:t>
                      </w:r>
                    </w:p>
                    <w:p w:rsidR="007B177B" w:rsidRDefault="007B177B" w:rsidP="00EC0A22">
                      <w:pPr>
                        <w:pStyle w:val="Prrafodelista"/>
                        <w:numPr>
                          <w:ilvl w:val="0"/>
                          <w:numId w:val="17"/>
                        </w:numPr>
                        <w:jc w:val="both"/>
                        <w:rPr>
                          <w:sz w:val="20"/>
                          <w:szCs w:val="20"/>
                        </w:rPr>
                      </w:pPr>
                      <w:r>
                        <w:rPr>
                          <w:sz w:val="20"/>
                          <w:szCs w:val="20"/>
                        </w:rPr>
                        <w:t>No se ha localizado información sobre subvenciones y ayudas públicas concedidas</w:t>
                      </w:r>
                    </w:p>
                    <w:p w:rsidR="007B177B" w:rsidRDefault="007B177B" w:rsidP="00EC0A22">
                      <w:pPr>
                        <w:pStyle w:val="Prrafodelista"/>
                        <w:numPr>
                          <w:ilvl w:val="0"/>
                          <w:numId w:val="17"/>
                        </w:numPr>
                        <w:jc w:val="both"/>
                        <w:rPr>
                          <w:sz w:val="20"/>
                          <w:szCs w:val="20"/>
                        </w:rPr>
                      </w:pPr>
                      <w:r>
                        <w:rPr>
                          <w:sz w:val="20"/>
                          <w:szCs w:val="20"/>
                        </w:rPr>
                        <w:t>No se ha localizado información sobre ejecución presupuestaria.</w:t>
                      </w:r>
                    </w:p>
                    <w:p w:rsidR="007B177B" w:rsidRDefault="007B177B" w:rsidP="00EC0A22">
                      <w:pPr>
                        <w:pStyle w:val="Prrafodelista"/>
                        <w:numPr>
                          <w:ilvl w:val="0"/>
                          <w:numId w:val="17"/>
                        </w:numPr>
                        <w:jc w:val="both"/>
                        <w:rPr>
                          <w:sz w:val="20"/>
                          <w:szCs w:val="20"/>
                        </w:rPr>
                      </w:pPr>
                      <w:r>
                        <w:rPr>
                          <w:sz w:val="20"/>
                          <w:szCs w:val="20"/>
                        </w:rPr>
                        <w:t>La información sobre las cuentas anuales está muy desfasada.</w:t>
                      </w:r>
                    </w:p>
                    <w:p w:rsidR="007B177B" w:rsidRDefault="007B177B" w:rsidP="00EC0A22">
                      <w:pPr>
                        <w:pStyle w:val="Prrafodelista"/>
                        <w:numPr>
                          <w:ilvl w:val="0"/>
                          <w:numId w:val="17"/>
                        </w:numPr>
                        <w:jc w:val="both"/>
                        <w:rPr>
                          <w:sz w:val="20"/>
                          <w:szCs w:val="20"/>
                        </w:rPr>
                      </w:pPr>
                      <w:r>
                        <w:rPr>
                          <w:sz w:val="20"/>
                          <w:szCs w:val="20"/>
                        </w:rPr>
                        <w:t>No se han localizado informes de auditoría o fiscalización elaborados por el Tribunal de Cuentas.</w:t>
                      </w:r>
                    </w:p>
                    <w:p w:rsidR="007B177B" w:rsidRDefault="007B177B" w:rsidP="00EC0A22">
                      <w:pPr>
                        <w:pStyle w:val="Prrafodelista"/>
                        <w:numPr>
                          <w:ilvl w:val="0"/>
                          <w:numId w:val="17"/>
                        </w:numPr>
                        <w:jc w:val="both"/>
                        <w:rPr>
                          <w:sz w:val="20"/>
                          <w:szCs w:val="20"/>
                        </w:rPr>
                      </w:pPr>
                      <w:r>
                        <w:rPr>
                          <w:sz w:val="20"/>
                          <w:szCs w:val="20"/>
                        </w:rPr>
                        <w:t>No se ha localizado información sobre las retribuciones percibidas por los máximos responsables.</w:t>
                      </w:r>
                    </w:p>
                    <w:p w:rsidR="007B177B" w:rsidRPr="00EC0A22" w:rsidRDefault="007B177B" w:rsidP="00EC0A22">
                      <w:pPr>
                        <w:pStyle w:val="Prrafodelista"/>
                        <w:numPr>
                          <w:ilvl w:val="0"/>
                          <w:numId w:val="17"/>
                        </w:numPr>
                        <w:jc w:val="both"/>
                        <w:rPr>
                          <w:sz w:val="20"/>
                          <w:szCs w:val="20"/>
                        </w:rPr>
                      </w:pPr>
                      <w:r>
                        <w:rPr>
                          <w:sz w:val="20"/>
                          <w:szCs w:val="20"/>
                        </w:rPr>
                        <w:t>No se ha localizado información sobre las autorizaciones de compatibilidad concedidas a empleados del CEJ</w:t>
                      </w:r>
                    </w:p>
                    <w:p w:rsidR="007B177B" w:rsidRDefault="007B177B" w:rsidP="00720BFF">
                      <w:pPr>
                        <w:jc w:val="both"/>
                        <w:rPr>
                          <w:b/>
                          <w:color w:val="00642D"/>
                        </w:rPr>
                      </w:pPr>
                      <w:r w:rsidRPr="00C01380">
                        <w:rPr>
                          <w:b/>
                          <w:color w:val="00642D"/>
                        </w:rPr>
                        <w:t>Calidad de la Información</w:t>
                      </w:r>
                    </w:p>
                    <w:p w:rsidR="007B177B" w:rsidRDefault="007B177B" w:rsidP="001266B1">
                      <w:pPr>
                        <w:pStyle w:val="Prrafodelista"/>
                        <w:numPr>
                          <w:ilvl w:val="0"/>
                          <w:numId w:val="20"/>
                        </w:numPr>
                        <w:rPr>
                          <w:sz w:val="20"/>
                          <w:szCs w:val="20"/>
                        </w:rPr>
                      </w:pPr>
                      <w:r w:rsidRPr="001266B1">
                        <w:rPr>
                          <w:sz w:val="20"/>
                          <w:szCs w:val="20"/>
                        </w:rPr>
                        <w:t>Los últimos presupuestos publicados corresponden al ejercicio 2022</w:t>
                      </w:r>
                      <w:r>
                        <w:rPr>
                          <w:sz w:val="20"/>
                          <w:szCs w:val="20"/>
                        </w:rPr>
                        <w:t>.</w:t>
                      </w:r>
                    </w:p>
                    <w:p w:rsidR="007B177B" w:rsidRPr="001266B1" w:rsidRDefault="007B177B" w:rsidP="001266B1">
                      <w:pPr>
                        <w:pStyle w:val="Prrafodelista"/>
                        <w:numPr>
                          <w:ilvl w:val="0"/>
                          <w:numId w:val="20"/>
                        </w:numPr>
                        <w:rPr>
                          <w:sz w:val="20"/>
                          <w:szCs w:val="20"/>
                        </w:rPr>
                      </w:pPr>
                      <w:r>
                        <w:rPr>
                          <w:sz w:val="20"/>
                          <w:szCs w:val="20"/>
                        </w:rPr>
                        <w:t>La información sobre contratos se localiza a través de la Plataforma de Contratación del Sector Público</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DD3611" w:rsidRDefault="00DD3611" w:rsidP="00BD4582">
      <w:pPr>
        <w:pStyle w:val="Cuerpodelboletn"/>
        <w:spacing w:before="120" w:after="120" w:line="312" w:lineRule="auto"/>
        <w:ind w:left="360"/>
        <w:rPr>
          <w:rStyle w:val="Ttulo2Car"/>
          <w:color w:val="00642D"/>
          <w:lang w:bidi="es-ES"/>
        </w:rPr>
      </w:pPr>
    </w:p>
    <w:p w:rsidR="00DD3611" w:rsidRDefault="00DD3611" w:rsidP="00BD4582">
      <w:pPr>
        <w:pStyle w:val="Cuerpodelboletn"/>
        <w:spacing w:before="120" w:after="120" w:line="312" w:lineRule="auto"/>
        <w:ind w:left="360"/>
        <w:rPr>
          <w:rStyle w:val="Ttulo2Car"/>
          <w:color w:val="00642D"/>
          <w:lang w:bidi="es-ES"/>
        </w:rPr>
      </w:pPr>
    </w:p>
    <w:p w:rsidR="00DD3611" w:rsidRDefault="00DD3611" w:rsidP="00BD4582">
      <w:pPr>
        <w:pStyle w:val="Cuerpodelboletn"/>
        <w:spacing w:before="120" w:after="120" w:line="312" w:lineRule="auto"/>
        <w:ind w:left="360"/>
        <w:rPr>
          <w:rStyle w:val="Ttulo2Car"/>
          <w:color w:val="00642D"/>
          <w:lang w:bidi="es-ES"/>
        </w:rPr>
      </w:pPr>
    </w:p>
    <w:p w:rsidR="00DD3611" w:rsidRDefault="00DD3611" w:rsidP="00BD4582">
      <w:pPr>
        <w:pStyle w:val="Cuerpodelboletn"/>
        <w:spacing w:before="120" w:after="120" w:line="312" w:lineRule="auto"/>
        <w:ind w:left="360"/>
        <w:rPr>
          <w:rStyle w:val="Ttulo2Car"/>
          <w:color w:val="00642D"/>
          <w:lang w:bidi="es-ES"/>
        </w:rPr>
      </w:pPr>
    </w:p>
    <w:p w:rsidR="00DD3611" w:rsidRDefault="00DD3611" w:rsidP="00BD4582">
      <w:pPr>
        <w:pStyle w:val="Cuerpodelboletn"/>
        <w:spacing w:before="120" w:after="120" w:line="312" w:lineRule="auto"/>
        <w:ind w:left="360"/>
        <w:rPr>
          <w:rStyle w:val="Ttulo2Car"/>
          <w:color w:val="00642D"/>
          <w:lang w:bidi="es-ES"/>
        </w:rPr>
      </w:pPr>
    </w:p>
    <w:p w:rsidR="00DD3611" w:rsidRDefault="00DD3611" w:rsidP="00BD4582">
      <w:pPr>
        <w:pStyle w:val="Cuerpodelboletn"/>
        <w:spacing w:before="120" w:after="120" w:line="312" w:lineRule="auto"/>
        <w:ind w:left="360"/>
        <w:rPr>
          <w:rStyle w:val="Ttulo2Car"/>
          <w:color w:val="00642D"/>
          <w:lang w:bidi="es-ES"/>
        </w:rPr>
      </w:pPr>
    </w:p>
    <w:p w:rsidR="00DD3611" w:rsidRDefault="00DD3611" w:rsidP="00BD4582">
      <w:pPr>
        <w:pStyle w:val="Cuerpodelboletn"/>
        <w:spacing w:before="120" w:after="120" w:line="312" w:lineRule="auto"/>
        <w:ind w:left="360"/>
        <w:rPr>
          <w:rStyle w:val="Ttulo2Car"/>
          <w:color w:val="00642D"/>
          <w:lang w:bidi="es-ES"/>
        </w:rPr>
      </w:pPr>
    </w:p>
    <w:p w:rsidR="00DD3611" w:rsidRDefault="00DD3611" w:rsidP="00BD4582">
      <w:pPr>
        <w:pStyle w:val="Cuerpodelboletn"/>
        <w:spacing w:before="120" w:after="120" w:line="312" w:lineRule="auto"/>
        <w:ind w:left="360"/>
        <w:rPr>
          <w:rStyle w:val="Ttulo2Car"/>
          <w:color w:val="00642D"/>
          <w:lang w:bidi="es-ES"/>
        </w:rPr>
      </w:pPr>
    </w:p>
    <w:p w:rsidR="00DD3611" w:rsidRDefault="00DD3611" w:rsidP="00BD4582">
      <w:pPr>
        <w:pStyle w:val="Cuerpodelboletn"/>
        <w:spacing w:before="120" w:after="120" w:line="312" w:lineRule="auto"/>
        <w:ind w:left="360"/>
        <w:rPr>
          <w:rStyle w:val="Ttulo2Car"/>
          <w:color w:val="00642D"/>
          <w:lang w:bidi="es-ES"/>
        </w:rPr>
      </w:pPr>
    </w:p>
    <w:p w:rsidR="00DD3611" w:rsidRDefault="00DD3611" w:rsidP="00BD4582">
      <w:pPr>
        <w:pStyle w:val="Cuerpodelboletn"/>
        <w:spacing w:before="120" w:after="120" w:line="312" w:lineRule="auto"/>
        <w:ind w:left="360"/>
        <w:rPr>
          <w:rStyle w:val="Ttulo2Car"/>
          <w:color w:val="00642D"/>
          <w:lang w:bidi="es-ES"/>
        </w:rPr>
      </w:pPr>
    </w:p>
    <w:p w:rsidR="00DD3611" w:rsidRDefault="00DD3611" w:rsidP="00BD4582">
      <w:pPr>
        <w:pStyle w:val="Cuerpodelboletn"/>
        <w:spacing w:before="120" w:after="120" w:line="312" w:lineRule="auto"/>
        <w:ind w:left="360"/>
        <w:rPr>
          <w:rStyle w:val="Ttulo2Car"/>
          <w:color w:val="00642D"/>
          <w:lang w:bidi="es-ES"/>
        </w:rPr>
      </w:pPr>
    </w:p>
    <w:p w:rsidR="00DD3611" w:rsidRDefault="00DD3611" w:rsidP="00BD4582">
      <w:pPr>
        <w:pStyle w:val="Cuerpodelboletn"/>
        <w:spacing w:before="120" w:after="120" w:line="312" w:lineRule="auto"/>
        <w:ind w:left="360"/>
        <w:rPr>
          <w:rStyle w:val="Ttulo2Car"/>
          <w:color w:val="00642D"/>
          <w:lang w:bidi="es-ES"/>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1266B1"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126" w:type="dxa"/>
        <w:tblInd w:w="108" w:type="dxa"/>
        <w:tblLook w:val="04A0" w:firstRow="1" w:lastRow="0" w:firstColumn="1" w:lastColumn="0" w:noHBand="0" w:noVBand="1"/>
      </w:tblPr>
      <w:tblGrid>
        <w:gridCol w:w="5001"/>
        <w:gridCol w:w="1022"/>
        <w:gridCol w:w="729"/>
        <w:gridCol w:w="729"/>
        <w:gridCol w:w="729"/>
        <w:gridCol w:w="729"/>
        <w:gridCol w:w="729"/>
        <w:gridCol w:w="729"/>
        <w:gridCol w:w="729"/>
      </w:tblGrid>
      <w:tr w:rsidR="009D672E" w:rsidRPr="00FD0689" w:rsidTr="001856FA">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1015" w:type="dxa"/>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1856FA" w:rsidRPr="00FD0689" w:rsidTr="001856F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856FA" w:rsidRPr="00FD0689" w:rsidRDefault="001856FA"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1015" w:type="dxa"/>
            <w:tcBorders>
              <w:left w:val="single" w:sz="18" w:space="0" w:color="FFFFFF" w:themeColor="background1"/>
            </w:tcBorders>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6FA">
              <w:rPr>
                <w:sz w:val="16"/>
                <w:szCs w:val="16"/>
              </w:rPr>
              <w:t>90,0</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6FA">
              <w:rPr>
                <w:sz w:val="16"/>
                <w:szCs w:val="16"/>
              </w:rPr>
              <w:t>90,0</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6FA">
              <w:rPr>
                <w:sz w:val="16"/>
                <w:szCs w:val="16"/>
              </w:rPr>
              <w:t>90,0</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6FA">
              <w:rPr>
                <w:sz w:val="16"/>
                <w:szCs w:val="16"/>
              </w:rPr>
              <w:t>90,0</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6FA">
              <w:rPr>
                <w:sz w:val="16"/>
                <w:szCs w:val="16"/>
              </w:rPr>
              <w:t>90,0</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6FA">
              <w:rPr>
                <w:sz w:val="16"/>
                <w:szCs w:val="16"/>
              </w:rPr>
              <w:t>80,0</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6FA">
              <w:rPr>
                <w:sz w:val="16"/>
                <w:szCs w:val="16"/>
              </w:rPr>
              <w:t>30,0</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6FA">
              <w:rPr>
                <w:sz w:val="16"/>
                <w:szCs w:val="16"/>
              </w:rPr>
              <w:t>80,0</w:t>
            </w:r>
          </w:p>
        </w:tc>
      </w:tr>
      <w:tr w:rsidR="00EC0A22" w:rsidRPr="00B701B7" w:rsidTr="001856FA">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EC0A22" w:rsidRPr="00B701B7" w:rsidRDefault="00EC0A22" w:rsidP="00A51D61">
            <w:pPr>
              <w:spacing w:before="120" w:after="120" w:line="312" w:lineRule="auto"/>
              <w:rPr>
                <w:rFonts w:cs="Calibri"/>
                <w:sz w:val="16"/>
                <w:szCs w:val="16"/>
              </w:rPr>
            </w:pPr>
            <w:r w:rsidRPr="00FD0689">
              <w:rPr>
                <w:rFonts w:cs="Calibri"/>
                <w:sz w:val="16"/>
                <w:szCs w:val="16"/>
              </w:rPr>
              <w:t>De relevancia jurídica</w:t>
            </w:r>
          </w:p>
        </w:tc>
        <w:tc>
          <w:tcPr>
            <w:tcW w:w="6125" w:type="dxa"/>
            <w:gridSpan w:val="8"/>
            <w:tcBorders>
              <w:left w:val="single" w:sz="18" w:space="0" w:color="FFFFFF" w:themeColor="background1"/>
            </w:tcBorders>
            <w:noWrap/>
            <w:vAlign w:val="center"/>
          </w:tcPr>
          <w:p w:rsidR="00EC0A22" w:rsidRPr="001856FA" w:rsidRDefault="00EC0A22" w:rsidP="001856F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856FA">
              <w:rPr>
                <w:sz w:val="16"/>
                <w:szCs w:val="16"/>
              </w:rPr>
              <w:t>No aplicable</w:t>
            </w:r>
          </w:p>
        </w:tc>
      </w:tr>
      <w:tr w:rsidR="001856FA" w:rsidRPr="00B701B7" w:rsidTr="001856F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856FA" w:rsidRPr="00B701B7" w:rsidRDefault="001856FA" w:rsidP="00A51D61">
            <w:pPr>
              <w:spacing w:before="120" w:after="120" w:line="312" w:lineRule="auto"/>
              <w:rPr>
                <w:rFonts w:cs="Calibri"/>
                <w:sz w:val="16"/>
                <w:szCs w:val="16"/>
              </w:rPr>
            </w:pPr>
            <w:r w:rsidRPr="00B701B7">
              <w:rPr>
                <w:rFonts w:cs="Calibri"/>
                <w:sz w:val="16"/>
                <w:szCs w:val="16"/>
              </w:rPr>
              <w:t>Económica , Presupuestaria y Estadística</w:t>
            </w:r>
          </w:p>
        </w:tc>
        <w:tc>
          <w:tcPr>
            <w:tcW w:w="1015" w:type="dxa"/>
            <w:tcBorders>
              <w:left w:val="single" w:sz="18" w:space="0" w:color="FFFFFF" w:themeColor="background1"/>
            </w:tcBorders>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6FA">
              <w:rPr>
                <w:sz w:val="16"/>
                <w:szCs w:val="16"/>
              </w:rPr>
              <w:t>33,3</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6FA">
              <w:rPr>
                <w:sz w:val="16"/>
                <w:szCs w:val="16"/>
              </w:rPr>
              <w:t>20,0</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6FA">
              <w:rPr>
                <w:sz w:val="16"/>
                <w:szCs w:val="16"/>
              </w:rPr>
              <w:t>33,3</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6FA">
              <w:rPr>
                <w:sz w:val="16"/>
                <w:szCs w:val="16"/>
              </w:rPr>
              <w:t>20,0</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6FA">
              <w:rPr>
                <w:sz w:val="16"/>
                <w:szCs w:val="16"/>
              </w:rPr>
              <w:t>33,3</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6FA">
              <w:rPr>
                <w:sz w:val="16"/>
                <w:szCs w:val="16"/>
              </w:rPr>
              <w:t>33,3</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6FA">
              <w:rPr>
                <w:sz w:val="16"/>
                <w:szCs w:val="16"/>
              </w:rPr>
              <w:t>26,7</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sz w:val="16"/>
                <w:szCs w:val="16"/>
              </w:rPr>
            </w:pPr>
            <w:r w:rsidRPr="001856FA">
              <w:rPr>
                <w:sz w:val="16"/>
                <w:szCs w:val="16"/>
              </w:rPr>
              <w:t>28,6</w:t>
            </w:r>
          </w:p>
        </w:tc>
      </w:tr>
      <w:tr w:rsidR="001856FA" w:rsidRPr="00B701B7" w:rsidTr="001856FA">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1856FA" w:rsidRPr="00B701B7" w:rsidRDefault="001856FA" w:rsidP="00A51D61">
            <w:pPr>
              <w:spacing w:before="120" w:after="120" w:line="312" w:lineRule="auto"/>
              <w:rPr>
                <w:rFonts w:cs="Calibri"/>
                <w:sz w:val="16"/>
                <w:szCs w:val="16"/>
              </w:rPr>
            </w:pPr>
            <w:r w:rsidRPr="00B701B7">
              <w:rPr>
                <w:rFonts w:cs="Calibri"/>
                <w:sz w:val="16"/>
                <w:szCs w:val="16"/>
              </w:rPr>
              <w:t>Información patrimonial</w:t>
            </w:r>
          </w:p>
        </w:tc>
        <w:tc>
          <w:tcPr>
            <w:tcW w:w="1015" w:type="dxa"/>
            <w:tcBorders>
              <w:left w:val="single" w:sz="18" w:space="0" w:color="FFFFFF" w:themeColor="background1"/>
            </w:tcBorders>
            <w:noWrap/>
            <w:vAlign w:val="center"/>
          </w:tcPr>
          <w:p w:rsidR="001856FA" w:rsidRPr="001856FA" w:rsidRDefault="001856FA" w:rsidP="001856F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856FA">
              <w:rPr>
                <w:sz w:val="16"/>
                <w:szCs w:val="16"/>
              </w:rPr>
              <w:t>0,0</w:t>
            </w:r>
          </w:p>
        </w:tc>
        <w:tc>
          <w:tcPr>
            <w:tcW w:w="0" w:type="auto"/>
            <w:noWrap/>
            <w:vAlign w:val="center"/>
          </w:tcPr>
          <w:p w:rsidR="001856FA" w:rsidRPr="001856FA" w:rsidRDefault="001856FA" w:rsidP="001856F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856FA">
              <w:rPr>
                <w:sz w:val="16"/>
                <w:szCs w:val="16"/>
              </w:rPr>
              <w:t>0,0</w:t>
            </w:r>
          </w:p>
        </w:tc>
        <w:tc>
          <w:tcPr>
            <w:tcW w:w="0" w:type="auto"/>
            <w:noWrap/>
            <w:vAlign w:val="center"/>
          </w:tcPr>
          <w:p w:rsidR="001856FA" w:rsidRPr="001856FA" w:rsidRDefault="001856FA" w:rsidP="001856F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856FA">
              <w:rPr>
                <w:sz w:val="16"/>
                <w:szCs w:val="16"/>
              </w:rPr>
              <w:t>0,0</w:t>
            </w:r>
          </w:p>
        </w:tc>
        <w:tc>
          <w:tcPr>
            <w:tcW w:w="0" w:type="auto"/>
            <w:noWrap/>
            <w:vAlign w:val="center"/>
          </w:tcPr>
          <w:p w:rsidR="001856FA" w:rsidRPr="001856FA" w:rsidRDefault="001856FA" w:rsidP="001856F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856FA">
              <w:rPr>
                <w:sz w:val="16"/>
                <w:szCs w:val="16"/>
              </w:rPr>
              <w:t>0,0</w:t>
            </w:r>
          </w:p>
        </w:tc>
        <w:tc>
          <w:tcPr>
            <w:tcW w:w="0" w:type="auto"/>
            <w:noWrap/>
            <w:vAlign w:val="center"/>
          </w:tcPr>
          <w:p w:rsidR="001856FA" w:rsidRPr="001856FA" w:rsidRDefault="001856FA" w:rsidP="001856F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856FA">
              <w:rPr>
                <w:sz w:val="16"/>
                <w:szCs w:val="16"/>
              </w:rPr>
              <w:t>0,0</w:t>
            </w:r>
          </w:p>
        </w:tc>
        <w:tc>
          <w:tcPr>
            <w:tcW w:w="0" w:type="auto"/>
            <w:noWrap/>
            <w:vAlign w:val="center"/>
          </w:tcPr>
          <w:p w:rsidR="001856FA" w:rsidRPr="001856FA" w:rsidRDefault="001856FA" w:rsidP="001856F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856FA">
              <w:rPr>
                <w:sz w:val="16"/>
                <w:szCs w:val="16"/>
              </w:rPr>
              <w:t>0,0</w:t>
            </w:r>
          </w:p>
        </w:tc>
        <w:tc>
          <w:tcPr>
            <w:tcW w:w="0" w:type="auto"/>
            <w:noWrap/>
            <w:vAlign w:val="center"/>
          </w:tcPr>
          <w:p w:rsidR="001856FA" w:rsidRPr="001856FA" w:rsidRDefault="001856FA" w:rsidP="001856F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856FA">
              <w:rPr>
                <w:sz w:val="16"/>
                <w:szCs w:val="16"/>
              </w:rPr>
              <w:t>0,0</w:t>
            </w:r>
          </w:p>
        </w:tc>
        <w:tc>
          <w:tcPr>
            <w:tcW w:w="0" w:type="auto"/>
            <w:noWrap/>
            <w:vAlign w:val="center"/>
          </w:tcPr>
          <w:p w:rsidR="001856FA" w:rsidRPr="001856FA" w:rsidRDefault="001856FA" w:rsidP="001856FA">
            <w:pPr>
              <w:jc w:val="center"/>
              <w:cnfStyle w:val="000000000000" w:firstRow="0" w:lastRow="0" w:firstColumn="0" w:lastColumn="0" w:oddVBand="0" w:evenVBand="0" w:oddHBand="0" w:evenHBand="0" w:firstRowFirstColumn="0" w:firstRowLastColumn="0" w:lastRowFirstColumn="0" w:lastRowLastColumn="0"/>
              <w:rPr>
                <w:sz w:val="16"/>
                <w:szCs w:val="16"/>
              </w:rPr>
            </w:pPr>
            <w:r w:rsidRPr="001856FA">
              <w:rPr>
                <w:sz w:val="16"/>
                <w:szCs w:val="16"/>
              </w:rPr>
              <w:t>0,0</w:t>
            </w:r>
          </w:p>
        </w:tc>
      </w:tr>
      <w:tr w:rsidR="001856FA" w:rsidRPr="00B701B7" w:rsidTr="001856F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856FA" w:rsidRPr="00B701B7" w:rsidRDefault="001856FA"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1015" w:type="dxa"/>
            <w:tcBorders>
              <w:left w:val="single" w:sz="18" w:space="0" w:color="FFFFFF" w:themeColor="background1"/>
            </w:tcBorders>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856FA">
              <w:rPr>
                <w:b/>
                <w:i/>
                <w:sz w:val="16"/>
                <w:szCs w:val="16"/>
              </w:rPr>
              <w:t>53,8</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856FA">
              <w:rPr>
                <w:b/>
                <w:i/>
                <w:sz w:val="16"/>
                <w:szCs w:val="16"/>
              </w:rPr>
              <w:t>46,2</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856FA">
              <w:rPr>
                <w:b/>
                <w:i/>
                <w:sz w:val="16"/>
                <w:szCs w:val="16"/>
              </w:rPr>
              <w:t>53,8</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856FA">
              <w:rPr>
                <w:b/>
                <w:i/>
                <w:sz w:val="16"/>
                <w:szCs w:val="16"/>
              </w:rPr>
              <w:t>46,2</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856FA">
              <w:rPr>
                <w:b/>
                <w:i/>
                <w:sz w:val="16"/>
                <w:szCs w:val="16"/>
              </w:rPr>
              <w:t>53,8</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856FA">
              <w:rPr>
                <w:b/>
                <w:i/>
                <w:sz w:val="16"/>
                <w:szCs w:val="16"/>
              </w:rPr>
              <w:t>50,0</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856FA">
              <w:rPr>
                <w:b/>
                <w:i/>
                <w:sz w:val="16"/>
                <w:szCs w:val="16"/>
              </w:rPr>
              <w:t>26,9</w:t>
            </w:r>
          </w:p>
        </w:tc>
        <w:tc>
          <w:tcPr>
            <w:tcW w:w="0" w:type="auto"/>
            <w:noWrap/>
            <w:vAlign w:val="center"/>
          </w:tcPr>
          <w:p w:rsidR="001856FA" w:rsidRPr="001856FA" w:rsidRDefault="001856FA" w:rsidP="001856F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856FA">
              <w:rPr>
                <w:b/>
                <w:i/>
                <w:sz w:val="16"/>
                <w:szCs w:val="16"/>
              </w:rPr>
              <w:t>47,3</w:t>
            </w:r>
          </w:p>
        </w:tc>
      </w:tr>
    </w:tbl>
    <w:p w:rsidR="00BD4582" w:rsidRPr="00B701B7" w:rsidRDefault="00BD4582" w:rsidP="00B701B7">
      <w:pPr>
        <w:jc w:val="center"/>
        <w:rPr>
          <w:sz w:val="16"/>
          <w:szCs w:val="16"/>
        </w:rPr>
      </w:pPr>
    </w:p>
    <w:p w:rsidR="002A154B" w:rsidRPr="001266B1" w:rsidRDefault="001266B1" w:rsidP="001266B1">
      <w:pPr>
        <w:rPr>
          <w:sz w:val="20"/>
        </w:rPr>
      </w:pPr>
      <w:r>
        <w:rPr>
          <w:sz w:val="20"/>
        </w:rPr>
        <w:t>El Índice de Cumplimiento de la Información Obligatoria (ICIO) se sitúa en el 4</w:t>
      </w:r>
      <w:r w:rsidR="001856FA">
        <w:rPr>
          <w:sz w:val="20"/>
        </w:rPr>
        <w:t>7,5</w:t>
      </w:r>
      <w:r>
        <w:rPr>
          <w:sz w:val="20"/>
        </w:rPr>
        <w:t xml:space="preserve">%. La falta de publicación de contenidos obligatorios – no se publica el </w:t>
      </w:r>
      <w:r w:rsidR="001856FA">
        <w:rPr>
          <w:sz w:val="20"/>
        </w:rPr>
        <w:t>46,2</w:t>
      </w:r>
      <w:r>
        <w:rPr>
          <w:sz w:val="20"/>
        </w:rPr>
        <w:t>% de estos contenidos -, el recurso a fuentes centralizadas para la publicación de algunas informaciones económicas y la falta de datación y/o de referencias a la fecha en que se actualizó por última vez la información publicada, son los factores que explican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081378"/>
                <wp:effectExtent l="0" t="0" r="21590" b="2413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081378"/>
                        </a:xfrm>
                        <a:prstGeom prst="rect">
                          <a:avLst/>
                        </a:prstGeom>
                        <a:solidFill>
                          <a:srgbClr val="FFFFFF"/>
                        </a:solidFill>
                        <a:ln w="9525">
                          <a:solidFill>
                            <a:srgbClr val="000000"/>
                          </a:solidFill>
                          <a:miter lim="800000"/>
                          <a:headEnd/>
                          <a:tailEnd/>
                        </a:ln>
                      </wps:spPr>
                      <wps:txbx>
                        <w:txbxContent>
                          <w:p w:rsidR="007B177B" w:rsidRDefault="007B177B">
                            <w:pPr>
                              <w:rPr>
                                <w:b/>
                                <w:color w:val="00642D"/>
                              </w:rPr>
                            </w:pPr>
                            <w:r w:rsidRPr="002A154B">
                              <w:rPr>
                                <w:b/>
                                <w:color w:val="00642D"/>
                              </w:rPr>
                              <w:t xml:space="preserve">Transparencia </w:t>
                            </w:r>
                            <w:r>
                              <w:rPr>
                                <w:b/>
                                <w:color w:val="00642D"/>
                              </w:rPr>
                              <w:t>Voluntaria</w:t>
                            </w:r>
                          </w:p>
                          <w:p w:rsidR="007B177B" w:rsidRDefault="007B177B" w:rsidP="00B60213">
                            <w:pPr>
                              <w:jc w:val="both"/>
                              <w:rPr>
                                <w:sz w:val="20"/>
                                <w:szCs w:val="20"/>
                              </w:rPr>
                            </w:pPr>
                            <w:r>
                              <w:rPr>
                                <w:sz w:val="20"/>
                                <w:szCs w:val="20"/>
                              </w:rPr>
                              <w:t>El CEJ publica informaciones adicionales a las obligatorias que son relevantes desde el punto  de vista de la transparencia y la rendición de cuentas.</w:t>
                            </w:r>
                          </w:p>
                          <w:p w:rsidR="007B177B" w:rsidRPr="001266B1" w:rsidRDefault="007B177B" w:rsidP="001266B1">
                            <w:pPr>
                              <w:pStyle w:val="Prrafodelista"/>
                              <w:numPr>
                                <w:ilvl w:val="0"/>
                                <w:numId w:val="21"/>
                              </w:numPr>
                              <w:jc w:val="both"/>
                              <w:rPr>
                                <w:sz w:val="20"/>
                                <w:szCs w:val="20"/>
                              </w:rPr>
                            </w:pPr>
                            <w:r>
                              <w:rPr>
                                <w:sz w:val="20"/>
                                <w:szCs w:val="20"/>
                              </w:rPr>
                              <w:t>Baremos de retribuciones por actividades formativas, grupos de trabajo e investigación.</w:t>
                            </w:r>
                          </w:p>
                          <w:p w:rsidR="007B177B" w:rsidRPr="002A154B" w:rsidRDefault="007B177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85.1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">
                <v:textbox>
                  <w:txbxContent>
                    <w:p w:rsidR="007B177B" w:rsidRDefault="007B177B">
                      <w:pPr>
                        <w:rPr>
                          <w:b/>
                          <w:color w:val="00642D"/>
                        </w:rPr>
                      </w:pPr>
                      <w:r w:rsidRPr="002A154B">
                        <w:rPr>
                          <w:b/>
                          <w:color w:val="00642D"/>
                        </w:rPr>
                        <w:t xml:space="preserve">Transparencia </w:t>
                      </w:r>
                      <w:r>
                        <w:rPr>
                          <w:b/>
                          <w:color w:val="00642D"/>
                        </w:rPr>
                        <w:t>Voluntaria</w:t>
                      </w:r>
                    </w:p>
                    <w:p w:rsidR="007B177B" w:rsidRDefault="007B177B" w:rsidP="00B60213">
                      <w:pPr>
                        <w:jc w:val="both"/>
                        <w:rPr>
                          <w:sz w:val="20"/>
                          <w:szCs w:val="20"/>
                        </w:rPr>
                      </w:pPr>
                      <w:r>
                        <w:rPr>
                          <w:sz w:val="20"/>
                          <w:szCs w:val="20"/>
                        </w:rPr>
                        <w:t>El CEJ publica informaciones adicionales a las obligatorias que son relevantes desde el punto  de vista de la transparencia y la rendición de cuentas.</w:t>
                      </w:r>
                    </w:p>
                    <w:p w:rsidR="007B177B" w:rsidRPr="001266B1" w:rsidRDefault="007B177B" w:rsidP="001266B1">
                      <w:pPr>
                        <w:pStyle w:val="Prrafodelista"/>
                        <w:numPr>
                          <w:ilvl w:val="0"/>
                          <w:numId w:val="21"/>
                        </w:numPr>
                        <w:jc w:val="both"/>
                        <w:rPr>
                          <w:sz w:val="20"/>
                          <w:szCs w:val="20"/>
                        </w:rPr>
                      </w:pPr>
                      <w:r>
                        <w:rPr>
                          <w:sz w:val="20"/>
                          <w:szCs w:val="20"/>
                        </w:rPr>
                        <w:t>Baremos de retribuciones por actividades formativas, grupos de trabajo e investigación.</w:t>
                      </w:r>
                    </w:p>
                    <w:p w:rsidR="007B177B" w:rsidRPr="002A154B" w:rsidRDefault="007B177B">
                      <w:pPr>
                        <w:rPr>
                          <w:b/>
                          <w:color w:val="00642D"/>
                        </w:rPr>
                      </w:pPr>
                    </w:p>
                  </w:txbxContent>
                </v:textbox>
              </v:shape>
            </w:pict>
          </mc:Fallback>
        </mc:AlternateContent>
      </w:r>
    </w:p>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131197</wp:posOffset>
                </wp:positionH>
                <wp:positionV relativeFrom="paragraph">
                  <wp:posOffset>274513</wp:posOffset>
                </wp:positionV>
                <wp:extent cx="6264910" cy="938254"/>
                <wp:effectExtent l="0" t="0" r="21590" b="1460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38254"/>
                        </a:xfrm>
                        <a:prstGeom prst="rect">
                          <a:avLst/>
                        </a:prstGeom>
                        <a:solidFill>
                          <a:srgbClr val="FFFFFF"/>
                        </a:solidFill>
                        <a:ln w="9525">
                          <a:solidFill>
                            <a:srgbClr val="000000"/>
                          </a:solidFill>
                          <a:miter lim="800000"/>
                          <a:headEnd/>
                          <a:tailEnd/>
                        </a:ln>
                      </wps:spPr>
                      <wps:txbx>
                        <w:txbxContent>
                          <w:p w:rsidR="007B177B" w:rsidRDefault="007B177B" w:rsidP="002A154B">
                            <w:pPr>
                              <w:rPr>
                                <w:b/>
                                <w:color w:val="00642D"/>
                              </w:rPr>
                            </w:pPr>
                            <w:r>
                              <w:rPr>
                                <w:b/>
                                <w:color w:val="00642D"/>
                              </w:rPr>
                              <w:t>Buenas Prácticas</w:t>
                            </w:r>
                          </w:p>
                          <w:p w:rsidR="007B177B" w:rsidRPr="000E7BD9" w:rsidRDefault="007B177B" w:rsidP="002A154B">
                            <w:pPr>
                              <w:rPr>
                                <w:sz w:val="20"/>
                                <w:szCs w:val="20"/>
                              </w:rPr>
                            </w:pPr>
                            <w:r>
                              <w:rPr>
                                <w:sz w:val="20"/>
                                <w:szCs w:val="20"/>
                              </w:rPr>
                              <w:t>No caben buenas prácticas que reseñar por parte del CEJ en materia de transparencia</w:t>
                            </w:r>
                          </w:p>
                          <w:p w:rsidR="007B177B" w:rsidRPr="002A154B" w:rsidRDefault="007B177B"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35pt;margin-top:21.6pt;width:493.3pt;height:7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">
                <v:textbox>
                  <w:txbxContent>
                    <w:p w:rsidR="007B177B" w:rsidRDefault="007B177B" w:rsidP="002A154B">
                      <w:pPr>
                        <w:rPr>
                          <w:b/>
                          <w:color w:val="00642D"/>
                        </w:rPr>
                      </w:pPr>
                      <w:r>
                        <w:rPr>
                          <w:b/>
                          <w:color w:val="00642D"/>
                        </w:rPr>
                        <w:t>Buenas Prácticas</w:t>
                      </w:r>
                    </w:p>
                    <w:p w:rsidR="007B177B" w:rsidRPr="000E7BD9" w:rsidRDefault="007B177B" w:rsidP="002A154B">
                      <w:pPr>
                        <w:rPr>
                          <w:sz w:val="20"/>
                          <w:szCs w:val="20"/>
                        </w:rPr>
                      </w:pPr>
                      <w:r>
                        <w:rPr>
                          <w:sz w:val="20"/>
                          <w:szCs w:val="20"/>
                        </w:rPr>
                        <w:t>No caben buenas prácticas que reseñar por parte del CEJ en materia de transparencia</w:t>
                      </w:r>
                    </w:p>
                    <w:p w:rsidR="007B177B" w:rsidRPr="002A154B" w:rsidRDefault="007B177B" w:rsidP="002A154B">
                      <w:pPr>
                        <w:rPr>
                          <w:b/>
                          <w:color w:val="00642D"/>
                        </w:rPr>
                      </w:pPr>
                    </w:p>
                  </w:txbxContent>
                </v:textbox>
              </v:shape>
            </w:pict>
          </mc:Fallback>
        </mc:AlternateContent>
      </w:r>
    </w:p>
    <w:p w:rsidR="00932008" w:rsidRDefault="00932008"/>
    <w:p w:rsidR="00932008" w:rsidRDefault="00932008"/>
    <w:p w:rsidR="000C6CFF" w:rsidRDefault="000C6CFF"/>
    <w:p w:rsidR="008C1E1E" w:rsidRDefault="008C1E1E"/>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266B1" w:rsidRDefault="001266B1" w:rsidP="001266B1">
      <w:r>
        <w:t>Como se ha indicado el cumplimiento de las obligaciones de transparencia de la LTAIBG por parte del CEJ, en función de la información disponible en su web alcanza el 4</w:t>
      </w:r>
      <w:r w:rsidR="001856FA">
        <w:t>7,3</w:t>
      </w:r>
      <w:r>
        <w:t xml:space="preserve">%. </w:t>
      </w:r>
    </w:p>
    <w:p w:rsidR="00B40246" w:rsidRDefault="001266B1" w:rsidP="001266B1">
      <w:r>
        <w:lastRenderedPageBreak/>
        <w:t xml:space="preserve">A lo largo del informe se han señalado una serie de carencias. Por ello y para procurar avances en el grado de cumplimiento de la LTAIBG por parte del CEJ, este CTBG </w:t>
      </w:r>
      <w:r w:rsidRPr="001266B1">
        <w:rPr>
          <w:b/>
          <w:color w:val="00642D"/>
        </w:rPr>
        <w:t>recomienda</w:t>
      </w:r>
      <w:r>
        <w:t>:</w:t>
      </w:r>
    </w:p>
    <w:p w:rsidR="000E7BD9" w:rsidRPr="00443391" w:rsidRDefault="000E7BD9" w:rsidP="007813BE">
      <w:pPr>
        <w:spacing w:before="120" w:after="120" w:line="312" w:lineRule="auto"/>
        <w:jc w:val="both"/>
        <w:rPr>
          <w:b/>
          <w:color w:val="00642D"/>
        </w:rPr>
      </w:pPr>
      <w:r w:rsidRPr="00443391">
        <w:rPr>
          <w:b/>
          <w:color w:val="00642D"/>
        </w:rPr>
        <w:t>Localización y Estructuración de la información</w:t>
      </w:r>
    </w:p>
    <w:p w:rsidR="001266B1" w:rsidRDefault="001266B1" w:rsidP="001266B1">
      <w:pPr>
        <w:spacing w:before="120" w:after="120" w:line="312" w:lineRule="auto"/>
        <w:jc w:val="both"/>
      </w:pPr>
      <w:r>
        <w:t xml:space="preserve">El CEJ debe </w:t>
      </w:r>
      <w:r w:rsidR="00841DA6">
        <w:t>orientar</w:t>
      </w:r>
      <w:r>
        <w:t xml:space="preserve"> su Portal de Transparencia – que en la actuali</w:t>
      </w:r>
      <w:r w:rsidR="00785889">
        <w:t>dad</w:t>
      </w:r>
      <w:r>
        <w:t xml:space="preserve"> se dedica exclusivamente a la publicación del baremo de retribuciones - a la publicación de todas las informaciones sujetas a obligaciones de publicidad activa que le son de aplicación. </w:t>
      </w:r>
    </w:p>
    <w:p w:rsidR="001266B1" w:rsidRDefault="00533E5D" w:rsidP="001266B1">
      <w:pPr>
        <w:spacing w:before="120" w:after="120" w:line="312" w:lineRule="auto"/>
        <w:jc w:val="both"/>
      </w:pPr>
      <w:r>
        <w:t>Para facilitar la localización de la información obligatoria, ésta</w:t>
      </w:r>
      <w:r w:rsidR="001266B1">
        <w:t xml:space="preserve"> debe</w:t>
      </w:r>
      <w:r>
        <w:t>ría</w:t>
      </w:r>
      <w:r w:rsidR="001266B1">
        <w:t xml:space="preserve"> estructurarse conforme al patrón que establece la LTAIBG: Información Institucional, Organizativa, de Planificación</w:t>
      </w:r>
      <w:r>
        <w:t xml:space="preserve"> </w:t>
      </w:r>
      <w:r w:rsidR="001266B1">
        <w:t>y Registro de Actividades de Tratamiento; Información de Relevancia Jurídica; Información Económica, Presupuestaria y Estadística e Información Patrimonial.</w:t>
      </w:r>
    </w:p>
    <w:p w:rsidR="001266B1" w:rsidRDefault="001266B1" w:rsidP="001266B1">
      <w:pPr>
        <w:spacing w:before="120" w:after="120" w:line="312" w:lineRule="auto"/>
        <w:jc w:val="both"/>
      </w:pPr>
      <w:r>
        <w:t xml:space="preserve">Dentro de cada uno de estos bloques deben publicarse - o enlazarse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1266B1" w:rsidRDefault="001266B1" w:rsidP="001266B1">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w:t>
      </w:r>
      <w:r w:rsidR="00841DA6">
        <w:rPr>
          <w:rFonts w:eastAsiaTheme="majorEastAsia" w:cstheme="majorBidi"/>
          <w:bCs/>
        </w:rPr>
        <w:t>,</w:t>
      </w:r>
      <w:r>
        <w:rPr>
          <w:rFonts w:eastAsiaTheme="majorEastAsia" w:cstheme="majorBidi"/>
          <w:bCs/>
        </w:rPr>
        <w:t xml:space="preserve">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w:t>
      </w:r>
      <w:r w:rsidR="00841DA6">
        <w:rPr>
          <w:rFonts w:eastAsiaTheme="majorEastAsia" w:cstheme="majorBidi"/>
          <w:bCs/>
        </w:rPr>
        <w:t>,</w:t>
      </w:r>
      <w:r>
        <w:rPr>
          <w:rFonts w:eastAsiaTheme="majorEastAsia" w:cstheme="majorBidi"/>
          <w:bCs/>
        </w:rPr>
        <w:t xml:space="preserve"> si es que no se publica la información porque no hay información que publicar. </w:t>
      </w:r>
      <w:r w:rsidR="00533E5D">
        <w:rPr>
          <w:rFonts w:eastAsiaTheme="majorEastAsia" w:cstheme="majorBidi"/>
          <w:bCs/>
        </w:rPr>
        <w:t>Este sería el caso de las obligaciones indemnizaciones percibidas por altos cargos y autorizaciones de compatibilidad con actividades privadas con ocasión del cese, por ejemplo.</w:t>
      </w:r>
    </w:p>
    <w:p w:rsidR="00714F6C" w:rsidRDefault="00533E5D" w:rsidP="00714F6C">
      <w:pPr>
        <w:spacing w:before="120" w:after="120" w:line="312" w:lineRule="auto"/>
        <w:jc w:val="both"/>
      </w:pPr>
      <w:r>
        <w:rPr>
          <w:rFonts w:eastAsiaTheme="majorEastAsia" w:cstheme="majorBidi"/>
          <w:bCs/>
        </w:rPr>
        <w:t xml:space="preserve">Por otra parte, en el Portal de Transparencia del CEJ se indica que la información </w:t>
      </w:r>
      <w:r w:rsidR="00714F6C">
        <w:rPr>
          <w:rFonts w:eastAsiaTheme="majorEastAsia" w:cstheme="majorBidi"/>
          <w:bCs/>
        </w:rPr>
        <w:t xml:space="preserve">es complementaria de la que se publica en el Portal de Transparencia de la AGE. Sin embargo, </w:t>
      </w:r>
      <w:r w:rsidR="00714F6C">
        <w:t xml:space="preserve">el Portal de Transparencia AGE, no publica todas las informaciones obligatorias correspondientes a los organismos dependientes. En el caso </w:t>
      </w:r>
      <w:r w:rsidR="002B5770">
        <w:t>del CEJ</w:t>
      </w:r>
      <w:r w:rsidR="00714F6C">
        <w:t>, la búsqueda en el Portal AGE arroja los siguientes resultados:</w:t>
      </w:r>
    </w:p>
    <w:tbl>
      <w:tblPr>
        <w:tblStyle w:val="Tablaconcuadrcula"/>
        <w:tblW w:w="0" w:type="auto"/>
        <w:tblInd w:w="720" w:type="dxa"/>
        <w:tblLook w:val="04A0" w:firstRow="1" w:lastRow="0" w:firstColumn="1" w:lastColumn="0" w:noHBand="0" w:noVBand="1"/>
      </w:tblPr>
      <w:tblGrid>
        <w:gridCol w:w="3339"/>
        <w:gridCol w:w="3286"/>
        <w:gridCol w:w="3337"/>
      </w:tblGrid>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Obligación</w:t>
            </w:r>
          </w:p>
        </w:tc>
        <w:tc>
          <w:tcPr>
            <w:tcW w:w="3286"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Localizada en Portal AGE</w:t>
            </w:r>
          </w:p>
        </w:tc>
        <w:tc>
          <w:tcPr>
            <w:tcW w:w="3337"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Observaciones</w:t>
            </w: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Normativa aplicable</w:t>
            </w:r>
          </w:p>
        </w:tc>
        <w:tc>
          <w:tcPr>
            <w:tcW w:w="3286"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Parcialmente</w:t>
            </w:r>
          </w:p>
        </w:tc>
        <w:tc>
          <w:tcPr>
            <w:tcW w:w="3337"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 xml:space="preserve">Se publica el </w:t>
            </w:r>
            <w:r>
              <w:rPr>
                <w:rFonts w:ascii="Century Gothic" w:hAnsi="Century Gothic"/>
                <w:sz w:val="20"/>
                <w:szCs w:val="20"/>
              </w:rPr>
              <w:t>Estatuto del CEJ, pero no la LO del Poder Judicial a través de la que se crea el organismo</w:t>
            </w: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Funciones</w:t>
            </w:r>
          </w:p>
        </w:tc>
        <w:tc>
          <w:tcPr>
            <w:tcW w:w="3286"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B5770" w:rsidRPr="002B5770" w:rsidRDefault="002B5770" w:rsidP="002B5770">
            <w:pPr>
              <w:pStyle w:val="Sinespaciado"/>
              <w:spacing w:line="276" w:lineRule="auto"/>
              <w:jc w:val="both"/>
              <w:rPr>
                <w:rFonts w:ascii="Century Gothic" w:hAnsi="Century Gothic"/>
                <w:sz w:val="20"/>
                <w:szCs w:val="20"/>
              </w:rPr>
            </w:pP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Registro de Actividades de Tratamiento</w:t>
            </w:r>
          </w:p>
        </w:tc>
        <w:tc>
          <w:tcPr>
            <w:tcW w:w="3286"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El enlace a esta información para el Ministerio de Justicia está roto</w:t>
            </w: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Descripción de la estructura organizativa</w:t>
            </w:r>
          </w:p>
        </w:tc>
        <w:tc>
          <w:tcPr>
            <w:tcW w:w="3286"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B5770" w:rsidRPr="002B5770" w:rsidRDefault="002B5770" w:rsidP="002B5770">
            <w:pPr>
              <w:pStyle w:val="Sinespaciado"/>
              <w:spacing w:line="276" w:lineRule="auto"/>
              <w:jc w:val="both"/>
              <w:rPr>
                <w:rFonts w:ascii="Century Gothic" w:hAnsi="Century Gothic"/>
                <w:sz w:val="20"/>
                <w:szCs w:val="20"/>
              </w:rPr>
            </w:pP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Organigrama</w:t>
            </w:r>
          </w:p>
        </w:tc>
        <w:tc>
          <w:tcPr>
            <w:tcW w:w="3286"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Si</w:t>
            </w:r>
          </w:p>
        </w:tc>
        <w:tc>
          <w:tcPr>
            <w:tcW w:w="3337"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 xml:space="preserve">El organigrama accesible des del PTAGE es menos detallado que el que publica el CEJ en su </w:t>
            </w:r>
            <w:r>
              <w:rPr>
                <w:rFonts w:ascii="Century Gothic" w:hAnsi="Century Gothic"/>
                <w:sz w:val="20"/>
                <w:szCs w:val="20"/>
              </w:rPr>
              <w:lastRenderedPageBreak/>
              <w:t>web</w:t>
            </w: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lastRenderedPageBreak/>
              <w:t>Identificación de los máximos responsables</w:t>
            </w:r>
          </w:p>
        </w:tc>
        <w:tc>
          <w:tcPr>
            <w:tcW w:w="3286"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El PTAGE sólo publica esta información para altos cargos</w:t>
            </w: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Perfil y trayectoria profesional de máximos responsables</w:t>
            </w:r>
          </w:p>
        </w:tc>
        <w:tc>
          <w:tcPr>
            <w:tcW w:w="3286"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El PTAGE sólo publica esta información para altos cargos</w:t>
            </w: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Planes y programas</w:t>
            </w:r>
          </w:p>
        </w:tc>
        <w:tc>
          <w:tcPr>
            <w:tcW w:w="3286"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La única información que se publica en el PTAGFE es el Plan de Subvenciones del Ministerio</w:t>
            </w: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Cumplimiento y resultados de planes y programas</w:t>
            </w:r>
          </w:p>
        </w:tc>
        <w:tc>
          <w:tcPr>
            <w:tcW w:w="3286"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B5770" w:rsidRPr="002B5770" w:rsidRDefault="002B5770" w:rsidP="002B5770">
            <w:pPr>
              <w:pStyle w:val="Sinespaciado"/>
              <w:spacing w:line="276" w:lineRule="auto"/>
              <w:jc w:val="both"/>
              <w:rPr>
                <w:rFonts w:ascii="Century Gothic" w:hAnsi="Century Gothic"/>
                <w:sz w:val="20"/>
                <w:szCs w:val="20"/>
              </w:rPr>
            </w:pP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Indicadores de medida y valoración del cumplimiento de objetivos</w:t>
            </w:r>
          </w:p>
        </w:tc>
        <w:tc>
          <w:tcPr>
            <w:tcW w:w="3286" w:type="dxa"/>
          </w:tcPr>
          <w:p w:rsidR="002B5770" w:rsidRPr="002B5770" w:rsidRDefault="002B5770" w:rsidP="002B5770">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B5770" w:rsidRPr="002B5770" w:rsidRDefault="002B5770" w:rsidP="002B5770">
            <w:pPr>
              <w:pStyle w:val="Sinespaciado"/>
              <w:spacing w:line="276" w:lineRule="auto"/>
              <w:jc w:val="both"/>
              <w:rPr>
                <w:rFonts w:ascii="Century Gothic" w:hAnsi="Century Gothic"/>
                <w:sz w:val="20"/>
                <w:szCs w:val="20"/>
              </w:rPr>
            </w:pPr>
          </w:p>
        </w:tc>
      </w:tr>
      <w:tr w:rsidR="002B5770" w:rsidRPr="002B5770" w:rsidTr="002B5770">
        <w:tc>
          <w:tcPr>
            <w:tcW w:w="3339" w:type="dxa"/>
          </w:tcPr>
          <w:p w:rsidR="002B5770" w:rsidRPr="002B5770" w:rsidRDefault="00A90E6B" w:rsidP="002B5770">
            <w:pPr>
              <w:pStyle w:val="Sinespaciado"/>
              <w:spacing w:line="276" w:lineRule="auto"/>
              <w:jc w:val="both"/>
              <w:rPr>
                <w:rFonts w:ascii="Century Gothic" w:hAnsi="Century Gothic"/>
                <w:sz w:val="20"/>
                <w:szCs w:val="20"/>
              </w:rPr>
            </w:pPr>
            <w:r>
              <w:rPr>
                <w:rFonts w:ascii="Century Gothic" w:hAnsi="Century Gothic"/>
                <w:sz w:val="20"/>
                <w:szCs w:val="20"/>
              </w:rPr>
              <w:t>Contratos Mayores y Menores</w:t>
            </w:r>
          </w:p>
        </w:tc>
        <w:tc>
          <w:tcPr>
            <w:tcW w:w="3286" w:type="dxa"/>
          </w:tcPr>
          <w:p w:rsidR="002B5770" w:rsidRPr="002B5770" w:rsidRDefault="00A90E6B" w:rsidP="002B5770">
            <w:pPr>
              <w:pStyle w:val="Sinespaciado"/>
              <w:spacing w:line="276" w:lineRule="auto"/>
              <w:jc w:val="both"/>
              <w:rPr>
                <w:rFonts w:ascii="Century Gothic" w:hAnsi="Century Gothic"/>
                <w:sz w:val="20"/>
                <w:szCs w:val="20"/>
              </w:rPr>
            </w:pPr>
            <w:r>
              <w:rPr>
                <w:rFonts w:ascii="Century Gothic" w:hAnsi="Century Gothic"/>
                <w:sz w:val="20"/>
                <w:szCs w:val="20"/>
              </w:rPr>
              <w:t>Si</w:t>
            </w:r>
          </w:p>
        </w:tc>
        <w:tc>
          <w:tcPr>
            <w:tcW w:w="3337" w:type="dxa"/>
          </w:tcPr>
          <w:p w:rsidR="002B5770" w:rsidRPr="002B5770" w:rsidRDefault="00A90E6B" w:rsidP="002B5770">
            <w:pPr>
              <w:pStyle w:val="Sinespaciado"/>
              <w:spacing w:line="276" w:lineRule="auto"/>
              <w:jc w:val="both"/>
              <w:rPr>
                <w:rFonts w:ascii="Century Gothic" w:hAnsi="Century Gothic"/>
                <w:sz w:val="20"/>
                <w:szCs w:val="20"/>
              </w:rPr>
            </w:pPr>
            <w:r>
              <w:rPr>
                <w:rFonts w:ascii="Century Gothic" w:hAnsi="Century Gothic"/>
                <w:sz w:val="20"/>
                <w:szCs w:val="20"/>
              </w:rPr>
              <w:t>Requiere efectuar una búsqueda para local</w:t>
            </w:r>
            <w:r w:rsidR="00FD1F79">
              <w:rPr>
                <w:rFonts w:ascii="Century Gothic" w:hAnsi="Century Gothic"/>
                <w:sz w:val="20"/>
                <w:szCs w:val="20"/>
              </w:rPr>
              <w:t>izar los correspondientes al CEJ</w:t>
            </w: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Modificaciones de Contratos</w:t>
            </w:r>
          </w:p>
        </w:tc>
        <w:tc>
          <w:tcPr>
            <w:tcW w:w="3286"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No</w:t>
            </w:r>
          </w:p>
        </w:tc>
        <w:tc>
          <w:tcPr>
            <w:tcW w:w="3337" w:type="dxa"/>
          </w:tcPr>
          <w:p w:rsidR="002B5770" w:rsidRPr="002B5770" w:rsidRDefault="00A90E6B" w:rsidP="002B5770">
            <w:pPr>
              <w:pStyle w:val="Sinespaciado"/>
              <w:spacing w:line="276" w:lineRule="auto"/>
              <w:jc w:val="both"/>
              <w:rPr>
                <w:rFonts w:ascii="Century Gothic" w:hAnsi="Century Gothic"/>
                <w:sz w:val="20"/>
                <w:szCs w:val="20"/>
              </w:rPr>
            </w:pPr>
            <w:r>
              <w:rPr>
                <w:rFonts w:ascii="Century Gothic" w:hAnsi="Century Gothic"/>
                <w:sz w:val="20"/>
                <w:szCs w:val="20"/>
              </w:rPr>
              <w:t>El PTAGE no incluye esta información</w:t>
            </w:r>
          </w:p>
        </w:tc>
      </w:tr>
      <w:tr w:rsidR="00A90E6B" w:rsidRPr="002B5770" w:rsidTr="002B5770">
        <w:tc>
          <w:tcPr>
            <w:tcW w:w="3339" w:type="dxa"/>
          </w:tcPr>
          <w:p w:rsidR="00A90E6B" w:rsidRPr="002B5770" w:rsidRDefault="00A90E6B" w:rsidP="002B5770">
            <w:pPr>
              <w:pStyle w:val="Sinespaciado"/>
              <w:spacing w:line="276" w:lineRule="auto"/>
              <w:jc w:val="both"/>
              <w:rPr>
                <w:rFonts w:ascii="Century Gothic" w:hAnsi="Century Gothic"/>
                <w:sz w:val="20"/>
                <w:szCs w:val="20"/>
              </w:rPr>
            </w:pPr>
            <w:r>
              <w:rPr>
                <w:rFonts w:ascii="Century Gothic" w:hAnsi="Century Gothic"/>
                <w:sz w:val="20"/>
                <w:szCs w:val="20"/>
              </w:rPr>
              <w:t>Desistimientos y renuncias a contratos adjudicados</w:t>
            </w:r>
          </w:p>
        </w:tc>
        <w:tc>
          <w:tcPr>
            <w:tcW w:w="3286" w:type="dxa"/>
          </w:tcPr>
          <w:p w:rsidR="00A90E6B" w:rsidRPr="002B5770" w:rsidRDefault="00A90E6B" w:rsidP="002B5770">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A90E6B" w:rsidRPr="002B5770" w:rsidRDefault="00A90E6B" w:rsidP="002B5770">
            <w:pPr>
              <w:pStyle w:val="Sinespaciado"/>
              <w:spacing w:line="276" w:lineRule="auto"/>
              <w:jc w:val="both"/>
              <w:rPr>
                <w:rFonts w:ascii="Century Gothic" w:hAnsi="Century Gothic"/>
                <w:sz w:val="20"/>
                <w:szCs w:val="20"/>
              </w:rPr>
            </w:pPr>
            <w:r w:rsidRPr="00A90E6B">
              <w:rPr>
                <w:rFonts w:ascii="Century Gothic" w:hAnsi="Century Gothic"/>
                <w:sz w:val="20"/>
                <w:szCs w:val="20"/>
              </w:rPr>
              <w:t>El PTAGE no incluye esta información</w:t>
            </w: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Datos Estadísticos sobre contratación</w:t>
            </w:r>
          </w:p>
        </w:tc>
        <w:tc>
          <w:tcPr>
            <w:tcW w:w="3286"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No</w:t>
            </w:r>
          </w:p>
        </w:tc>
        <w:tc>
          <w:tcPr>
            <w:tcW w:w="3337" w:type="dxa"/>
          </w:tcPr>
          <w:p w:rsidR="002B5770" w:rsidRPr="002B5770" w:rsidRDefault="002B5770" w:rsidP="00A90E6B">
            <w:pPr>
              <w:pStyle w:val="Sinespaciado"/>
              <w:spacing w:line="276" w:lineRule="auto"/>
              <w:jc w:val="both"/>
              <w:rPr>
                <w:rFonts w:ascii="Century Gothic" w:hAnsi="Century Gothic"/>
                <w:sz w:val="20"/>
                <w:szCs w:val="20"/>
              </w:rPr>
            </w:pPr>
            <w:r w:rsidRPr="002B5770">
              <w:rPr>
                <w:rFonts w:ascii="Century Gothic" w:hAnsi="Century Gothic"/>
                <w:sz w:val="20"/>
                <w:szCs w:val="20"/>
              </w:rPr>
              <w:t>La última información publicada corresponde a 20</w:t>
            </w:r>
            <w:r w:rsidR="00A90E6B">
              <w:rPr>
                <w:rFonts w:ascii="Century Gothic" w:hAnsi="Century Gothic"/>
                <w:sz w:val="20"/>
                <w:szCs w:val="20"/>
              </w:rPr>
              <w:t>20</w:t>
            </w:r>
            <w:r w:rsidRPr="002B5770">
              <w:rPr>
                <w:rFonts w:ascii="Century Gothic" w:hAnsi="Century Gothic"/>
                <w:sz w:val="20"/>
                <w:szCs w:val="20"/>
              </w:rPr>
              <w:t xml:space="preserve"> y está agregada a nivel de Ministerio. No se proporciona información para organismos dependientes.</w:t>
            </w: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Convenios</w:t>
            </w:r>
          </w:p>
        </w:tc>
        <w:tc>
          <w:tcPr>
            <w:tcW w:w="3286" w:type="dxa"/>
          </w:tcPr>
          <w:p w:rsidR="002B5770" w:rsidRPr="002B5770" w:rsidRDefault="00A90E6B" w:rsidP="002B5770">
            <w:pPr>
              <w:pStyle w:val="Sinespaciado"/>
              <w:spacing w:line="276" w:lineRule="auto"/>
              <w:jc w:val="both"/>
              <w:rPr>
                <w:rFonts w:ascii="Century Gothic" w:hAnsi="Century Gothic"/>
                <w:sz w:val="20"/>
                <w:szCs w:val="20"/>
              </w:rPr>
            </w:pPr>
            <w:r>
              <w:rPr>
                <w:rFonts w:ascii="Century Gothic" w:hAnsi="Century Gothic"/>
                <w:sz w:val="20"/>
                <w:szCs w:val="20"/>
              </w:rPr>
              <w:t>Si</w:t>
            </w:r>
          </w:p>
        </w:tc>
        <w:tc>
          <w:tcPr>
            <w:tcW w:w="3337" w:type="dxa"/>
          </w:tcPr>
          <w:p w:rsidR="002B5770" w:rsidRPr="002B5770" w:rsidRDefault="002B5770" w:rsidP="00A90E6B">
            <w:pPr>
              <w:pStyle w:val="Sinespaciado"/>
              <w:spacing w:line="276" w:lineRule="auto"/>
              <w:jc w:val="both"/>
              <w:rPr>
                <w:rFonts w:ascii="Century Gothic" w:hAnsi="Century Gothic"/>
                <w:sz w:val="20"/>
                <w:szCs w:val="20"/>
              </w:rPr>
            </w:pPr>
            <w:r w:rsidRPr="002B5770">
              <w:rPr>
                <w:rFonts w:ascii="Century Gothic" w:hAnsi="Century Gothic"/>
                <w:sz w:val="20"/>
                <w:szCs w:val="20"/>
              </w:rPr>
              <w:t xml:space="preserve">Se han localizado </w:t>
            </w:r>
            <w:r w:rsidR="00A90E6B">
              <w:rPr>
                <w:rFonts w:ascii="Century Gothic" w:hAnsi="Century Gothic"/>
                <w:sz w:val="20"/>
                <w:szCs w:val="20"/>
              </w:rPr>
              <w:t>370</w:t>
            </w:r>
            <w:r w:rsidRPr="002B5770">
              <w:rPr>
                <w:rFonts w:ascii="Century Gothic" w:hAnsi="Century Gothic"/>
                <w:sz w:val="20"/>
                <w:szCs w:val="20"/>
              </w:rPr>
              <w:t xml:space="preserve"> registros correspondientes al </w:t>
            </w:r>
            <w:r w:rsidR="00A90E6B">
              <w:rPr>
                <w:rFonts w:ascii="Century Gothic" w:hAnsi="Century Gothic"/>
                <w:sz w:val="20"/>
                <w:szCs w:val="20"/>
              </w:rPr>
              <w:t>Ministerio de Justicia</w:t>
            </w:r>
            <w:r w:rsidRPr="002B5770">
              <w:rPr>
                <w:rFonts w:ascii="Century Gothic" w:hAnsi="Century Gothic"/>
                <w:sz w:val="20"/>
                <w:szCs w:val="20"/>
              </w:rPr>
              <w:t xml:space="preserve">. No es posible la búsqueda por organismo </w:t>
            </w:r>
            <w:r w:rsidR="00A90E6B">
              <w:rPr>
                <w:rFonts w:ascii="Century Gothic" w:hAnsi="Century Gothic"/>
                <w:sz w:val="20"/>
                <w:szCs w:val="20"/>
              </w:rPr>
              <w:t>pero si se puede descargar un fichero Excel con la información de convenios. Para localizar la información del CEJ es preciso revisar los 370 registros.</w:t>
            </w: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Encomiendas</w:t>
            </w:r>
          </w:p>
        </w:tc>
        <w:tc>
          <w:tcPr>
            <w:tcW w:w="3286" w:type="dxa"/>
          </w:tcPr>
          <w:p w:rsidR="002B5770" w:rsidRPr="002B5770" w:rsidRDefault="00A90E6B" w:rsidP="002B5770">
            <w:pPr>
              <w:pStyle w:val="Sinespaciado"/>
              <w:spacing w:line="276" w:lineRule="auto"/>
              <w:jc w:val="both"/>
              <w:rPr>
                <w:rFonts w:ascii="Century Gothic" w:hAnsi="Century Gothic"/>
                <w:sz w:val="20"/>
                <w:szCs w:val="20"/>
              </w:rPr>
            </w:pPr>
            <w:r>
              <w:rPr>
                <w:rFonts w:ascii="Century Gothic" w:hAnsi="Century Gothic"/>
                <w:sz w:val="20"/>
                <w:szCs w:val="20"/>
              </w:rPr>
              <w:t>Si</w:t>
            </w:r>
          </w:p>
        </w:tc>
        <w:tc>
          <w:tcPr>
            <w:tcW w:w="3337"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La información sobre encomiendas de gestión está mezclada con la relativa a convenios, por lo que los problemas para su localización son idénticos</w:t>
            </w:r>
          </w:p>
        </w:tc>
      </w:tr>
      <w:tr w:rsidR="00A90E6B" w:rsidRPr="002B5770" w:rsidTr="002B5770">
        <w:tc>
          <w:tcPr>
            <w:tcW w:w="3339" w:type="dxa"/>
          </w:tcPr>
          <w:p w:rsidR="00A90E6B" w:rsidRPr="002B5770" w:rsidRDefault="00A90E6B" w:rsidP="002B5770">
            <w:pPr>
              <w:pStyle w:val="Sinespaciado"/>
              <w:spacing w:line="276" w:lineRule="auto"/>
              <w:jc w:val="both"/>
              <w:rPr>
                <w:rFonts w:ascii="Century Gothic" w:hAnsi="Century Gothic"/>
                <w:sz w:val="20"/>
                <w:szCs w:val="20"/>
              </w:rPr>
            </w:pPr>
            <w:r>
              <w:rPr>
                <w:rFonts w:ascii="Century Gothic" w:hAnsi="Century Gothic"/>
                <w:sz w:val="20"/>
                <w:szCs w:val="20"/>
              </w:rPr>
              <w:t>Subcontrataciones derivadas de encomiendas</w:t>
            </w:r>
          </w:p>
        </w:tc>
        <w:tc>
          <w:tcPr>
            <w:tcW w:w="3286" w:type="dxa"/>
          </w:tcPr>
          <w:p w:rsidR="00A90E6B" w:rsidRDefault="00A90E6B" w:rsidP="002B5770">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A90E6B" w:rsidRPr="002B5770" w:rsidRDefault="00A90E6B" w:rsidP="002B5770">
            <w:pPr>
              <w:pStyle w:val="Sinespaciado"/>
              <w:spacing w:line="276" w:lineRule="auto"/>
              <w:jc w:val="both"/>
              <w:rPr>
                <w:rFonts w:ascii="Century Gothic" w:hAnsi="Century Gothic"/>
                <w:sz w:val="20"/>
                <w:szCs w:val="20"/>
              </w:rPr>
            </w:pPr>
            <w:r>
              <w:rPr>
                <w:rFonts w:ascii="Century Gothic" w:hAnsi="Century Gothic"/>
                <w:sz w:val="20"/>
                <w:szCs w:val="20"/>
              </w:rPr>
              <w:t>El PTAGE no publica esta información</w:t>
            </w:r>
          </w:p>
        </w:tc>
      </w:tr>
      <w:tr w:rsidR="00A90E6B" w:rsidRPr="002B5770" w:rsidTr="002B5770">
        <w:tc>
          <w:tcPr>
            <w:tcW w:w="3339" w:type="dxa"/>
          </w:tcPr>
          <w:p w:rsidR="00A90E6B" w:rsidRPr="002B5770" w:rsidRDefault="00A90E6B" w:rsidP="002B5770">
            <w:pPr>
              <w:pStyle w:val="Sinespaciado"/>
              <w:spacing w:line="276" w:lineRule="auto"/>
              <w:jc w:val="both"/>
              <w:rPr>
                <w:rFonts w:ascii="Century Gothic" w:hAnsi="Century Gothic"/>
                <w:sz w:val="20"/>
                <w:szCs w:val="20"/>
              </w:rPr>
            </w:pPr>
            <w:r>
              <w:rPr>
                <w:rFonts w:ascii="Century Gothic" w:hAnsi="Century Gothic"/>
                <w:sz w:val="20"/>
                <w:szCs w:val="20"/>
              </w:rPr>
              <w:t>Subvenciones y ayudas públicas</w:t>
            </w:r>
          </w:p>
        </w:tc>
        <w:tc>
          <w:tcPr>
            <w:tcW w:w="3286" w:type="dxa"/>
          </w:tcPr>
          <w:p w:rsidR="00A90E6B" w:rsidRPr="002B5770" w:rsidRDefault="00A90E6B" w:rsidP="002B5770">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A90E6B" w:rsidRPr="002B5770" w:rsidRDefault="00A90E6B" w:rsidP="00A90E6B">
            <w:pPr>
              <w:pStyle w:val="Sinespaciado"/>
              <w:spacing w:line="276" w:lineRule="auto"/>
              <w:jc w:val="both"/>
              <w:rPr>
                <w:rFonts w:ascii="Century Gothic" w:hAnsi="Century Gothic"/>
                <w:sz w:val="20"/>
                <w:szCs w:val="20"/>
              </w:rPr>
            </w:pPr>
            <w:r>
              <w:rPr>
                <w:rFonts w:ascii="Century Gothic" w:hAnsi="Century Gothic"/>
                <w:sz w:val="20"/>
                <w:szCs w:val="20"/>
              </w:rPr>
              <w:t>El PTAGE redirige a la Base de Datos Nacional de Subvenciones. El enlace a la información del Ministerio de Justicia está roto</w:t>
            </w: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Presupuesto</w:t>
            </w:r>
          </w:p>
        </w:tc>
        <w:tc>
          <w:tcPr>
            <w:tcW w:w="3286"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No</w:t>
            </w:r>
          </w:p>
        </w:tc>
        <w:tc>
          <w:tcPr>
            <w:tcW w:w="3337" w:type="dxa"/>
          </w:tcPr>
          <w:p w:rsidR="002B5770" w:rsidRPr="002B5770" w:rsidRDefault="002B5770" w:rsidP="00AF29AE">
            <w:pPr>
              <w:pStyle w:val="Sinespaciado"/>
              <w:spacing w:line="276" w:lineRule="auto"/>
              <w:jc w:val="both"/>
              <w:rPr>
                <w:rFonts w:ascii="Century Gothic" w:hAnsi="Century Gothic"/>
                <w:sz w:val="20"/>
                <w:szCs w:val="20"/>
              </w:rPr>
            </w:pPr>
            <w:r w:rsidRPr="002B5770">
              <w:rPr>
                <w:rFonts w:ascii="Century Gothic" w:hAnsi="Century Gothic"/>
                <w:sz w:val="20"/>
                <w:szCs w:val="20"/>
              </w:rPr>
              <w:t>El Portal AGE publica los Pr</w:t>
            </w:r>
            <w:r w:rsidR="00AF29AE">
              <w:rPr>
                <w:rFonts w:ascii="Century Gothic" w:hAnsi="Century Gothic"/>
                <w:sz w:val="20"/>
                <w:szCs w:val="20"/>
              </w:rPr>
              <w:t>esupuestos Generales del Estado.</w:t>
            </w: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Ejecución Presupuestaria</w:t>
            </w:r>
          </w:p>
        </w:tc>
        <w:tc>
          <w:tcPr>
            <w:tcW w:w="3286"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No</w:t>
            </w:r>
          </w:p>
        </w:tc>
        <w:tc>
          <w:tcPr>
            <w:tcW w:w="3337"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 xml:space="preserve">La información se publica </w:t>
            </w:r>
            <w:r w:rsidRPr="002B5770">
              <w:rPr>
                <w:rFonts w:ascii="Century Gothic" w:hAnsi="Century Gothic"/>
                <w:sz w:val="20"/>
                <w:szCs w:val="20"/>
              </w:rPr>
              <w:lastRenderedPageBreak/>
              <w:t>agregada para el conjunto de la AGE</w:t>
            </w: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lastRenderedPageBreak/>
              <w:t>Cuentas</w:t>
            </w:r>
          </w:p>
        </w:tc>
        <w:tc>
          <w:tcPr>
            <w:tcW w:w="3286" w:type="dxa"/>
          </w:tcPr>
          <w:p w:rsidR="002B5770" w:rsidRPr="002B5770" w:rsidRDefault="00AF29AE" w:rsidP="002B5770">
            <w:pPr>
              <w:pStyle w:val="Sinespaciado"/>
              <w:spacing w:line="276" w:lineRule="auto"/>
              <w:jc w:val="both"/>
              <w:rPr>
                <w:rFonts w:ascii="Century Gothic" w:hAnsi="Century Gothic"/>
                <w:sz w:val="20"/>
                <w:szCs w:val="20"/>
              </w:rPr>
            </w:pPr>
            <w:r>
              <w:rPr>
                <w:rFonts w:ascii="Century Gothic" w:hAnsi="Century Gothic"/>
                <w:sz w:val="20"/>
                <w:szCs w:val="20"/>
              </w:rPr>
              <w:t>Si</w:t>
            </w:r>
          </w:p>
        </w:tc>
        <w:tc>
          <w:tcPr>
            <w:tcW w:w="3337" w:type="dxa"/>
          </w:tcPr>
          <w:p w:rsidR="002B5770" w:rsidRPr="002B5770" w:rsidRDefault="002B5770" w:rsidP="00AF29AE">
            <w:pPr>
              <w:pStyle w:val="Sinespaciado"/>
              <w:spacing w:line="276" w:lineRule="auto"/>
              <w:jc w:val="both"/>
              <w:rPr>
                <w:rFonts w:ascii="Century Gothic" w:hAnsi="Century Gothic"/>
                <w:sz w:val="20"/>
                <w:szCs w:val="20"/>
              </w:rPr>
            </w:pPr>
            <w:r w:rsidRPr="002B5770">
              <w:rPr>
                <w:rFonts w:ascii="Century Gothic" w:hAnsi="Century Gothic"/>
                <w:sz w:val="20"/>
                <w:szCs w:val="20"/>
              </w:rPr>
              <w:t xml:space="preserve">Se han localizado </w:t>
            </w:r>
            <w:r w:rsidR="00AF29AE">
              <w:rPr>
                <w:rFonts w:ascii="Century Gothic" w:hAnsi="Century Gothic"/>
                <w:sz w:val="20"/>
                <w:szCs w:val="20"/>
              </w:rPr>
              <w:t>3670</w:t>
            </w:r>
            <w:r w:rsidRPr="002B5770">
              <w:rPr>
                <w:rFonts w:ascii="Century Gothic" w:hAnsi="Century Gothic"/>
                <w:sz w:val="20"/>
                <w:szCs w:val="20"/>
              </w:rPr>
              <w:t xml:space="preserve"> registros correspondientes al conjunto de organismos que integran el sector público administrativo, empresarial y fundacional. Para localizar las cuentas </w:t>
            </w:r>
            <w:r w:rsidR="00AF29AE">
              <w:rPr>
                <w:rFonts w:ascii="Century Gothic" w:hAnsi="Century Gothic"/>
                <w:sz w:val="20"/>
                <w:szCs w:val="20"/>
              </w:rPr>
              <w:t>del CEJ</w:t>
            </w:r>
            <w:r w:rsidRPr="002B5770">
              <w:rPr>
                <w:rFonts w:ascii="Century Gothic" w:hAnsi="Century Gothic"/>
                <w:sz w:val="20"/>
                <w:szCs w:val="20"/>
              </w:rPr>
              <w:t xml:space="preserve"> </w:t>
            </w:r>
            <w:r w:rsidR="00AF29AE">
              <w:rPr>
                <w:rFonts w:ascii="Century Gothic" w:hAnsi="Century Gothic"/>
                <w:sz w:val="20"/>
                <w:szCs w:val="20"/>
              </w:rPr>
              <w:t>es preciso efectuar una búsqueda</w:t>
            </w: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Informes de auditoría y fiscalización</w:t>
            </w:r>
          </w:p>
        </w:tc>
        <w:tc>
          <w:tcPr>
            <w:tcW w:w="3286"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No</w:t>
            </w:r>
          </w:p>
        </w:tc>
        <w:tc>
          <w:tcPr>
            <w:tcW w:w="3337"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 xml:space="preserve">El Portal AGE posiciona en la página </w:t>
            </w:r>
            <w:r w:rsidR="00AF29AE">
              <w:rPr>
                <w:rFonts w:ascii="Century Gothic" w:hAnsi="Century Gothic"/>
                <w:sz w:val="20"/>
                <w:szCs w:val="20"/>
              </w:rPr>
              <w:t xml:space="preserve">sobre informes de fiscalización </w:t>
            </w:r>
            <w:r w:rsidRPr="002B5770">
              <w:rPr>
                <w:rFonts w:ascii="Century Gothic" w:hAnsi="Century Gothic"/>
                <w:sz w:val="20"/>
                <w:szCs w:val="20"/>
              </w:rPr>
              <w:t>del TCU lo que obliga a efectuar una búsqueda para localizar la información</w:t>
            </w:r>
            <w:r w:rsidR="00AF29AE">
              <w:rPr>
                <w:rFonts w:ascii="Century Gothic" w:hAnsi="Century Gothic"/>
                <w:sz w:val="20"/>
                <w:szCs w:val="20"/>
              </w:rPr>
              <w:t>.</w:t>
            </w: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Retribuciones</w:t>
            </w:r>
          </w:p>
        </w:tc>
        <w:tc>
          <w:tcPr>
            <w:tcW w:w="3286" w:type="dxa"/>
          </w:tcPr>
          <w:p w:rsidR="002B5770" w:rsidRPr="002B5770" w:rsidRDefault="00AF29AE" w:rsidP="002B5770">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B5770" w:rsidRPr="002B5770" w:rsidRDefault="00AF29AE" w:rsidP="002B5770">
            <w:pPr>
              <w:pStyle w:val="Sinespaciado"/>
              <w:spacing w:line="276" w:lineRule="auto"/>
              <w:jc w:val="both"/>
              <w:rPr>
                <w:rFonts w:ascii="Century Gothic" w:hAnsi="Century Gothic"/>
                <w:sz w:val="20"/>
                <w:szCs w:val="20"/>
              </w:rPr>
            </w:pPr>
            <w:r>
              <w:rPr>
                <w:rFonts w:ascii="Century Gothic" w:hAnsi="Century Gothic"/>
                <w:sz w:val="20"/>
                <w:szCs w:val="20"/>
              </w:rPr>
              <w:t>El PTAGE solo publica información referida a altos cargos</w:t>
            </w: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Indemnizaciones percibidas por altos cargos</w:t>
            </w:r>
          </w:p>
        </w:tc>
        <w:tc>
          <w:tcPr>
            <w:tcW w:w="3286" w:type="dxa"/>
          </w:tcPr>
          <w:p w:rsidR="002B5770" w:rsidRPr="002B5770" w:rsidRDefault="00AF29AE" w:rsidP="002B5770">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B5770" w:rsidRPr="002B5770" w:rsidRDefault="00AF29AE" w:rsidP="002B5770">
            <w:pPr>
              <w:pStyle w:val="Sinespaciado"/>
              <w:spacing w:line="276" w:lineRule="auto"/>
              <w:jc w:val="both"/>
              <w:rPr>
                <w:rFonts w:ascii="Century Gothic" w:hAnsi="Century Gothic"/>
                <w:sz w:val="20"/>
                <w:szCs w:val="20"/>
              </w:rPr>
            </w:pPr>
            <w:r w:rsidRPr="00AF29AE">
              <w:rPr>
                <w:rFonts w:ascii="Century Gothic" w:hAnsi="Century Gothic"/>
                <w:sz w:val="20"/>
                <w:szCs w:val="20"/>
              </w:rPr>
              <w:t>El PTAGE solo publica información referida a altos cargos</w:t>
            </w:r>
            <w:r w:rsidR="00F40099">
              <w:rPr>
                <w:rFonts w:ascii="Century Gothic" w:hAnsi="Century Gothic"/>
                <w:sz w:val="20"/>
                <w:szCs w:val="20"/>
              </w:rPr>
              <w:t>. Por otra parte, no se informa expresamente de que no se hayan concedido indemnizaciones</w:t>
            </w: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Compatibilidades empleados</w:t>
            </w:r>
          </w:p>
        </w:tc>
        <w:tc>
          <w:tcPr>
            <w:tcW w:w="3286"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No</w:t>
            </w:r>
          </w:p>
        </w:tc>
        <w:tc>
          <w:tcPr>
            <w:tcW w:w="3337"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 xml:space="preserve">La información se ofrece  para el conjunto de Ministerios, </w:t>
            </w:r>
            <w:r w:rsidR="00AF29AE">
              <w:rPr>
                <w:rFonts w:ascii="Century Gothic" w:hAnsi="Century Gothic"/>
                <w:sz w:val="20"/>
                <w:szCs w:val="20"/>
              </w:rPr>
              <w:t xml:space="preserve">aunque es posible la búsqueda por </w:t>
            </w:r>
            <w:r w:rsidRPr="002B5770">
              <w:rPr>
                <w:rFonts w:ascii="Century Gothic" w:hAnsi="Century Gothic"/>
                <w:sz w:val="20"/>
                <w:szCs w:val="20"/>
              </w:rPr>
              <w:t xml:space="preserve"> organismo.</w:t>
            </w:r>
            <w:r w:rsidR="00F40099">
              <w:rPr>
                <w:rFonts w:ascii="Century Gothic" w:hAnsi="Century Gothic"/>
                <w:sz w:val="20"/>
                <w:szCs w:val="20"/>
              </w:rPr>
              <w:t xml:space="preserve"> La búsqueda para el CEJ no ha dado resultados.</w:t>
            </w:r>
          </w:p>
          <w:p w:rsidR="002B5770" w:rsidRDefault="002B5770" w:rsidP="00AF29AE">
            <w:pPr>
              <w:pStyle w:val="Sinespaciado"/>
              <w:spacing w:line="276" w:lineRule="auto"/>
              <w:jc w:val="both"/>
              <w:rPr>
                <w:rFonts w:ascii="Century Gothic" w:hAnsi="Century Gothic"/>
                <w:sz w:val="20"/>
                <w:szCs w:val="20"/>
              </w:rPr>
            </w:pPr>
            <w:r w:rsidRPr="002B5770">
              <w:rPr>
                <w:rFonts w:ascii="Century Gothic" w:hAnsi="Century Gothic"/>
                <w:sz w:val="20"/>
                <w:szCs w:val="20"/>
              </w:rPr>
              <w:t>En el caso de las compatibilidades con actividades privadas no es posible descargar la información en formato Excel ya que se supera el límite de 2000 registros. Por lo tanto hay que revisar 5</w:t>
            </w:r>
            <w:r w:rsidR="00AF29AE">
              <w:rPr>
                <w:rFonts w:ascii="Century Gothic" w:hAnsi="Century Gothic"/>
                <w:sz w:val="20"/>
                <w:szCs w:val="20"/>
              </w:rPr>
              <w:t>92</w:t>
            </w:r>
            <w:r w:rsidRPr="002B5770">
              <w:rPr>
                <w:rFonts w:ascii="Century Gothic" w:hAnsi="Century Gothic"/>
                <w:sz w:val="20"/>
                <w:szCs w:val="20"/>
              </w:rPr>
              <w:t xml:space="preserve"> páginas para localizar la información </w:t>
            </w:r>
            <w:r w:rsidR="00AF29AE">
              <w:rPr>
                <w:rFonts w:ascii="Century Gothic" w:hAnsi="Century Gothic"/>
                <w:sz w:val="20"/>
                <w:szCs w:val="20"/>
              </w:rPr>
              <w:t>del CEJ</w:t>
            </w:r>
            <w:r w:rsidR="00F40099">
              <w:rPr>
                <w:rFonts w:ascii="Century Gothic" w:hAnsi="Century Gothic"/>
                <w:sz w:val="20"/>
                <w:szCs w:val="20"/>
              </w:rPr>
              <w:t>.</w:t>
            </w:r>
          </w:p>
          <w:p w:rsidR="00F40099" w:rsidRPr="002B5770" w:rsidRDefault="00F40099" w:rsidP="00AF29AE">
            <w:pPr>
              <w:pStyle w:val="Sinespaciado"/>
              <w:spacing w:line="276" w:lineRule="auto"/>
              <w:jc w:val="both"/>
              <w:rPr>
                <w:rFonts w:ascii="Century Gothic" w:hAnsi="Century Gothic"/>
                <w:sz w:val="20"/>
                <w:szCs w:val="20"/>
              </w:rPr>
            </w:pPr>
            <w:r>
              <w:rPr>
                <w:rFonts w:ascii="Century Gothic" w:hAnsi="Century Gothic"/>
                <w:sz w:val="20"/>
                <w:szCs w:val="20"/>
              </w:rPr>
              <w:t>No se informa expresamente de que no existan autorizaciones de compatibilidad concedidas</w:t>
            </w: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Autorizaciones para el ejercicio de actividades privadas al cese de altos cargos</w:t>
            </w:r>
          </w:p>
        </w:tc>
        <w:tc>
          <w:tcPr>
            <w:tcW w:w="3286" w:type="dxa"/>
          </w:tcPr>
          <w:p w:rsidR="002B5770" w:rsidRPr="002B5770" w:rsidRDefault="00F40099" w:rsidP="002B5770">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B5770" w:rsidRPr="002B5770" w:rsidRDefault="00F40099" w:rsidP="00F40099">
            <w:pPr>
              <w:pStyle w:val="Sinespaciado"/>
              <w:spacing w:line="276" w:lineRule="auto"/>
              <w:jc w:val="both"/>
              <w:rPr>
                <w:rFonts w:ascii="Century Gothic" w:hAnsi="Century Gothic"/>
                <w:sz w:val="20"/>
                <w:szCs w:val="20"/>
              </w:rPr>
            </w:pPr>
            <w:r w:rsidRPr="00F40099">
              <w:rPr>
                <w:rFonts w:ascii="Century Gothic" w:hAnsi="Century Gothic"/>
                <w:sz w:val="20"/>
                <w:szCs w:val="20"/>
              </w:rPr>
              <w:t xml:space="preserve">El PTAGE solo publica información referida a altos cargos. Por otra parte, no se informa expresamente de que no se hayan concedido </w:t>
            </w:r>
            <w:r>
              <w:rPr>
                <w:rFonts w:ascii="Century Gothic" w:hAnsi="Century Gothic"/>
                <w:sz w:val="20"/>
                <w:szCs w:val="20"/>
              </w:rPr>
              <w:t>este tipo de autorizaciones</w:t>
            </w:r>
          </w:p>
        </w:tc>
      </w:tr>
      <w:tr w:rsidR="00F40099" w:rsidRPr="002B5770" w:rsidTr="002B5770">
        <w:tc>
          <w:tcPr>
            <w:tcW w:w="3339" w:type="dxa"/>
          </w:tcPr>
          <w:p w:rsidR="00F40099" w:rsidRPr="002B5770" w:rsidRDefault="00F40099" w:rsidP="002B5770">
            <w:pPr>
              <w:pStyle w:val="Sinespaciado"/>
              <w:spacing w:line="276" w:lineRule="auto"/>
              <w:jc w:val="both"/>
              <w:rPr>
                <w:rFonts w:ascii="Century Gothic" w:hAnsi="Century Gothic"/>
                <w:sz w:val="20"/>
                <w:szCs w:val="20"/>
              </w:rPr>
            </w:pPr>
            <w:r>
              <w:rPr>
                <w:rFonts w:ascii="Century Gothic" w:hAnsi="Century Gothic"/>
                <w:sz w:val="20"/>
                <w:szCs w:val="20"/>
              </w:rPr>
              <w:t>Información estadística sobre cumplimiento y calidad de los servicios que se prestan</w:t>
            </w:r>
          </w:p>
        </w:tc>
        <w:tc>
          <w:tcPr>
            <w:tcW w:w="3286" w:type="dxa"/>
          </w:tcPr>
          <w:p w:rsidR="00F40099" w:rsidRPr="002B5770" w:rsidRDefault="00F40099" w:rsidP="002B5770">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F40099" w:rsidRPr="002B5770" w:rsidRDefault="00F40099" w:rsidP="002B5770">
            <w:pPr>
              <w:pStyle w:val="Sinespaciado"/>
              <w:spacing w:line="276" w:lineRule="auto"/>
              <w:jc w:val="both"/>
              <w:rPr>
                <w:rFonts w:ascii="Century Gothic" w:hAnsi="Century Gothic"/>
                <w:sz w:val="20"/>
                <w:szCs w:val="20"/>
              </w:rPr>
            </w:pPr>
            <w:r>
              <w:rPr>
                <w:rFonts w:ascii="Century Gothic" w:hAnsi="Century Gothic"/>
                <w:sz w:val="20"/>
                <w:szCs w:val="20"/>
              </w:rPr>
              <w:t>No se publica información del CEJ entre la información del Ministerio de Justicia sobre esta obligación</w:t>
            </w:r>
          </w:p>
        </w:tc>
      </w:tr>
      <w:tr w:rsidR="002B5770" w:rsidRPr="002B5770" w:rsidTr="002B5770">
        <w:tc>
          <w:tcPr>
            <w:tcW w:w="3339"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lastRenderedPageBreak/>
              <w:t>Bienes Patrimoniales</w:t>
            </w:r>
          </w:p>
        </w:tc>
        <w:tc>
          <w:tcPr>
            <w:tcW w:w="3286" w:type="dxa"/>
          </w:tcPr>
          <w:p w:rsidR="002B5770" w:rsidRPr="002B5770" w:rsidRDefault="002B5770" w:rsidP="002B5770">
            <w:pPr>
              <w:pStyle w:val="Sinespaciado"/>
              <w:spacing w:line="276" w:lineRule="auto"/>
              <w:jc w:val="both"/>
              <w:rPr>
                <w:rFonts w:ascii="Century Gothic" w:hAnsi="Century Gothic"/>
                <w:sz w:val="20"/>
                <w:szCs w:val="20"/>
              </w:rPr>
            </w:pPr>
            <w:r w:rsidRPr="002B5770">
              <w:rPr>
                <w:rFonts w:ascii="Century Gothic" w:hAnsi="Century Gothic"/>
                <w:sz w:val="20"/>
                <w:szCs w:val="20"/>
              </w:rPr>
              <w:t>No</w:t>
            </w:r>
          </w:p>
        </w:tc>
        <w:tc>
          <w:tcPr>
            <w:tcW w:w="3337" w:type="dxa"/>
          </w:tcPr>
          <w:p w:rsidR="002B5770" w:rsidRPr="002B5770" w:rsidRDefault="002B5770" w:rsidP="00E10B74">
            <w:pPr>
              <w:pStyle w:val="Sinespaciado"/>
              <w:spacing w:line="276" w:lineRule="auto"/>
              <w:jc w:val="both"/>
              <w:rPr>
                <w:rFonts w:ascii="Century Gothic" w:hAnsi="Century Gothic"/>
                <w:sz w:val="20"/>
                <w:szCs w:val="20"/>
              </w:rPr>
            </w:pPr>
            <w:r w:rsidRPr="002B5770">
              <w:rPr>
                <w:rFonts w:ascii="Century Gothic" w:hAnsi="Century Gothic"/>
                <w:sz w:val="20"/>
                <w:szCs w:val="20"/>
              </w:rPr>
              <w:t>La información se publica para el conjunto de los Ministerios sin identificación del Ministerio y organismo al que está adscrito el inmueble</w:t>
            </w:r>
          </w:p>
        </w:tc>
      </w:tr>
    </w:tbl>
    <w:p w:rsidR="00F40099" w:rsidRDefault="00F40099" w:rsidP="00F40099">
      <w:pPr>
        <w:pStyle w:val="Sinespaciado"/>
        <w:spacing w:line="276" w:lineRule="auto"/>
        <w:jc w:val="both"/>
        <w:rPr>
          <w:rFonts w:ascii="Century Gothic" w:hAnsi="Century Gothic"/>
        </w:rPr>
      </w:pPr>
    </w:p>
    <w:p w:rsidR="00F40099" w:rsidRDefault="00F40099" w:rsidP="00F40099">
      <w:pPr>
        <w:pStyle w:val="Sinespaciado"/>
        <w:spacing w:line="276" w:lineRule="auto"/>
        <w:jc w:val="both"/>
        <w:rPr>
          <w:rFonts w:ascii="Century Gothic" w:hAnsi="Century Gothic"/>
        </w:rPr>
      </w:pPr>
      <w:r>
        <w:rPr>
          <w:rFonts w:ascii="Century Gothic" w:hAnsi="Century Gothic"/>
        </w:rPr>
        <w:t>Por lo tanto, de las 28 obligaciones de publicidad activa inicialmente aplicables al CEJ, en el Portal de Transparencia AGE se han localizado 5: un 17,8% de las informaciones obligatoria</w:t>
      </w:r>
      <w:r w:rsidR="00841DA6">
        <w:rPr>
          <w:rFonts w:ascii="Century Gothic" w:hAnsi="Century Gothic"/>
        </w:rPr>
        <w:t>, menos de las localizadas en la web del CEJ</w:t>
      </w:r>
      <w:r>
        <w:rPr>
          <w:rFonts w:ascii="Century Gothic" w:hAnsi="Century Gothic"/>
        </w:rPr>
        <w:t>.</w:t>
      </w:r>
    </w:p>
    <w:p w:rsidR="00841DA6" w:rsidRDefault="00841DA6" w:rsidP="00F40099">
      <w:pPr>
        <w:pStyle w:val="Sinespaciado"/>
        <w:spacing w:line="276" w:lineRule="auto"/>
        <w:jc w:val="both"/>
        <w:rPr>
          <w:rFonts w:ascii="Century Gothic" w:hAnsi="Century Gothic"/>
        </w:rPr>
      </w:pPr>
    </w:p>
    <w:p w:rsidR="000E7BD9" w:rsidRDefault="000E7BD9" w:rsidP="007813BE">
      <w:pPr>
        <w:spacing w:before="120" w:after="120" w:line="312" w:lineRule="auto"/>
        <w:jc w:val="both"/>
        <w:rPr>
          <w:b/>
          <w:color w:val="00642D"/>
        </w:rPr>
      </w:pPr>
      <w:r w:rsidRPr="008E224F">
        <w:rPr>
          <w:b/>
          <w:color w:val="00642D"/>
        </w:rPr>
        <w:t>Incorporación de información</w:t>
      </w:r>
    </w:p>
    <w:p w:rsidR="000E7BD9" w:rsidRDefault="000E7BD9" w:rsidP="007813BE">
      <w:pPr>
        <w:spacing w:before="120" w:after="120" w:line="312" w:lineRule="auto"/>
        <w:jc w:val="both"/>
        <w:outlineLvl w:val="1"/>
        <w:rPr>
          <w:b/>
          <w:color w:val="00642D"/>
        </w:rPr>
      </w:pPr>
      <w:r w:rsidRPr="008C6237">
        <w:rPr>
          <w:b/>
          <w:color w:val="00642D"/>
        </w:rPr>
        <w:t xml:space="preserve">Información Institucional, Organizativa y de Planificación. </w:t>
      </w:r>
    </w:p>
    <w:p w:rsidR="00533E5D" w:rsidRDefault="00111C48" w:rsidP="00111C48">
      <w:pPr>
        <w:pStyle w:val="Prrafodelista"/>
        <w:numPr>
          <w:ilvl w:val="0"/>
          <w:numId w:val="23"/>
        </w:numPr>
      </w:pPr>
      <w:r>
        <w:t>Debe publicarse información relativa al grado de cumplimiento y resultados de los planes y programas.</w:t>
      </w:r>
    </w:p>
    <w:p w:rsidR="000527D8" w:rsidRPr="00111C48" w:rsidRDefault="000527D8" w:rsidP="00111C48">
      <w:pPr>
        <w:pStyle w:val="Prrafodelista"/>
        <w:numPr>
          <w:ilvl w:val="0"/>
          <w:numId w:val="23"/>
        </w:numPr>
      </w:pPr>
      <w:r>
        <w:t>Debería enlazarse desde el Portal de Transparencia al Registro de Actividades de Tratamiento que se publica a través del enlace Protección de Datos.</w:t>
      </w:r>
    </w:p>
    <w:p w:rsidR="000E7BD9" w:rsidRDefault="000E7BD9" w:rsidP="007813BE">
      <w:pPr>
        <w:spacing w:before="120" w:after="120" w:line="312" w:lineRule="auto"/>
        <w:jc w:val="both"/>
        <w:outlineLvl w:val="1"/>
        <w:rPr>
          <w:b/>
          <w:color w:val="00642D"/>
        </w:rPr>
      </w:pPr>
      <w:r w:rsidRPr="008C6237">
        <w:rPr>
          <w:b/>
          <w:color w:val="00642D"/>
        </w:rPr>
        <w:t>Información Económica, Presupuestaria y Estadística.</w:t>
      </w:r>
    </w:p>
    <w:p w:rsidR="00111C48" w:rsidRDefault="00111C48" w:rsidP="00111C48">
      <w:pPr>
        <w:pStyle w:val="Prrafodelista"/>
        <w:numPr>
          <w:ilvl w:val="0"/>
          <w:numId w:val="23"/>
        </w:numPr>
      </w:pPr>
      <w:r>
        <w:t>Debe publicarse información sobre las modificaciones de contratos adjudicados</w:t>
      </w:r>
      <w:r w:rsidR="007B177B">
        <w:t>. Esta información solo es accesible si se publica expresamente. La Plataforma de Contratación del Sector Público no incluye las modificaciones entre los criterios de búsqueda de licitaciones.</w:t>
      </w:r>
    </w:p>
    <w:p w:rsidR="00111C48" w:rsidRDefault="007B22FB" w:rsidP="00111C48">
      <w:pPr>
        <w:pStyle w:val="Prrafodelista"/>
        <w:numPr>
          <w:ilvl w:val="0"/>
          <w:numId w:val="23"/>
        </w:numPr>
      </w:pPr>
      <w:r>
        <w:t>Debe publicarse la información estadística sobre el volumen de contratación</w:t>
      </w:r>
      <w:r w:rsidR="00785889">
        <w:t>, en términos presupuestarios y</w:t>
      </w:r>
      <w:r>
        <w:t xml:space="preserve"> según procedimiento de licitación.</w:t>
      </w:r>
    </w:p>
    <w:p w:rsidR="0048580C" w:rsidRDefault="0048580C" w:rsidP="00111C48">
      <w:pPr>
        <w:pStyle w:val="Prrafodelista"/>
        <w:numPr>
          <w:ilvl w:val="0"/>
          <w:numId w:val="23"/>
        </w:numPr>
      </w:pPr>
      <w:r>
        <w:t>Una cuestión adicional,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7B22FB" w:rsidRDefault="007B22FB" w:rsidP="00111C48">
      <w:pPr>
        <w:pStyle w:val="Prrafodelista"/>
        <w:numPr>
          <w:ilvl w:val="0"/>
          <w:numId w:val="23"/>
        </w:numPr>
      </w:pPr>
      <w:r>
        <w:t>Debe publicarse información sobre convenios</w:t>
      </w:r>
    </w:p>
    <w:p w:rsidR="007B22FB" w:rsidRDefault="007B22FB" w:rsidP="00111C48">
      <w:pPr>
        <w:pStyle w:val="Prrafodelista"/>
        <w:numPr>
          <w:ilvl w:val="0"/>
          <w:numId w:val="23"/>
        </w:numPr>
      </w:pPr>
      <w:r>
        <w:t>Debe publicarse información sobre las encomiendas de gestión</w:t>
      </w:r>
    </w:p>
    <w:p w:rsidR="007B22FB" w:rsidRDefault="007B22FB" w:rsidP="00111C48">
      <w:pPr>
        <w:pStyle w:val="Prrafodelista"/>
        <w:numPr>
          <w:ilvl w:val="0"/>
          <w:numId w:val="23"/>
        </w:numPr>
      </w:pPr>
      <w:r>
        <w:t xml:space="preserve">Debe publicarse información sobre las subcontrataciones derivadas de las encomiendas de gestión.  Esta información sólo es  obtenible si se publica expresamente ya que a partir del documento de la encomienda no es posible conocer el procedimiento de </w:t>
      </w:r>
      <w:r w:rsidR="007B177B">
        <w:t>adjudicación</w:t>
      </w:r>
      <w:r>
        <w:t xml:space="preserve"> de la </w:t>
      </w:r>
      <w:r w:rsidR="00E92361">
        <w:t>subcontratación</w:t>
      </w:r>
      <w:r>
        <w:t xml:space="preserve">, el adjudicatario y la cuantía., ítems informativos que establece la LTAIBG </w:t>
      </w:r>
      <w:r w:rsidRPr="007B22FB">
        <w:t>establece para esta obligación</w:t>
      </w:r>
      <w:r>
        <w:t>.</w:t>
      </w:r>
    </w:p>
    <w:p w:rsidR="007B177B" w:rsidRDefault="007B177B" w:rsidP="00111C48">
      <w:pPr>
        <w:pStyle w:val="Prrafodelista"/>
        <w:numPr>
          <w:ilvl w:val="0"/>
          <w:numId w:val="23"/>
        </w:numPr>
      </w:pPr>
      <w:r>
        <w:t>Debe publicarse información sobre las subvenciones o ayudas públicas concedidas.</w:t>
      </w:r>
    </w:p>
    <w:p w:rsidR="007B177B" w:rsidRDefault="007B177B" w:rsidP="00111C48">
      <w:pPr>
        <w:pStyle w:val="Prrafodelista"/>
        <w:numPr>
          <w:ilvl w:val="0"/>
          <w:numId w:val="23"/>
        </w:numPr>
      </w:pPr>
      <w:r>
        <w:t>Debería publicarse el presupuesto 2023</w:t>
      </w:r>
    </w:p>
    <w:p w:rsidR="007B177B" w:rsidRDefault="007B177B" w:rsidP="00111C48">
      <w:pPr>
        <w:pStyle w:val="Prrafodelista"/>
        <w:numPr>
          <w:ilvl w:val="0"/>
          <w:numId w:val="23"/>
        </w:numPr>
      </w:pPr>
      <w:r>
        <w:t>Debe publicarse información sobre ejecución presupuestaria</w:t>
      </w:r>
    </w:p>
    <w:p w:rsidR="007B177B" w:rsidRDefault="007B177B" w:rsidP="00111C48">
      <w:pPr>
        <w:pStyle w:val="Prrafodelista"/>
        <w:numPr>
          <w:ilvl w:val="0"/>
          <w:numId w:val="23"/>
        </w:numPr>
      </w:pPr>
      <w:r>
        <w:t>Debe publicarse información actualizada sobre las cuentas anuales.</w:t>
      </w:r>
    </w:p>
    <w:p w:rsidR="007B177B" w:rsidRDefault="007B177B" w:rsidP="00111C48">
      <w:pPr>
        <w:pStyle w:val="Prrafodelista"/>
        <w:numPr>
          <w:ilvl w:val="0"/>
          <w:numId w:val="23"/>
        </w:numPr>
      </w:pPr>
      <w:r>
        <w:t>Deben publicarse los informes de auditoría y fiscalización elaborados por el Tribunal de Cuentas.</w:t>
      </w:r>
    </w:p>
    <w:p w:rsidR="007B177B" w:rsidRDefault="007B177B" w:rsidP="00111C48">
      <w:pPr>
        <w:pStyle w:val="Prrafodelista"/>
        <w:numPr>
          <w:ilvl w:val="0"/>
          <w:numId w:val="23"/>
        </w:numPr>
      </w:pPr>
      <w:r>
        <w:lastRenderedPageBreak/>
        <w:t>Debe publicarse información sobre las retribuciones percibidas por los máximos responsables</w:t>
      </w:r>
    </w:p>
    <w:p w:rsidR="007B177B" w:rsidRDefault="007B177B" w:rsidP="00111C48">
      <w:pPr>
        <w:pStyle w:val="Prrafodelista"/>
        <w:numPr>
          <w:ilvl w:val="0"/>
          <w:numId w:val="23"/>
        </w:numPr>
      </w:pPr>
      <w:r>
        <w:t>Debe publicarse información sobre las autorizaciones de compatibilidad concedidas a empleados del CEJ.</w:t>
      </w:r>
    </w:p>
    <w:p w:rsidR="007B177B" w:rsidRDefault="007B177B" w:rsidP="00111C48">
      <w:pPr>
        <w:pStyle w:val="Prrafodelista"/>
        <w:numPr>
          <w:ilvl w:val="0"/>
          <w:numId w:val="23"/>
        </w:numPr>
      </w:pPr>
      <w:r>
        <w:t>En relación con las obligaciones indemnizaciones y autorizaciones para el ejercicio de actividades privadas tras el cese de altos cargos, debe indicarse expresamente que no existen altos cargos en la estructura del CEJ.</w:t>
      </w:r>
    </w:p>
    <w:p w:rsidR="000E7BD9" w:rsidRPr="008C6237" w:rsidRDefault="007B177B" w:rsidP="00785889">
      <w:pPr>
        <w:rPr>
          <w:b/>
          <w:color w:val="00642D"/>
        </w:rPr>
      </w:pPr>
      <w:r>
        <w:t xml:space="preserve"> </w:t>
      </w:r>
      <w:r w:rsidR="000E7BD9" w:rsidRPr="008C6237">
        <w:rPr>
          <w:b/>
          <w:color w:val="00642D"/>
        </w:rPr>
        <w:t>Calidad de la Información.</w:t>
      </w:r>
    </w:p>
    <w:p w:rsidR="00533E5D" w:rsidRDefault="00533E5D" w:rsidP="007B177B">
      <w:pPr>
        <w:pStyle w:val="Prrafodelista"/>
        <w:numPr>
          <w:ilvl w:val="0"/>
          <w:numId w:val="24"/>
        </w:numPr>
        <w:jc w:val="both"/>
      </w:pPr>
      <w:r>
        <w:t>Deben incluirse referencias a la fecha en que se revisó o actualizó por última vez la información.</w:t>
      </w:r>
      <w:r w:rsidR="007B177B">
        <w:t xml:space="preserve"> Para ello bastaría con que esta fecha se publicase en la página inicial del Portal de Transparencia del CEJ.</w:t>
      </w:r>
    </w:p>
    <w:p w:rsidR="00533E5D" w:rsidRDefault="00533E5D" w:rsidP="007B177B">
      <w:pPr>
        <w:pStyle w:val="Prrafodelista"/>
        <w:numPr>
          <w:ilvl w:val="0"/>
          <w:numId w:val="24"/>
        </w:numPr>
        <w:jc w:val="both"/>
      </w:pPr>
      <w:r>
        <w:t xml:space="preserve">La información debe publicarse en la web </w:t>
      </w:r>
      <w:r w:rsidR="007B177B">
        <w:t>del CEJ</w:t>
      </w:r>
      <w:r>
        <w:t xml:space="preserve">, sin que quepa remisión a la publicación en el Portal de Transparencia de la AGE, ya que éste sólo debería publicar la información correspondiente a la organización central de los Ministerios, administración territorial  y  Administración General del Estado en el Exterior.  </w:t>
      </w:r>
    </w:p>
    <w:p w:rsidR="00533E5D" w:rsidRDefault="00533E5D" w:rsidP="008F5FE3">
      <w:pPr>
        <w:pStyle w:val="Prrafodelista"/>
        <w:numPr>
          <w:ilvl w:val="0"/>
          <w:numId w:val="24"/>
        </w:numPr>
        <w:jc w:val="both"/>
      </w:pPr>
      <w:r>
        <w:t>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533E5D" w:rsidRDefault="00533E5D" w:rsidP="008F5FE3">
      <w:pPr>
        <w:pStyle w:val="Prrafodelista"/>
        <w:numPr>
          <w:ilvl w:val="0"/>
          <w:numId w:val="24"/>
        </w:numPr>
        <w:jc w:val="both"/>
      </w:pPr>
      <w:r>
        <w:t xml:space="preserve">Se </w:t>
      </w:r>
      <w:r w:rsidR="008F5FE3">
        <w:t>reitera la recomendación de</w:t>
      </w:r>
      <w:r>
        <w:t xml:space="preserve"> que en el caso de que no hubiera información que publicar, se señale expresamente esta circunstancia.</w:t>
      </w:r>
    </w:p>
    <w:p w:rsidR="00805B05" w:rsidRDefault="00533E5D" w:rsidP="008F5FE3">
      <w:pPr>
        <w:pStyle w:val="Prrafodelista"/>
        <w:numPr>
          <w:ilvl w:val="0"/>
          <w:numId w:val="24"/>
        </w:numPr>
        <w:jc w:val="both"/>
      </w:pPr>
      <w:r>
        <w:t xml:space="preserve">La información debe publicarse en formatos reutilizables según lo dispuesto por la Ley 17/2007, de reutilización de la información del sector público, proporcionando los documentos en formato abierto y legible por máquina y conjuntamente con sus metadatos. </w:t>
      </w:r>
      <w:r w:rsidR="008F5FE3">
        <w:t>Al menos, la información publicada debería permitir su edición (copiar y pegar)</w:t>
      </w:r>
      <w:r>
        <w:t>.</w:t>
      </w:r>
    </w:p>
    <w:p w:rsidR="001856FA" w:rsidRDefault="000E7BD9" w:rsidP="00B60213">
      <w:pPr>
        <w:jc w:val="right"/>
      </w:pPr>
      <w:r>
        <w:t xml:space="preserve">Madrid, </w:t>
      </w:r>
      <w:r w:rsidR="00785889">
        <w:t>abril</w:t>
      </w:r>
      <w:r w:rsidR="008F5FE3">
        <w:t xml:space="preserve"> </w:t>
      </w:r>
      <w:r>
        <w:t>de 202</w:t>
      </w:r>
      <w:r w:rsidR="00720BFF">
        <w:t>3</w:t>
      </w:r>
    </w:p>
    <w:p w:rsidR="001856FA" w:rsidRDefault="001856FA" w:rsidP="00B60213">
      <w:pPr>
        <w:jc w:val="right"/>
      </w:pPr>
    </w:p>
    <w:p w:rsidR="00CA4FB1" w:rsidRDefault="00CA4FB1" w:rsidP="00B60213">
      <w:pPr>
        <w:jc w:val="right"/>
      </w:pPr>
      <w:r>
        <w:br w:type="page"/>
      </w:r>
    </w:p>
    <w:p w:rsidR="00CA4FB1" w:rsidRPr="00CA4FB1" w:rsidRDefault="009473CC"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 xml:space="preserve">Se obliga su publicación por la </w:t>
            </w:r>
            <w:proofErr w:type="spellStart"/>
            <w:r w:rsidRPr="00CA4FB1">
              <w:rPr>
                <w:rFonts w:eastAsia="Times New Roman" w:cs="Calibri"/>
                <w:color w:val="000000"/>
                <w:sz w:val="16"/>
                <w:szCs w:val="16"/>
              </w:rPr>
              <w:t>Ley19</w:t>
            </w:r>
            <w:proofErr w:type="spellEnd"/>
            <w:r w:rsidRPr="00CA4FB1">
              <w:rPr>
                <w:rFonts w:eastAsia="Times New Roman" w:cs="Calibri"/>
                <w:color w:val="000000"/>
                <w:sz w:val="16"/>
                <w:szCs w:val="16"/>
              </w:rPr>
              <w:t>/21013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77B" w:rsidRDefault="007B177B" w:rsidP="00932008">
      <w:pPr>
        <w:spacing w:after="0" w:line="240" w:lineRule="auto"/>
      </w:pPr>
      <w:r>
        <w:separator/>
      </w:r>
    </w:p>
  </w:endnote>
  <w:endnote w:type="continuationSeparator" w:id="0">
    <w:p w:rsidR="007B177B" w:rsidRDefault="007B177B"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7B" w:rsidRDefault="007B17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7B" w:rsidRDefault="007B177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7B" w:rsidRDefault="007B17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77B" w:rsidRDefault="007B177B" w:rsidP="00932008">
      <w:pPr>
        <w:spacing w:after="0" w:line="240" w:lineRule="auto"/>
      </w:pPr>
      <w:r>
        <w:separator/>
      </w:r>
    </w:p>
  </w:footnote>
  <w:footnote w:type="continuationSeparator" w:id="0">
    <w:p w:rsidR="007B177B" w:rsidRDefault="007B177B"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7B" w:rsidRDefault="007B177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7B" w:rsidRDefault="007B177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7B" w:rsidRDefault="007B177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53"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83F3E88"/>
    <w:multiLevelType w:val="hybridMultilevel"/>
    <w:tmpl w:val="66CE8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14139A7"/>
    <w:multiLevelType w:val="hybridMultilevel"/>
    <w:tmpl w:val="099265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21726DA"/>
    <w:multiLevelType w:val="hybridMultilevel"/>
    <w:tmpl w:val="77B6EF1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D561A37"/>
    <w:multiLevelType w:val="hybridMultilevel"/>
    <w:tmpl w:val="DE3E83E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4405967"/>
    <w:multiLevelType w:val="hybridMultilevel"/>
    <w:tmpl w:val="2A2AEC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507F6E"/>
    <w:multiLevelType w:val="hybridMultilevel"/>
    <w:tmpl w:val="E6C0FF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996485D"/>
    <w:multiLevelType w:val="hybridMultilevel"/>
    <w:tmpl w:val="0932043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C300C4E"/>
    <w:multiLevelType w:val="hybridMultilevel"/>
    <w:tmpl w:val="7ECE110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
  </w:num>
  <w:num w:numId="4">
    <w:abstractNumId w:val="20"/>
  </w:num>
  <w:num w:numId="5">
    <w:abstractNumId w:val="10"/>
  </w:num>
  <w:num w:numId="6">
    <w:abstractNumId w:val="24"/>
  </w:num>
  <w:num w:numId="7">
    <w:abstractNumId w:val="5"/>
  </w:num>
  <w:num w:numId="8">
    <w:abstractNumId w:val="0"/>
  </w:num>
  <w:num w:numId="9">
    <w:abstractNumId w:val="14"/>
  </w:num>
  <w:num w:numId="10">
    <w:abstractNumId w:val="8"/>
  </w:num>
  <w:num w:numId="11">
    <w:abstractNumId w:val="2"/>
  </w:num>
  <w:num w:numId="12">
    <w:abstractNumId w:val="19"/>
  </w:num>
  <w:num w:numId="13">
    <w:abstractNumId w:val="13"/>
  </w:num>
  <w:num w:numId="14">
    <w:abstractNumId w:val="6"/>
  </w:num>
  <w:num w:numId="15">
    <w:abstractNumId w:val="4"/>
  </w:num>
  <w:num w:numId="16">
    <w:abstractNumId w:val="9"/>
  </w:num>
  <w:num w:numId="17">
    <w:abstractNumId w:val="11"/>
  </w:num>
  <w:num w:numId="18">
    <w:abstractNumId w:val="7"/>
  </w:num>
  <w:num w:numId="19">
    <w:abstractNumId w:val="23"/>
  </w:num>
  <w:num w:numId="20">
    <w:abstractNumId w:val="12"/>
  </w:num>
  <w:num w:numId="21">
    <w:abstractNumId w:val="15"/>
  </w:num>
  <w:num w:numId="22">
    <w:abstractNumId w:val="3"/>
  </w:num>
  <w:num w:numId="23">
    <w:abstractNumId w:val="18"/>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4CAE"/>
    <w:rsid w:val="0002458D"/>
    <w:rsid w:val="000262A3"/>
    <w:rsid w:val="00026F98"/>
    <w:rsid w:val="00051072"/>
    <w:rsid w:val="000527D8"/>
    <w:rsid w:val="00085262"/>
    <w:rsid w:val="00086FE4"/>
    <w:rsid w:val="000965B3"/>
    <w:rsid w:val="000C6CFF"/>
    <w:rsid w:val="000D60D5"/>
    <w:rsid w:val="000E7BD9"/>
    <w:rsid w:val="00102733"/>
    <w:rsid w:val="001034F4"/>
    <w:rsid w:val="00106F9B"/>
    <w:rsid w:val="00111C48"/>
    <w:rsid w:val="001266B1"/>
    <w:rsid w:val="001561A4"/>
    <w:rsid w:val="00171B47"/>
    <w:rsid w:val="0018286E"/>
    <w:rsid w:val="001856FA"/>
    <w:rsid w:val="00192381"/>
    <w:rsid w:val="001B29CB"/>
    <w:rsid w:val="001C6671"/>
    <w:rsid w:val="001D51F2"/>
    <w:rsid w:val="00214EA3"/>
    <w:rsid w:val="0026343A"/>
    <w:rsid w:val="00287B6A"/>
    <w:rsid w:val="002A154B"/>
    <w:rsid w:val="002A433B"/>
    <w:rsid w:val="002B47F9"/>
    <w:rsid w:val="002B5770"/>
    <w:rsid w:val="003064D3"/>
    <w:rsid w:val="003506AE"/>
    <w:rsid w:val="00367BA1"/>
    <w:rsid w:val="00371F01"/>
    <w:rsid w:val="0039670C"/>
    <w:rsid w:val="003B7344"/>
    <w:rsid w:val="003C2564"/>
    <w:rsid w:val="003D4140"/>
    <w:rsid w:val="003D53D6"/>
    <w:rsid w:val="003F271E"/>
    <w:rsid w:val="003F2B13"/>
    <w:rsid w:val="003F38B1"/>
    <w:rsid w:val="003F572A"/>
    <w:rsid w:val="003F7718"/>
    <w:rsid w:val="004205D2"/>
    <w:rsid w:val="00443391"/>
    <w:rsid w:val="00457DBB"/>
    <w:rsid w:val="00474BA6"/>
    <w:rsid w:val="0048580C"/>
    <w:rsid w:val="004A5142"/>
    <w:rsid w:val="004A75BA"/>
    <w:rsid w:val="004D554D"/>
    <w:rsid w:val="004F2655"/>
    <w:rsid w:val="004F26E1"/>
    <w:rsid w:val="00501AE1"/>
    <w:rsid w:val="00517E76"/>
    <w:rsid w:val="00521DA9"/>
    <w:rsid w:val="00533927"/>
    <w:rsid w:val="00533E5D"/>
    <w:rsid w:val="00544E0C"/>
    <w:rsid w:val="00561402"/>
    <w:rsid w:val="0057532F"/>
    <w:rsid w:val="00585B10"/>
    <w:rsid w:val="005B19E4"/>
    <w:rsid w:val="005C5AF1"/>
    <w:rsid w:val="005F29B8"/>
    <w:rsid w:val="006273F9"/>
    <w:rsid w:val="00633B29"/>
    <w:rsid w:val="00664F79"/>
    <w:rsid w:val="00671D67"/>
    <w:rsid w:val="006A2766"/>
    <w:rsid w:val="006D0755"/>
    <w:rsid w:val="006E5667"/>
    <w:rsid w:val="006F0B7E"/>
    <w:rsid w:val="00710031"/>
    <w:rsid w:val="00714F6C"/>
    <w:rsid w:val="00720BFF"/>
    <w:rsid w:val="00743756"/>
    <w:rsid w:val="007641F8"/>
    <w:rsid w:val="007813BE"/>
    <w:rsid w:val="00785889"/>
    <w:rsid w:val="007942B9"/>
    <w:rsid w:val="00794A63"/>
    <w:rsid w:val="007B0F99"/>
    <w:rsid w:val="007B177B"/>
    <w:rsid w:val="007B22FB"/>
    <w:rsid w:val="007D128D"/>
    <w:rsid w:val="00805B05"/>
    <w:rsid w:val="00814B59"/>
    <w:rsid w:val="0083507A"/>
    <w:rsid w:val="00841DA6"/>
    <w:rsid w:val="00844FA9"/>
    <w:rsid w:val="008C1E1E"/>
    <w:rsid w:val="008C1EDC"/>
    <w:rsid w:val="008D593E"/>
    <w:rsid w:val="008E43E9"/>
    <w:rsid w:val="008F5FE3"/>
    <w:rsid w:val="0090249B"/>
    <w:rsid w:val="009030BC"/>
    <w:rsid w:val="0092723A"/>
    <w:rsid w:val="00932008"/>
    <w:rsid w:val="00936A08"/>
    <w:rsid w:val="009473CC"/>
    <w:rsid w:val="009609E9"/>
    <w:rsid w:val="0096398F"/>
    <w:rsid w:val="009931FA"/>
    <w:rsid w:val="009A6FD1"/>
    <w:rsid w:val="009C6ED2"/>
    <w:rsid w:val="009D4496"/>
    <w:rsid w:val="009D672E"/>
    <w:rsid w:val="00A076F2"/>
    <w:rsid w:val="00A16228"/>
    <w:rsid w:val="00A17649"/>
    <w:rsid w:val="00A45706"/>
    <w:rsid w:val="00A51D61"/>
    <w:rsid w:val="00A625FA"/>
    <w:rsid w:val="00A90E6B"/>
    <w:rsid w:val="00AA47EF"/>
    <w:rsid w:val="00AC3BC0"/>
    <w:rsid w:val="00AD2022"/>
    <w:rsid w:val="00AE0920"/>
    <w:rsid w:val="00AF2227"/>
    <w:rsid w:val="00AF29AE"/>
    <w:rsid w:val="00B16715"/>
    <w:rsid w:val="00B40246"/>
    <w:rsid w:val="00B60213"/>
    <w:rsid w:val="00B701B7"/>
    <w:rsid w:val="00B841AE"/>
    <w:rsid w:val="00BA1093"/>
    <w:rsid w:val="00BB6799"/>
    <w:rsid w:val="00BC32CF"/>
    <w:rsid w:val="00BD4582"/>
    <w:rsid w:val="00BE6A46"/>
    <w:rsid w:val="00C01380"/>
    <w:rsid w:val="00C33A23"/>
    <w:rsid w:val="00C47AC9"/>
    <w:rsid w:val="00C5744D"/>
    <w:rsid w:val="00C65B5B"/>
    <w:rsid w:val="00C70867"/>
    <w:rsid w:val="00C80BA2"/>
    <w:rsid w:val="00CA4FB1"/>
    <w:rsid w:val="00CB5511"/>
    <w:rsid w:val="00CC2049"/>
    <w:rsid w:val="00CC43D9"/>
    <w:rsid w:val="00D04CAF"/>
    <w:rsid w:val="00D13049"/>
    <w:rsid w:val="00D523E3"/>
    <w:rsid w:val="00D96458"/>
    <w:rsid w:val="00D96F84"/>
    <w:rsid w:val="00DC6EF1"/>
    <w:rsid w:val="00DD23B9"/>
    <w:rsid w:val="00DD3611"/>
    <w:rsid w:val="00DF5F2A"/>
    <w:rsid w:val="00DF618D"/>
    <w:rsid w:val="00DF63E7"/>
    <w:rsid w:val="00E026E9"/>
    <w:rsid w:val="00E10B74"/>
    <w:rsid w:val="00E3088D"/>
    <w:rsid w:val="00E34195"/>
    <w:rsid w:val="00E36001"/>
    <w:rsid w:val="00E36211"/>
    <w:rsid w:val="00E47613"/>
    <w:rsid w:val="00E92361"/>
    <w:rsid w:val="00EC0A22"/>
    <w:rsid w:val="00EF5297"/>
    <w:rsid w:val="00F06750"/>
    <w:rsid w:val="00F14DA4"/>
    <w:rsid w:val="00F40099"/>
    <w:rsid w:val="00F47C3B"/>
    <w:rsid w:val="00F552CE"/>
    <w:rsid w:val="00F71D7D"/>
    <w:rsid w:val="00F754BF"/>
    <w:rsid w:val="00F82C4D"/>
    <w:rsid w:val="00F958AD"/>
    <w:rsid w:val="00FC0B7B"/>
    <w:rsid w:val="00FD1F79"/>
    <w:rsid w:val="00FE0FC5"/>
    <w:rsid w:val="00FF20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C0"/>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5">
    <w:name w:val="heading 5"/>
    <w:basedOn w:val="Normal"/>
    <w:next w:val="Normal"/>
    <w:link w:val="Ttulo5Car"/>
    <w:uiPriority w:val="9"/>
    <w:unhideWhenUsed/>
    <w:qFormat/>
    <w:rsid w:val="003F77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customStyle="1" w:styleId="Ttulo5Car">
    <w:name w:val="Título 5 Car"/>
    <w:basedOn w:val="Fuentedeprrafopredeter"/>
    <w:link w:val="Ttulo5"/>
    <w:uiPriority w:val="9"/>
    <w:rsid w:val="003F771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C0"/>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5">
    <w:name w:val="heading 5"/>
    <w:basedOn w:val="Normal"/>
    <w:next w:val="Normal"/>
    <w:link w:val="Ttulo5Car"/>
    <w:uiPriority w:val="9"/>
    <w:unhideWhenUsed/>
    <w:qFormat/>
    <w:rsid w:val="003F77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customStyle="1" w:styleId="Ttulo5Car">
    <w:name w:val="Título 5 Car"/>
    <w:basedOn w:val="Fuentedeprrafopredeter"/>
    <w:link w:val="Ttulo5"/>
    <w:uiPriority w:val="9"/>
    <w:rsid w:val="003F771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702AA"/>
    <w:rsid w:val="00086778"/>
    <w:rsid w:val="00122D15"/>
    <w:rsid w:val="0013771E"/>
    <w:rsid w:val="003D088C"/>
    <w:rsid w:val="00455FAE"/>
    <w:rsid w:val="004C0B34"/>
    <w:rsid w:val="004F0F28"/>
    <w:rsid w:val="004F291A"/>
    <w:rsid w:val="00716E24"/>
    <w:rsid w:val="00757B64"/>
    <w:rsid w:val="00A57441"/>
    <w:rsid w:val="00A61A5A"/>
    <w:rsid w:val="00A6729B"/>
    <w:rsid w:val="00C84F3E"/>
    <w:rsid w:val="00D17E43"/>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67BF74B-92F3-42C5-9742-5923B56E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15</Pages>
  <Words>3709</Words>
  <Characters>20405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2023-06-20T10:59:00Z</dcterms:created>
  <dcterms:modified xsi:type="dcterms:W3CDTF">2023-06-20T10:59:00Z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