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0007DA" w:rsidRDefault="007A336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007DA" w:rsidRPr="007F1D56">
                                  <w:rPr>
                                    <w:rFonts w:ascii="Century Gothic" w:hAnsi="Century Gothic"/>
                                    <w:sz w:val="40"/>
                                    <w:szCs w:val="40"/>
                                  </w:rPr>
                                  <w:t>Informe de r</w:t>
                                </w:r>
                                <w:r w:rsidR="000007DA" w:rsidRPr="007F1D56">
                                  <w:rPr>
                                    <w:rFonts w:ascii="Century Gothic" w:hAnsi="Century Gothic"/>
                                    <w:sz w:val="40"/>
                                    <w:szCs w:val="40"/>
                                    <w:lang w:bidi="es-ES"/>
                                  </w:rPr>
                                  <w:t xml:space="preserve">evisión  del cumplimiento de las recomendaciones efectuadas por el CTBG en materia de Publicidad Activa  por parte </w:t>
                                </w:r>
                                <w:r w:rsidR="000007DA">
                                  <w:rPr>
                                    <w:rFonts w:ascii="Century Gothic" w:hAnsi="Century Gothic"/>
                                    <w:sz w:val="40"/>
                                    <w:szCs w:val="40"/>
                                    <w:lang w:bidi="es-ES"/>
                                  </w:rPr>
                                  <w:t xml:space="preserve">de la AECID </w:t>
                                </w:r>
                              </w:sdtContent>
                            </w:sdt>
                            <w:r w:rsidR="000007DA" w:rsidRPr="00196703">
                              <w:rPr>
                                <w:rFonts w:ascii="Century Gothic" w:hAnsi="Century Gothic"/>
                                <w:sz w:val="50"/>
                                <w:szCs w:val="50"/>
                              </w:rPr>
                              <w:t xml:space="preserve"> </w:t>
                            </w:r>
                            <w:bookmarkEnd w:id="0"/>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0007DA" w:rsidRDefault="000007D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la AECID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007DA" w:rsidRDefault="000007D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0007DA" w:rsidRDefault="000007D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850554" w:rsidRDefault="00850554" w:rsidP="00415DBD"/>
    <w:tbl>
      <w:tblPr>
        <w:tblStyle w:val="Tablaconcuadrcula"/>
        <w:tblW w:w="0" w:type="auto"/>
        <w:tblLook w:val="04A0" w:firstRow="1" w:lastRow="0" w:firstColumn="1" w:lastColumn="0" w:noHBand="0" w:noVBand="1"/>
      </w:tblPr>
      <w:tblGrid>
        <w:gridCol w:w="5348"/>
        <w:gridCol w:w="5348"/>
      </w:tblGrid>
      <w:tr w:rsidR="00850554" w:rsidTr="00850554">
        <w:tc>
          <w:tcPr>
            <w:tcW w:w="5348" w:type="dxa"/>
            <w:tcBorders>
              <w:top w:val="single" w:sz="4" w:space="0" w:color="auto"/>
              <w:left w:val="single" w:sz="4" w:space="0" w:color="auto"/>
              <w:bottom w:val="single" w:sz="4" w:space="0" w:color="auto"/>
              <w:right w:val="single" w:sz="4" w:space="0" w:color="auto"/>
            </w:tcBorders>
            <w:hideMark/>
          </w:tcPr>
          <w:p w:rsidR="00850554" w:rsidRDefault="00850554">
            <w:r>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850554" w:rsidRDefault="00850554">
            <w:r>
              <w:t>20/04/2023</w:t>
            </w:r>
          </w:p>
          <w:p w:rsidR="00850554" w:rsidRDefault="00850554">
            <w:r>
              <w:t>Segunda revisión: 16/05/2023</w:t>
            </w:r>
          </w:p>
        </w:tc>
      </w:tr>
    </w:tbl>
    <w:p w:rsidR="00850554" w:rsidRDefault="00850554" w:rsidP="00415DBD"/>
    <w:p w:rsidR="00850554" w:rsidRPr="00B1184C" w:rsidRDefault="00850554" w:rsidP="00415DBD"/>
    <w:p w:rsidR="0082470D" w:rsidRPr="002D27E4" w:rsidRDefault="007A336A"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E15EC7">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4D6B23">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709" w:type="dxa"/>
            <w:vAlign w:val="center"/>
          </w:tcPr>
          <w:p w:rsidR="00A249BB" w:rsidRPr="00D8386A" w:rsidRDefault="00A249BB" w:rsidP="00D8386A">
            <w:pPr>
              <w:pStyle w:val="Prrafodelista"/>
              <w:numPr>
                <w:ilvl w:val="0"/>
                <w:numId w:val="28"/>
              </w:numPr>
              <w:jc w:val="center"/>
              <w:rPr>
                <w:sz w:val="18"/>
                <w:szCs w:val="18"/>
              </w:rPr>
            </w:pPr>
          </w:p>
        </w:tc>
        <w:tc>
          <w:tcPr>
            <w:tcW w:w="2777" w:type="dxa"/>
          </w:tcPr>
          <w:p w:rsidR="00A249BB" w:rsidRPr="007465AA" w:rsidRDefault="00D8386A" w:rsidP="008918C3">
            <w:pPr>
              <w:rPr>
                <w:sz w:val="18"/>
                <w:szCs w:val="18"/>
              </w:rPr>
            </w:pPr>
            <w:r>
              <w:rPr>
                <w:sz w:val="18"/>
                <w:szCs w:val="18"/>
              </w:rPr>
              <w:t>Si</w:t>
            </w:r>
            <w:r w:rsidR="00715E7D">
              <w:rPr>
                <w:sz w:val="18"/>
                <w:szCs w:val="18"/>
              </w:rPr>
              <w:t xml:space="preserve">, </w:t>
            </w: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0F27CF" w:rsidP="001521CD">
            <w:pPr>
              <w:jc w:val="center"/>
              <w:rPr>
                <w:sz w:val="18"/>
                <w:szCs w:val="18"/>
              </w:rPr>
            </w:pPr>
            <w:r>
              <w:rPr>
                <w:sz w:val="18"/>
                <w:szCs w:val="18"/>
              </w:rPr>
              <w:t>x</w:t>
            </w:r>
          </w:p>
        </w:tc>
        <w:tc>
          <w:tcPr>
            <w:tcW w:w="2777" w:type="dxa"/>
          </w:tcPr>
          <w:p w:rsidR="00A249BB" w:rsidRPr="007465AA" w:rsidRDefault="00972AA8" w:rsidP="006A5B1C">
            <w:pPr>
              <w:rPr>
                <w:sz w:val="18"/>
                <w:szCs w:val="18"/>
              </w:rPr>
            </w:pPr>
            <w:r>
              <w:rPr>
                <w:sz w:val="18"/>
                <w:szCs w:val="18"/>
              </w:rPr>
              <w:t>No</w:t>
            </w:r>
            <w:r w:rsidR="00D8386A">
              <w:rPr>
                <w:sz w:val="18"/>
                <w:szCs w:val="18"/>
              </w:rPr>
              <w:t>. Sigue sin enlazarse desde el Portal de Transparencia a informaciones obligatorias que se localizan en otros apartados de la web de AECID.</w:t>
            </w:r>
          </w:p>
        </w:tc>
      </w:tr>
      <w:tr w:rsidR="000F27CF" w:rsidRPr="007465AA" w:rsidTr="007465AA">
        <w:tc>
          <w:tcPr>
            <w:tcW w:w="1668" w:type="dxa"/>
            <w:vMerge w:val="restart"/>
            <w:vAlign w:val="center"/>
          </w:tcPr>
          <w:p w:rsidR="000F27CF" w:rsidRPr="00E07201" w:rsidRDefault="000F27CF"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0F27CF" w:rsidRPr="000F27CF" w:rsidRDefault="000F27CF" w:rsidP="000F27CF">
            <w:pPr>
              <w:rPr>
                <w:sz w:val="18"/>
                <w:szCs w:val="18"/>
              </w:rPr>
            </w:pPr>
            <w:r w:rsidRPr="000F27CF">
              <w:rPr>
                <w:sz w:val="18"/>
                <w:szCs w:val="18"/>
              </w:rPr>
              <w:t>Grado de cumplimiento y resultados de planes y programas: publicación de los informes de seguimiento y/o evaluación</w:t>
            </w:r>
          </w:p>
        </w:tc>
        <w:tc>
          <w:tcPr>
            <w:tcW w:w="709" w:type="dxa"/>
          </w:tcPr>
          <w:p w:rsidR="000F27CF" w:rsidRPr="00D8386A" w:rsidRDefault="000F27CF" w:rsidP="00D8386A">
            <w:pPr>
              <w:pStyle w:val="Prrafodelista"/>
              <w:numPr>
                <w:ilvl w:val="0"/>
                <w:numId w:val="28"/>
              </w:numPr>
              <w:rPr>
                <w:sz w:val="18"/>
                <w:szCs w:val="18"/>
              </w:rPr>
            </w:pPr>
          </w:p>
        </w:tc>
        <w:tc>
          <w:tcPr>
            <w:tcW w:w="2777" w:type="dxa"/>
          </w:tcPr>
          <w:p w:rsidR="000F27CF" w:rsidRPr="000F27CF" w:rsidRDefault="00D8386A" w:rsidP="000F27CF">
            <w:pPr>
              <w:rPr>
                <w:sz w:val="18"/>
                <w:szCs w:val="18"/>
              </w:rPr>
            </w:pPr>
            <w:r>
              <w:rPr>
                <w:sz w:val="18"/>
                <w:szCs w:val="18"/>
              </w:rPr>
              <w:t>Si, se publica el informe de seguimiento del plan de acción 2021.</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Default="00CE29DF" w:rsidP="004D6B23">
            <w:pPr>
              <w:rPr>
                <w:sz w:val="18"/>
                <w:szCs w:val="18"/>
              </w:rPr>
            </w:pPr>
            <w:r>
              <w:rPr>
                <w:sz w:val="18"/>
                <w:szCs w:val="18"/>
              </w:rPr>
              <w:t>Indicadores de medida y valoración del grado de cumplimiento de planes y programas</w:t>
            </w:r>
          </w:p>
        </w:tc>
        <w:tc>
          <w:tcPr>
            <w:tcW w:w="709" w:type="dxa"/>
          </w:tcPr>
          <w:p w:rsidR="00CE29DF" w:rsidRPr="00D8386A" w:rsidRDefault="00CE29DF" w:rsidP="00D8386A">
            <w:pPr>
              <w:pStyle w:val="Prrafodelista"/>
              <w:numPr>
                <w:ilvl w:val="0"/>
                <w:numId w:val="28"/>
              </w:numPr>
              <w:jc w:val="center"/>
              <w:rPr>
                <w:sz w:val="18"/>
                <w:szCs w:val="18"/>
              </w:rPr>
            </w:pPr>
          </w:p>
        </w:tc>
        <w:tc>
          <w:tcPr>
            <w:tcW w:w="2777" w:type="dxa"/>
          </w:tcPr>
          <w:p w:rsidR="00CE29DF" w:rsidRDefault="00D8386A" w:rsidP="00D8386A">
            <w:pPr>
              <w:rPr>
                <w:sz w:val="18"/>
                <w:szCs w:val="18"/>
              </w:rPr>
            </w:pPr>
            <w:proofErr w:type="spellStart"/>
            <w:r>
              <w:rPr>
                <w:sz w:val="18"/>
                <w:szCs w:val="18"/>
              </w:rPr>
              <w:t>Si</w:t>
            </w:r>
            <w:proofErr w:type="spellEnd"/>
            <w:r>
              <w:rPr>
                <w:sz w:val="18"/>
                <w:szCs w:val="18"/>
              </w:rPr>
              <w:t>. Aunque no se publican indicadores como tales, la metodología de seguimiento se los planes de acción se centra en el grado de cumplimiento de las acciones programadas</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BA5833">
            <w:pPr>
              <w:rPr>
                <w:sz w:val="18"/>
                <w:szCs w:val="18"/>
              </w:rPr>
            </w:pPr>
            <w:r>
              <w:rPr>
                <w:sz w:val="18"/>
                <w:szCs w:val="18"/>
              </w:rPr>
              <w:t>Modificaciones de Contratos</w:t>
            </w:r>
          </w:p>
        </w:tc>
        <w:tc>
          <w:tcPr>
            <w:tcW w:w="709" w:type="dxa"/>
          </w:tcPr>
          <w:p w:rsidR="00CE29DF" w:rsidRPr="007465AA" w:rsidRDefault="00CE29DF" w:rsidP="001521CD">
            <w:pPr>
              <w:jc w:val="center"/>
              <w:rPr>
                <w:sz w:val="18"/>
                <w:szCs w:val="18"/>
              </w:rPr>
            </w:pPr>
          </w:p>
        </w:tc>
        <w:tc>
          <w:tcPr>
            <w:tcW w:w="2777" w:type="dxa"/>
          </w:tcPr>
          <w:p w:rsidR="00CE29DF" w:rsidRPr="007465AA" w:rsidRDefault="00CE29DF" w:rsidP="00E12CB4">
            <w:pPr>
              <w:rPr>
                <w:sz w:val="18"/>
                <w:szCs w:val="18"/>
              </w:rPr>
            </w:pPr>
            <w:r>
              <w:rPr>
                <w:sz w:val="18"/>
                <w:szCs w:val="18"/>
              </w:rPr>
              <w:t xml:space="preserve">No. </w:t>
            </w:r>
            <w:r w:rsidR="00E12CB4">
              <w:rPr>
                <w:sz w:val="18"/>
                <w:szCs w:val="18"/>
              </w:rPr>
              <w:t>Como ya se indicó en la evaluación 2022, l</w:t>
            </w:r>
            <w:r>
              <w:rPr>
                <w:sz w:val="18"/>
                <w:szCs w:val="18"/>
              </w:rPr>
              <w:t>a Plataforma de Contratación del Sector Público no incluye las modificaciones entre los criterios de búsqueda de licitaciones.</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857C55">
            <w:pPr>
              <w:rPr>
                <w:sz w:val="18"/>
                <w:szCs w:val="18"/>
              </w:rPr>
            </w:pPr>
            <w:r>
              <w:rPr>
                <w:sz w:val="18"/>
                <w:szCs w:val="18"/>
              </w:rPr>
              <w:t>Estadísticas sobre contratos</w:t>
            </w:r>
          </w:p>
        </w:tc>
        <w:tc>
          <w:tcPr>
            <w:tcW w:w="709" w:type="dxa"/>
          </w:tcPr>
          <w:p w:rsidR="00CE29DF" w:rsidRPr="00E11FBC" w:rsidRDefault="00CE29DF" w:rsidP="00E11FBC">
            <w:pPr>
              <w:ind w:left="360"/>
              <w:jc w:val="center"/>
              <w:rPr>
                <w:sz w:val="18"/>
                <w:szCs w:val="18"/>
              </w:rPr>
            </w:pPr>
          </w:p>
        </w:tc>
        <w:tc>
          <w:tcPr>
            <w:tcW w:w="2777" w:type="dxa"/>
          </w:tcPr>
          <w:p w:rsidR="00CE29DF" w:rsidRDefault="00CE29DF" w:rsidP="00C1049E">
            <w:pPr>
              <w:rPr>
                <w:sz w:val="18"/>
                <w:szCs w:val="18"/>
              </w:rPr>
            </w:pPr>
            <w:r>
              <w:rPr>
                <w:sz w:val="18"/>
                <w:szCs w:val="18"/>
              </w:rPr>
              <w:t>No</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C1049E">
            <w:pPr>
              <w:rPr>
                <w:sz w:val="18"/>
                <w:szCs w:val="18"/>
              </w:rPr>
            </w:pPr>
            <w:r w:rsidRPr="007465AA">
              <w:rPr>
                <w:sz w:val="18"/>
                <w:szCs w:val="18"/>
              </w:rPr>
              <w:t>Convenios</w:t>
            </w:r>
          </w:p>
        </w:tc>
        <w:tc>
          <w:tcPr>
            <w:tcW w:w="709" w:type="dxa"/>
          </w:tcPr>
          <w:p w:rsidR="00CE29DF" w:rsidRPr="00E11FBC" w:rsidRDefault="00CE29DF" w:rsidP="00E11FBC">
            <w:pPr>
              <w:ind w:left="360"/>
              <w:jc w:val="center"/>
              <w:rPr>
                <w:sz w:val="18"/>
                <w:szCs w:val="18"/>
              </w:rPr>
            </w:pPr>
          </w:p>
        </w:tc>
        <w:tc>
          <w:tcPr>
            <w:tcW w:w="2777" w:type="dxa"/>
          </w:tcPr>
          <w:p w:rsidR="00CE29DF" w:rsidRPr="007465AA" w:rsidRDefault="00CE29DF" w:rsidP="00857C55">
            <w:pPr>
              <w:rPr>
                <w:sz w:val="18"/>
                <w:szCs w:val="18"/>
              </w:rPr>
            </w:pPr>
            <w:r>
              <w:rPr>
                <w:sz w:val="18"/>
                <w:szCs w:val="18"/>
              </w:rPr>
              <w:t xml:space="preserve">No. </w:t>
            </w:r>
            <w:r w:rsidR="00855C3A">
              <w:rPr>
                <w:sz w:val="18"/>
                <w:szCs w:val="18"/>
              </w:rPr>
              <w:t>El enlace publicado en el apartado convenios redirige al buscador del BOE</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Pr>
                <w:sz w:val="18"/>
                <w:szCs w:val="18"/>
              </w:rPr>
              <w:t>Presupuesto</w:t>
            </w:r>
          </w:p>
        </w:tc>
        <w:tc>
          <w:tcPr>
            <w:tcW w:w="709" w:type="dxa"/>
          </w:tcPr>
          <w:p w:rsidR="00CE29DF" w:rsidRPr="00855C3A" w:rsidRDefault="00CE29DF" w:rsidP="00855C3A">
            <w:pPr>
              <w:pStyle w:val="Prrafodelista"/>
              <w:numPr>
                <w:ilvl w:val="0"/>
                <w:numId w:val="28"/>
              </w:numPr>
              <w:jc w:val="center"/>
              <w:rPr>
                <w:sz w:val="18"/>
                <w:szCs w:val="18"/>
              </w:rPr>
            </w:pPr>
          </w:p>
        </w:tc>
        <w:tc>
          <w:tcPr>
            <w:tcW w:w="2777" w:type="dxa"/>
          </w:tcPr>
          <w:p w:rsidR="00CE29DF" w:rsidRDefault="00855C3A" w:rsidP="00035DFF">
            <w:pPr>
              <w:rPr>
                <w:sz w:val="18"/>
                <w:szCs w:val="18"/>
              </w:rPr>
            </w:pPr>
            <w:r>
              <w:rPr>
                <w:sz w:val="18"/>
                <w:szCs w:val="18"/>
              </w:rPr>
              <w:t>Si, se publican los presupuestos de los últimos tres ejercicios</w:t>
            </w:r>
          </w:p>
        </w:tc>
      </w:tr>
      <w:tr w:rsidR="00972AA8" w:rsidRPr="007465AA" w:rsidTr="007465AA">
        <w:tc>
          <w:tcPr>
            <w:tcW w:w="1668" w:type="dxa"/>
            <w:vMerge/>
            <w:vAlign w:val="center"/>
          </w:tcPr>
          <w:p w:rsidR="00972AA8" w:rsidRPr="007465AA" w:rsidRDefault="00972AA8" w:rsidP="001521CD">
            <w:pPr>
              <w:rPr>
                <w:sz w:val="18"/>
                <w:szCs w:val="18"/>
              </w:rPr>
            </w:pPr>
          </w:p>
        </w:tc>
        <w:tc>
          <w:tcPr>
            <w:tcW w:w="5528" w:type="dxa"/>
          </w:tcPr>
          <w:p w:rsidR="00972AA8" w:rsidRPr="007465AA" w:rsidRDefault="00972AA8" w:rsidP="001521CD">
            <w:pPr>
              <w:rPr>
                <w:sz w:val="18"/>
                <w:szCs w:val="18"/>
              </w:rPr>
            </w:pPr>
            <w:r>
              <w:rPr>
                <w:sz w:val="18"/>
                <w:szCs w:val="18"/>
              </w:rPr>
              <w:t>Ejecución presupuestaria</w:t>
            </w:r>
          </w:p>
        </w:tc>
        <w:tc>
          <w:tcPr>
            <w:tcW w:w="709" w:type="dxa"/>
          </w:tcPr>
          <w:p w:rsidR="00972AA8" w:rsidRPr="007465AA" w:rsidRDefault="00972AA8" w:rsidP="001521CD">
            <w:pPr>
              <w:jc w:val="center"/>
              <w:rPr>
                <w:sz w:val="18"/>
                <w:szCs w:val="18"/>
              </w:rPr>
            </w:pPr>
          </w:p>
        </w:tc>
        <w:tc>
          <w:tcPr>
            <w:tcW w:w="2777" w:type="dxa"/>
          </w:tcPr>
          <w:p w:rsidR="00972AA8" w:rsidRDefault="00972AA8" w:rsidP="00CE29DF">
            <w:pPr>
              <w:rPr>
                <w:sz w:val="18"/>
                <w:szCs w:val="18"/>
              </w:rPr>
            </w:pPr>
            <w:r>
              <w:rPr>
                <w:sz w:val="18"/>
                <w:szCs w:val="18"/>
              </w:rPr>
              <w:t>No</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sidRPr="007465AA">
              <w:rPr>
                <w:sz w:val="18"/>
                <w:szCs w:val="18"/>
              </w:rPr>
              <w:t xml:space="preserve">Informes de auditoría  </w:t>
            </w:r>
            <w:r w:rsidR="00E12CB4">
              <w:rPr>
                <w:sz w:val="18"/>
                <w:szCs w:val="18"/>
              </w:rPr>
              <w:t>elaborados por el Tribunal de Cuentas</w:t>
            </w:r>
          </w:p>
        </w:tc>
        <w:tc>
          <w:tcPr>
            <w:tcW w:w="709" w:type="dxa"/>
          </w:tcPr>
          <w:p w:rsidR="00CE29DF" w:rsidRPr="007465AA" w:rsidRDefault="00CE29DF" w:rsidP="001521CD">
            <w:pPr>
              <w:jc w:val="center"/>
              <w:rPr>
                <w:sz w:val="18"/>
                <w:szCs w:val="18"/>
              </w:rPr>
            </w:pPr>
          </w:p>
        </w:tc>
        <w:tc>
          <w:tcPr>
            <w:tcW w:w="2777" w:type="dxa"/>
          </w:tcPr>
          <w:p w:rsidR="00CE29DF" w:rsidRPr="007465AA" w:rsidRDefault="00CE29DF" w:rsidP="00CE29DF">
            <w:pPr>
              <w:rPr>
                <w:sz w:val="18"/>
                <w:szCs w:val="18"/>
              </w:rPr>
            </w:pPr>
            <w:r>
              <w:rPr>
                <w:sz w:val="18"/>
                <w:szCs w:val="18"/>
              </w:rPr>
              <w:t xml:space="preserve">No. </w:t>
            </w:r>
          </w:p>
        </w:tc>
      </w:tr>
      <w:tr w:rsidR="00972AA8" w:rsidRPr="007465AA" w:rsidTr="007465AA">
        <w:tc>
          <w:tcPr>
            <w:tcW w:w="1668" w:type="dxa"/>
            <w:vMerge/>
            <w:vAlign w:val="center"/>
          </w:tcPr>
          <w:p w:rsidR="00972AA8" w:rsidRPr="007465AA" w:rsidRDefault="00972AA8" w:rsidP="001521CD">
            <w:pPr>
              <w:rPr>
                <w:sz w:val="18"/>
                <w:szCs w:val="18"/>
              </w:rPr>
            </w:pPr>
          </w:p>
        </w:tc>
        <w:tc>
          <w:tcPr>
            <w:tcW w:w="5528" w:type="dxa"/>
          </w:tcPr>
          <w:p w:rsidR="00972AA8" w:rsidRPr="007465AA" w:rsidRDefault="00972AA8" w:rsidP="001521CD">
            <w:pPr>
              <w:rPr>
                <w:sz w:val="18"/>
                <w:szCs w:val="18"/>
              </w:rPr>
            </w:pPr>
            <w:r>
              <w:rPr>
                <w:sz w:val="18"/>
                <w:szCs w:val="18"/>
              </w:rPr>
              <w:t>Retribuciones altos cargos y máximos responsables</w:t>
            </w:r>
          </w:p>
        </w:tc>
        <w:tc>
          <w:tcPr>
            <w:tcW w:w="709" w:type="dxa"/>
          </w:tcPr>
          <w:p w:rsidR="00972AA8" w:rsidRPr="007465AA" w:rsidRDefault="00972AA8" w:rsidP="001521CD">
            <w:pPr>
              <w:jc w:val="center"/>
              <w:rPr>
                <w:sz w:val="18"/>
                <w:szCs w:val="18"/>
              </w:rPr>
            </w:pPr>
          </w:p>
        </w:tc>
        <w:tc>
          <w:tcPr>
            <w:tcW w:w="2777" w:type="dxa"/>
          </w:tcPr>
          <w:p w:rsidR="00972AA8" w:rsidRDefault="00972AA8" w:rsidP="001521CD">
            <w:pPr>
              <w:rPr>
                <w:sz w:val="18"/>
                <w:szCs w:val="18"/>
              </w:rPr>
            </w:pPr>
            <w:r>
              <w:rPr>
                <w:sz w:val="18"/>
                <w:szCs w:val="18"/>
              </w:rPr>
              <w:t>No</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7465AA" w:rsidRDefault="00CE29DF" w:rsidP="001521CD">
            <w:pPr>
              <w:rPr>
                <w:sz w:val="18"/>
                <w:szCs w:val="18"/>
              </w:rPr>
            </w:pPr>
            <w:r w:rsidRPr="007465AA">
              <w:rPr>
                <w:sz w:val="18"/>
                <w:szCs w:val="18"/>
              </w:rPr>
              <w:t>Indemnizaciones percibidas por Altos Cargos con ocasión del abandono del cargo</w:t>
            </w:r>
          </w:p>
        </w:tc>
        <w:tc>
          <w:tcPr>
            <w:tcW w:w="709" w:type="dxa"/>
          </w:tcPr>
          <w:p w:rsidR="00CE29DF" w:rsidRPr="007465AA" w:rsidRDefault="00CE29DF" w:rsidP="001521CD">
            <w:pPr>
              <w:jc w:val="center"/>
              <w:rPr>
                <w:sz w:val="18"/>
                <w:szCs w:val="18"/>
              </w:rPr>
            </w:pPr>
          </w:p>
        </w:tc>
        <w:tc>
          <w:tcPr>
            <w:tcW w:w="2777" w:type="dxa"/>
          </w:tcPr>
          <w:p w:rsidR="00CE29DF" w:rsidRPr="007465AA" w:rsidRDefault="00CE29DF" w:rsidP="001521CD">
            <w:pPr>
              <w:rPr>
                <w:sz w:val="18"/>
                <w:szCs w:val="18"/>
              </w:rPr>
            </w:pPr>
            <w:r>
              <w:rPr>
                <w:sz w:val="18"/>
                <w:szCs w:val="18"/>
              </w:rPr>
              <w:t>No</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1A0BD4" w:rsidRDefault="00CE29DF" w:rsidP="001521CD">
            <w:pPr>
              <w:rPr>
                <w:sz w:val="18"/>
                <w:szCs w:val="18"/>
              </w:rPr>
            </w:pPr>
            <w:r>
              <w:rPr>
                <w:sz w:val="18"/>
                <w:szCs w:val="18"/>
              </w:rPr>
              <w:t>Autorizaciones de compatibilidad concedidas a empleados: publicación en el Portal de Transparencia de la entidad</w:t>
            </w:r>
          </w:p>
        </w:tc>
        <w:tc>
          <w:tcPr>
            <w:tcW w:w="709" w:type="dxa"/>
          </w:tcPr>
          <w:p w:rsidR="00CE29DF" w:rsidRPr="007465AA" w:rsidRDefault="00CE29DF" w:rsidP="001521CD">
            <w:pPr>
              <w:jc w:val="center"/>
              <w:rPr>
                <w:sz w:val="18"/>
                <w:szCs w:val="18"/>
              </w:rPr>
            </w:pPr>
          </w:p>
        </w:tc>
        <w:tc>
          <w:tcPr>
            <w:tcW w:w="2777" w:type="dxa"/>
          </w:tcPr>
          <w:p w:rsidR="00CE29DF" w:rsidRDefault="00CE29DF" w:rsidP="00850554">
            <w:pPr>
              <w:rPr>
                <w:sz w:val="18"/>
                <w:szCs w:val="18"/>
              </w:rPr>
            </w:pPr>
            <w:r>
              <w:rPr>
                <w:sz w:val="18"/>
                <w:szCs w:val="18"/>
              </w:rPr>
              <w:t>No</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337C82" w:rsidRDefault="00CE29DF" w:rsidP="001521CD">
            <w:pPr>
              <w:rPr>
                <w:sz w:val="18"/>
                <w:szCs w:val="18"/>
              </w:rPr>
            </w:pPr>
            <w:r w:rsidRPr="001A0BD4">
              <w:rPr>
                <w:sz w:val="18"/>
                <w:szCs w:val="18"/>
              </w:rPr>
              <w:t>Autorización para actividad privada al cese de altos cargos en la AGE, CCAA o EELL</w:t>
            </w:r>
          </w:p>
        </w:tc>
        <w:tc>
          <w:tcPr>
            <w:tcW w:w="709" w:type="dxa"/>
          </w:tcPr>
          <w:p w:rsidR="00CE29DF" w:rsidRPr="007465AA" w:rsidRDefault="00CE29DF" w:rsidP="001521CD">
            <w:pPr>
              <w:jc w:val="center"/>
              <w:rPr>
                <w:sz w:val="18"/>
                <w:szCs w:val="18"/>
              </w:rPr>
            </w:pPr>
          </w:p>
        </w:tc>
        <w:tc>
          <w:tcPr>
            <w:tcW w:w="2777" w:type="dxa"/>
          </w:tcPr>
          <w:p w:rsidR="00CE29DF" w:rsidRPr="007465AA" w:rsidRDefault="00CE29DF" w:rsidP="001521CD">
            <w:pPr>
              <w:rPr>
                <w:sz w:val="18"/>
                <w:szCs w:val="18"/>
              </w:rPr>
            </w:pPr>
            <w:r>
              <w:rPr>
                <w:sz w:val="18"/>
                <w:szCs w:val="18"/>
              </w:rPr>
              <w:t>No</w:t>
            </w:r>
          </w:p>
        </w:tc>
      </w:tr>
      <w:tr w:rsidR="00CE29DF" w:rsidRPr="007465AA" w:rsidTr="007465AA">
        <w:tc>
          <w:tcPr>
            <w:tcW w:w="1668" w:type="dxa"/>
            <w:vMerge/>
            <w:vAlign w:val="center"/>
          </w:tcPr>
          <w:p w:rsidR="00CE29DF" w:rsidRPr="007465AA" w:rsidRDefault="00CE29DF" w:rsidP="001521CD">
            <w:pPr>
              <w:rPr>
                <w:sz w:val="18"/>
                <w:szCs w:val="18"/>
              </w:rPr>
            </w:pPr>
          </w:p>
        </w:tc>
        <w:tc>
          <w:tcPr>
            <w:tcW w:w="5528" w:type="dxa"/>
          </w:tcPr>
          <w:p w:rsidR="00CE29DF" w:rsidRPr="00337C82" w:rsidRDefault="00CE29DF" w:rsidP="00281234">
            <w:pPr>
              <w:rPr>
                <w:sz w:val="18"/>
                <w:szCs w:val="18"/>
              </w:rPr>
            </w:pPr>
            <w:r>
              <w:rPr>
                <w:sz w:val="18"/>
                <w:szCs w:val="18"/>
              </w:rPr>
              <w:t xml:space="preserve">Información </w:t>
            </w:r>
            <w:r w:rsidR="00281234">
              <w:rPr>
                <w:sz w:val="18"/>
                <w:szCs w:val="18"/>
              </w:rPr>
              <w:t>Patrimonial</w:t>
            </w:r>
          </w:p>
        </w:tc>
        <w:tc>
          <w:tcPr>
            <w:tcW w:w="709" w:type="dxa"/>
          </w:tcPr>
          <w:p w:rsidR="00CE29DF" w:rsidRPr="00972AA8" w:rsidRDefault="00CE29DF" w:rsidP="00972AA8">
            <w:pPr>
              <w:jc w:val="center"/>
              <w:rPr>
                <w:sz w:val="18"/>
                <w:szCs w:val="18"/>
              </w:rPr>
            </w:pPr>
          </w:p>
        </w:tc>
        <w:tc>
          <w:tcPr>
            <w:tcW w:w="2777" w:type="dxa"/>
          </w:tcPr>
          <w:p w:rsidR="00CE29DF" w:rsidRDefault="00972AA8" w:rsidP="00663F4A">
            <w:pPr>
              <w:rPr>
                <w:sz w:val="18"/>
                <w:szCs w:val="18"/>
              </w:rPr>
            </w:pPr>
            <w:r>
              <w:rPr>
                <w:sz w:val="18"/>
                <w:szCs w:val="18"/>
              </w:rPr>
              <w:t>No</w:t>
            </w:r>
            <w:r w:rsidR="00CE29DF">
              <w:rPr>
                <w:sz w:val="18"/>
                <w:szCs w:val="18"/>
              </w:rPr>
              <w:t xml:space="preserve"> </w:t>
            </w:r>
          </w:p>
        </w:tc>
      </w:tr>
      <w:tr w:rsidR="00A249BB" w:rsidRPr="007465AA" w:rsidTr="007465AA">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p>
        </w:tc>
        <w:tc>
          <w:tcPr>
            <w:tcW w:w="709"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7465AA">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709" w:type="dxa"/>
            <w:vAlign w:val="center"/>
          </w:tcPr>
          <w:p w:rsidR="00A249BB" w:rsidRPr="00715E7D" w:rsidRDefault="00A249BB" w:rsidP="000007DA">
            <w:pPr>
              <w:pStyle w:val="Prrafodelista"/>
              <w:numPr>
                <w:ilvl w:val="0"/>
                <w:numId w:val="28"/>
              </w:numPr>
              <w:rPr>
                <w:sz w:val="18"/>
                <w:szCs w:val="18"/>
              </w:rPr>
            </w:pPr>
          </w:p>
        </w:tc>
        <w:tc>
          <w:tcPr>
            <w:tcW w:w="2777" w:type="dxa"/>
          </w:tcPr>
          <w:p w:rsidR="00A249BB" w:rsidRPr="007465AA" w:rsidRDefault="000007DA" w:rsidP="001521CD">
            <w:pPr>
              <w:rPr>
                <w:sz w:val="18"/>
                <w:szCs w:val="18"/>
              </w:rPr>
            </w:pPr>
            <w:r>
              <w:rPr>
                <w:sz w:val="18"/>
                <w:szCs w:val="18"/>
              </w:rPr>
              <w:t>Si</w:t>
            </w:r>
          </w:p>
        </w:tc>
      </w:tr>
      <w:tr w:rsidR="00A249BB" w:rsidRPr="007465AA" w:rsidTr="007465AA">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709" w:type="dxa"/>
            <w:vAlign w:val="center"/>
          </w:tcPr>
          <w:p w:rsidR="00A249BB" w:rsidRPr="007465AA" w:rsidRDefault="00972AA8" w:rsidP="00281234">
            <w:pPr>
              <w:jc w:val="center"/>
              <w:rPr>
                <w:b/>
                <w:sz w:val="18"/>
                <w:szCs w:val="18"/>
              </w:rPr>
            </w:pPr>
            <w:r>
              <w:rPr>
                <w:b/>
                <w:sz w:val="18"/>
                <w:szCs w:val="18"/>
              </w:rPr>
              <w:t>16</w:t>
            </w:r>
          </w:p>
        </w:tc>
        <w:tc>
          <w:tcPr>
            <w:tcW w:w="2777" w:type="dxa"/>
          </w:tcPr>
          <w:p w:rsidR="00A249BB" w:rsidRPr="007465AA" w:rsidRDefault="00A249BB" w:rsidP="001521CD">
            <w:pPr>
              <w:rPr>
                <w:b/>
                <w:sz w:val="18"/>
                <w:szCs w:val="18"/>
              </w:rPr>
            </w:pPr>
          </w:p>
        </w:tc>
      </w:tr>
    </w:tbl>
    <w:p w:rsidR="003A1694" w:rsidRDefault="003A1694" w:rsidP="00AC4A6F"/>
    <w:p w:rsidR="00BA4354" w:rsidRDefault="00972AA8" w:rsidP="00DF56A7">
      <w:pPr>
        <w:jc w:val="both"/>
      </w:pPr>
      <w:r>
        <w:t>AECID</w:t>
      </w:r>
      <w:r w:rsidR="00281234">
        <w:t xml:space="preserve"> </w:t>
      </w:r>
      <w:r>
        <w:t xml:space="preserve">no </w:t>
      </w:r>
      <w:r w:rsidR="008B6789">
        <w:t xml:space="preserve">ha aplicado </w:t>
      </w:r>
      <w:r w:rsidR="000007DA">
        <w:t>5</w:t>
      </w:r>
      <w:r w:rsidR="00663F4A">
        <w:t xml:space="preserve"> </w:t>
      </w:r>
      <w:r w:rsidR="008B6789">
        <w:t xml:space="preserve">de las </w:t>
      </w:r>
      <w:r>
        <w:t>16</w:t>
      </w:r>
      <w:r w:rsidR="006657D5">
        <w:t xml:space="preserve"> </w:t>
      </w:r>
      <w:r w:rsidR="008B6789">
        <w:t>recomendaciones derivadas de la evaluación 2022.</w:t>
      </w:r>
    </w:p>
    <w:p w:rsidR="00FA5AFD" w:rsidRDefault="00FA5AFD"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007DA" w:rsidRPr="00F31BC3" w:rsidRDefault="000007DA"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0007DA" w:rsidRPr="00F31BC3" w:rsidRDefault="000007DA"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7"/>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972AA8" w:rsidRPr="00972AA8" w:rsidTr="00972AA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rPr>
                <w:rFonts w:eastAsia="Calibri" w:cs="Calibri"/>
                <w:sz w:val="16"/>
                <w:szCs w:val="16"/>
              </w:rPr>
            </w:pPr>
          </w:p>
        </w:tc>
        <w:tc>
          <w:tcPr>
            <w:tcW w:w="765" w:type="dxa"/>
            <w:tcBorders>
              <w:top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72AA8">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72AA8">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72AA8">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72AA8">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72AA8">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72AA8">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72AA8">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972AA8" w:rsidRPr="00972AA8" w:rsidRDefault="00972AA8" w:rsidP="00972AA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72AA8">
              <w:rPr>
                <w:rFonts w:eastAsia="Calibri" w:cs="Calibri"/>
                <w:sz w:val="16"/>
                <w:szCs w:val="16"/>
              </w:rPr>
              <w:t>Total</w:t>
            </w:r>
          </w:p>
        </w:tc>
      </w:tr>
      <w:tr w:rsidR="000007DA" w:rsidRPr="00972AA8" w:rsidTr="000007D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007DA" w:rsidRPr="00972AA8" w:rsidRDefault="000007DA" w:rsidP="00972AA8">
            <w:pPr>
              <w:spacing w:before="120" w:after="120" w:line="312" w:lineRule="auto"/>
              <w:rPr>
                <w:rFonts w:eastAsia="Calibri" w:cs="Calibri"/>
                <w:sz w:val="16"/>
                <w:szCs w:val="16"/>
              </w:rPr>
            </w:pPr>
            <w:r w:rsidRPr="00972AA8">
              <w:rPr>
                <w:rFonts w:eastAsia="Calibri" w:cs="Calibri"/>
                <w:sz w:val="16"/>
                <w:szCs w:val="16"/>
              </w:rPr>
              <w:t>Institucional, Organizativa y de Planificación</w:t>
            </w:r>
          </w:p>
        </w:tc>
        <w:tc>
          <w:tcPr>
            <w:tcW w:w="765" w:type="dxa"/>
            <w:tcBorders>
              <w:left w:val="single" w:sz="18" w:space="0" w:color="FFFFFF" w:themeColor="background1"/>
            </w:tcBorders>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100,0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100,0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100,0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100,0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100,0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90,0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55,0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92,1</w:t>
            </w:r>
          </w:p>
        </w:tc>
      </w:tr>
      <w:tr w:rsidR="000007DA" w:rsidRPr="00972AA8" w:rsidTr="000007D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007DA" w:rsidRPr="00972AA8" w:rsidRDefault="000007DA" w:rsidP="00972AA8">
            <w:pPr>
              <w:spacing w:before="120" w:after="120" w:line="312" w:lineRule="auto"/>
              <w:jc w:val="both"/>
              <w:rPr>
                <w:rFonts w:eastAsia="Calibri" w:cs="Calibri"/>
                <w:sz w:val="16"/>
                <w:szCs w:val="16"/>
              </w:rPr>
            </w:pPr>
            <w:r w:rsidRPr="00972AA8">
              <w:rPr>
                <w:rFonts w:eastAsia="Calibri" w:cs="Calibri"/>
                <w:sz w:val="16"/>
                <w:szCs w:val="16"/>
              </w:rPr>
              <w:t xml:space="preserve">De relevancia jurídica </w:t>
            </w:r>
          </w:p>
        </w:tc>
        <w:tc>
          <w:tcPr>
            <w:tcW w:w="765" w:type="dxa"/>
            <w:tcBorders>
              <w:left w:val="single" w:sz="18" w:space="0" w:color="FFFFFF" w:themeColor="background1"/>
            </w:tcBorders>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50,0</w:t>
            </w:r>
          </w:p>
        </w:tc>
        <w:tc>
          <w:tcPr>
            <w:tcW w:w="0" w:type="auto"/>
            <w:tcBorders>
              <w:left w:val="single" w:sz="18" w:space="0" w:color="FFFFFF" w:themeColor="background1"/>
            </w:tcBorders>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100,0</w:t>
            </w:r>
          </w:p>
        </w:tc>
        <w:tc>
          <w:tcPr>
            <w:tcW w:w="0" w:type="auto"/>
            <w:tcBorders>
              <w:left w:val="single" w:sz="18" w:space="0" w:color="FFFFFF" w:themeColor="background1"/>
            </w:tcBorders>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100,0</w:t>
            </w:r>
          </w:p>
        </w:tc>
        <w:tc>
          <w:tcPr>
            <w:tcW w:w="0" w:type="auto"/>
            <w:tcBorders>
              <w:left w:val="single" w:sz="18" w:space="0" w:color="FFFFFF" w:themeColor="background1"/>
            </w:tcBorders>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100,0</w:t>
            </w:r>
          </w:p>
        </w:tc>
        <w:tc>
          <w:tcPr>
            <w:tcW w:w="0" w:type="auto"/>
            <w:tcBorders>
              <w:left w:val="single" w:sz="18" w:space="0" w:color="FFFFFF" w:themeColor="background1"/>
            </w:tcBorders>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100,0</w:t>
            </w:r>
          </w:p>
        </w:tc>
        <w:tc>
          <w:tcPr>
            <w:tcW w:w="0" w:type="auto"/>
            <w:tcBorders>
              <w:left w:val="single" w:sz="18" w:space="0" w:color="FFFFFF" w:themeColor="background1"/>
            </w:tcBorders>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100,0</w:t>
            </w:r>
          </w:p>
        </w:tc>
        <w:tc>
          <w:tcPr>
            <w:tcW w:w="0" w:type="auto"/>
            <w:tcBorders>
              <w:left w:val="single" w:sz="18" w:space="0" w:color="FFFFFF" w:themeColor="background1"/>
            </w:tcBorders>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c>
          <w:tcPr>
            <w:tcW w:w="0" w:type="auto"/>
            <w:tcBorders>
              <w:left w:val="single" w:sz="18" w:space="0" w:color="FFFFFF" w:themeColor="background1"/>
            </w:tcBorders>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78,6</w:t>
            </w:r>
          </w:p>
        </w:tc>
      </w:tr>
      <w:tr w:rsidR="000007DA" w:rsidRPr="00972AA8" w:rsidTr="000007D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007DA" w:rsidRPr="00972AA8" w:rsidRDefault="000007DA" w:rsidP="00972AA8">
            <w:pPr>
              <w:spacing w:before="120" w:after="120" w:line="312" w:lineRule="auto"/>
              <w:rPr>
                <w:rFonts w:eastAsia="Calibri" w:cs="Calibri"/>
                <w:sz w:val="16"/>
                <w:szCs w:val="16"/>
              </w:rPr>
            </w:pPr>
            <w:r w:rsidRPr="00972AA8">
              <w:rPr>
                <w:rFonts w:eastAsia="Calibri" w:cs="Calibri"/>
                <w:sz w:val="16"/>
                <w:szCs w:val="16"/>
              </w:rPr>
              <w:t>Económica , Presupuestaria y Estadística</w:t>
            </w:r>
          </w:p>
        </w:tc>
        <w:tc>
          <w:tcPr>
            <w:tcW w:w="765" w:type="dxa"/>
            <w:tcBorders>
              <w:left w:val="single" w:sz="18" w:space="0" w:color="FFFFFF" w:themeColor="background1"/>
            </w:tcBorders>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52,1</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35,3</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50,0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34,1</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52,9</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47,1</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41,2</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sz w:val="16"/>
              </w:rPr>
            </w:pPr>
            <w:r w:rsidRPr="000007DA">
              <w:rPr>
                <w:sz w:val="16"/>
              </w:rPr>
              <w:t>44,7</w:t>
            </w:r>
          </w:p>
        </w:tc>
      </w:tr>
      <w:tr w:rsidR="000007DA" w:rsidRPr="00972AA8" w:rsidTr="000007D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007DA" w:rsidRPr="00972AA8" w:rsidRDefault="000007DA" w:rsidP="00972AA8">
            <w:pPr>
              <w:spacing w:before="120" w:after="120" w:line="312" w:lineRule="auto"/>
              <w:rPr>
                <w:rFonts w:eastAsia="Calibri" w:cs="Calibri"/>
                <w:sz w:val="16"/>
                <w:szCs w:val="16"/>
              </w:rPr>
            </w:pPr>
            <w:r w:rsidRPr="00972AA8">
              <w:rPr>
                <w:rFonts w:eastAsia="Calibri" w:cs="Calibri"/>
                <w:sz w:val="16"/>
                <w:szCs w:val="16"/>
              </w:rPr>
              <w:t>Información patrimonial</w:t>
            </w:r>
          </w:p>
        </w:tc>
        <w:tc>
          <w:tcPr>
            <w:tcW w:w="765" w:type="dxa"/>
            <w:tcBorders>
              <w:left w:val="single" w:sz="18" w:space="0" w:color="FFFFFF" w:themeColor="background1"/>
            </w:tcBorders>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c>
          <w:tcPr>
            <w:tcW w:w="0" w:type="auto"/>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c>
          <w:tcPr>
            <w:tcW w:w="0" w:type="auto"/>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c>
          <w:tcPr>
            <w:tcW w:w="0" w:type="auto"/>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c>
          <w:tcPr>
            <w:tcW w:w="0" w:type="auto"/>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c>
          <w:tcPr>
            <w:tcW w:w="0" w:type="auto"/>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c>
          <w:tcPr>
            <w:tcW w:w="0" w:type="auto"/>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c>
          <w:tcPr>
            <w:tcW w:w="0" w:type="auto"/>
            <w:noWrap/>
            <w:vAlign w:val="center"/>
          </w:tcPr>
          <w:p w:rsidR="000007DA" w:rsidRPr="000007DA" w:rsidRDefault="000007DA" w:rsidP="000007DA">
            <w:pPr>
              <w:jc w:val="center"/>
              <w:cnfStyle w:val="000000000000" w:firstRow="0" w:lastRow="0" w:firstColumn="0" w:lastColumn="0" w:oddVBand="0" w:evenVBand="0" w:oddHBand="0" w:evenHBand="0" w:firstRowFirstColumn="0" w:firstRowLastColumn="0" w:lastRowFirstColumn="0" w:lastRowLastColumn="0"/>
              <w:rPr>
                <w:sz w:val="16"/>
              </w:rPr>
            </w:pPr>
            <w:r w:rsidRPr="000007DA">
              <w:rPr>
                <w:sz w:val="16"/>
              </w:rPr>
              <w:t>0,0</w:t>
            </w:r>
          </w:p>
        </w:tc>
      </w:tr>
      <w:tr w:rsidR="000007DA" w:rsidRPr="00972AA8" w:rsidTr="000007D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007DA" w:rsidRPr="00972AA8" w:rsidRDefault="000007DA" w:rsidP="00972AA8">
            <w:pPr>
              <w:spacing w:before="120" w:after="120" w:line="312" w:lineRule="auto"/>
              <w:jc w:val="center"/>
              <w:rPr>
                <w:rFonts w:eastAsia="Calibri" w:cs="Calibri"/>
                <w:i/>
                <w:sz w:val="16"/>
                <w:szCs w:val="16"/>
              </w:rPr>
            </w:pPr>
            <w:r w:rsidRPr="00972AA8">
              <w:rPr>
                <w:rFonts w:eastAsia="Calibri" w:cs="Calibri"/>
                <w:i/>
                <w:sz w:val="16"/>
                <w:szCs w:val="16"/>
              </w:rPr>
              <w:t>Índice de Cumplimiento de la Información Obligatoria</w:t>
            </w:r>
          </w:p>
        </w:tc>
        <w:tc>
          <w:tcPr>
            <w:tcW w:w="765" w:type="dxa"/>
            <w:tcBorders>
              <w:left w:val="single" w:sz="18" w:space="0" w:color="FFFFFF" w:themeColor="background1"/>
            </w:tcBorders>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b/>
                <w:i/>
                <w:sz w:val="16"/>
              </w:rPr>
            </w:pPr>
            <w:r w:rsidRPr="000007DA">
              <w:rPr>
                <w:b/>
                <w:i/>
                <w:sz w:val="16"/>
              </w:rPr>
              <w:t>66,7</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b/>
                <w:i/>
                <w:sz w:val="16"/>
              </w:rPr>
            </w:pPr>
            <w:r w:rsidRPr="000007DA">
              <w:rPr>
                <w:b/>
                <w:i/>
                <w:sz w:val="16"/>
              </w:rPr>
              <w:t>58,6</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b/>
                <w:i/>
                <w:sz w:val="16"/>
              </w:rPr>
            </w:pPr>
            <w:r w:rsidRPr="000007DA">
              <w:rPr>
                <w:b/>
                <w:i/>
                <w:sz w:val="16"/>
              </w:rPr>
              <w:t>67,2</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b/>
                <w:i/>
                <w:sz w:val="16"/>
              </w:rPr>
            </w:pPr>
            <w:r w:rsidRPr="000007DA">
              <w:rPr>
                <w:b/>
                <w:i/>
                <w:sz w:val="16"/>
              </w:rPr>
              <w:t>57,9</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b/>
                <w:i/>
                <w:sz w:val="16"/>
              </w:rPr>
            </w:pPr>
            <w:r w:rsidRPr="000007DA">
              <w:rPr>
                <w:b/>
                <w:i/>
                <w:sz w:val="16"/>
              </w:rPr>
              <w:t>69,0</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b/>
                <w:i/>
                <w:sz w:val="16"/>
              </w:rPr>
            </w:pPr>
            <w:r w:rsidRPr="000007DA">
              <w:rPr>
                <w:b/>
                <w:i/>
                <w:sz w:val="16"/>
              </w:rPr>
              <w:t>62,1</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b/>
                <w:i/>
                <w:sz w:val="16"/>
              </w:rPr>
            </w:pPr>
            <w:r w:rsidRPr="000007DA">
              <w:rPr>
                <w:b/>
                <w:i/>
                <w:sz w:val="16"/>
              </w:rPr>
              <w:t>43,1</w:t>
            </w:r>
          </w:p>
        </w:tc>
        <w:tc>
          <w:tcPr>
            <w:tcW w:w="0" w:type="auto"/>
            <w:noWrap/>
            <w:vAlign w:val="center"/>
          </w:tcPr>
          <w:p w:rsidR="000007DA" w:rsidRPr="000007DA" w:rsidRDefault="000007DA" w:rsidP="000007DA">
            <w:pPr>
              <w:jc w:val="center"/>
              <w:cnfStyle w:val="000000100000" w:firstRow="0" w:lastRow="0" w:firstColumn="0" w:lastColumn="0" w:oddVBand="0" w:evenVBand="0" w:oddHBand="1" w:evenHBand="0" w:firstRowFirstColumn="0" w:firstRowLastColumn="0" w:lastRowFirstColumn="0" w:lastRowLastColumn="0"/>
              <w:rPr>
                <w:b/>
                <w:i/>
                <w:sz w:val="16"/>
              </w:rPr>
            </w:pPr>
            <w:r w:rsidRPr="000007DA">
              <w:rPr>
                <w:b/>
                <w:i/>
                <w:sz w:val="16"/>
              </w:rPr>
              <w:t>60,7</w:t>
            </w:r>
          </w:p>
        </w:tc>
      </w:tr>
    </w:tbl>
    <w:p w:rsidR="00100121" w:rsidRDefault="00100121" w:rsidP="00F05E2C">
      <w:pPr>
        <w:pStyle w:val="Cuerpodelboletn"/>
        <w:rPr>
          <w:lang w:bidi="es-ES"/>
        </w:rPr>
      </w:pPr>
    </w:p>
    <w:p w:rsidR="00EB68A3" w:rsidRDefault="004061BC" w:rsidP="00F05E2C">
      <w:pPr>
        <w:pStyle w:val="Cuerpodelboletn"/>
        <w:rPr>
          <w:lang w:bidi="es-ES"/>
        </w:rPr>
      </w:pPr>
      <w:r w:rsidRPr="00E61D77">
        <w:rPr>
          <w:lang w:bidi="es-ES"/>
        </w:rPr>
        <w:t xml:space="preserve">El Índice de Cumplimiento de la Información Obligatoria (ICIO) se sitúa en el </w:t>
      </w:r>
      <w:r w:rsidR="000007DA">
        <w:rPr>
          <w:lang w:bidi="es-ES"/>
        </w:rPr>
        <w:t>60,7</w:t>
      </w:r>
      <w:r w:rsidRPr="00E61D77">
        <w:rPr>
          <w:lang w:bidi="es-ES"/>
        </w:rPr>
        <w:t>%.</w:t>
      </w:r>
      <w:r w:rsidR="00BB3652" w:rsidRPr="00E61D77">
        <w:rPr>
          <w:lang w:bidi="es-ES"/>
        </w:rPr>
        <w:t xml:space="preserve"> Respecto de 202</w:t>
      </w:r>
      <w:r w:rsidR="004413FC" w:rsidRPr="00E61D77">
        <w:rPr>
          <w:lang w:bidi="es-ES"/>
        </w:rPr>
        <w:t>2</w:t>
      </w:r>
      <w:r w:rsidR="00BB3652" w:rsidRPr="00E61D77">
        <w:rPr>
          <w:lang w:bidi="es-ES"/>
        </w:rPr>
        <w:t xml:space="preserve"> </w:t>
      </w:r>
      <w:r w:rsidR="00D95052" w:rsidRPr="00E61D77">
        <w:rPr>
          <w:lang w:bidi="es-ES"/>
        </w:rPr>
        <w:t xml:space="preserve">este nivel de cumplimiento </w:t>
      </w:r>
      <w:r w:rsidR="000007DA">
        <w:rPr>
          <w:lang w:bidi="es-ES"/>
        </w:rPr>
        <w:t>ha aumentado en 11 puntos porcentuales</w:t>
      </w:r>
      <w:r w:rsidR="00972AA8">
        <w:rPr>
          <w:lang w:bidi="es-ES"/>
        </w:rPr>
        <w:t xml:space="preserve">. </w:t>
      </w:r>
    </w:p>
    <w:p w:rsidR="00972AA8" w:rsidRDefault="00972AA8" w:rsidP="00F05E2C">
      <w:pPr>
        <w:pStyle w:val="Cuerpodelboletn"/>
        <w:sectPr w:rsidR="00972AA8"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4413FC" w:rsidRDefault="00D95052" w:rsidP="004413FC">
      <w:pPr>
        <w:pStyle w:val="Cuerpodelboletn"/>
      </w:pPr>
      <w:r>
        <w:t>E</w:t>
      </w:r>
      <w:r w:rsidR="004413FC">
        <w:t xml:space="preserve">ste CTBG </w:t>
      </w:r>
      <w:r w:rsidR="004413FC" w:rsidRPr="00BB3652">
        <w:rPr>
          <w:b/>
        </w:rPr>
        <w:t xml:space="preserve">valora </w:t>
      </w:r>
      <w:r w:rsidR="000007DA">
        <w:rPr>
          <w:b/>
        </w:rPr>
        <w:t xml:space="preserve">positivamente, </w:t>
      </w:r>
      <w:r w:rsidR="000007DA" w:rsidRPr="000007DA">
        <w:t xml:space="preserve">el esfuerzo realizado por AECID para </w:t>
      </w:r>
      <w:r w:rsidR="000007DA">
        <w:t xml:space="preserve">mejorar </w:t>
      </w:r>
      <w:r w:rsidR="000007DA" w:rsidRPr="000007DA">
        <w:t xml:space="preserve">el cumplimiento </w:t>
      </w:r>
      <w:r w:rsidR="004413FC" w:rsidRPr="000007DA">
        <w:t xml:space="preserve"> </w:t>
      </w:r>
      <w:r w:rsidR="00880290" w:rsidRPr="000007DA">
        <w:t xml:space="preserve">el </w:t>
      </w:r>
      <w:r w:rsidR="004413FC" w:rsidRPr="000007DA">
        <w:t xml:space="preserve">cumplimiento de las obligaciones de publicidad activa </w:t>
      </w:r>
      <w:r w:rsidR="000007DA">
        <w:t>– el índice de Cumplimiento ha aumentado en el 22% como consecuencia de la aplicación de poco menos de un tercio de las recomendaciones efectuadas- No obstante, todavía persiste  parte de los</w:t>
      </w:r>
      <w:r w:rsidR="004413FC">
        <w:t xml:space="preserve"> déficits evidenciados en dicha evaluación: </w:t>
      </w: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w:lastRenderedPageBreak/>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007DA" w:rsidRPr="00F31BC3" w:rsidRDefault="000007DA"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0007DA" w:rsidRPr="00F31BC3" w:rsidRDefault="000007DA"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025429" w:rsidRPr="00E61D77" w:rsidRDefault="000007DA" w:rsidP="00035DFF">
      <w:pPr>
        <w:pStyle w:val="Sinespaciado"/>
        <w:numPr>
          <w:ilvl w:val="0"/>
          <w:numId w:val="18"/>
        </w:numPr>
        <w:spacing w:line="276" w:lineRule="auto"/>
        <w:jc w:val="both"/>
        <w:rPr>
          <w:rFonts w:ascii="Century Gothic" w:hAnsi="Century Gothic"/>
        </w:rPr>
      </w:pPr>
      <w:r>
        <w:rPr>
          <w:rFonts w:ascii="Century Gothic" w:hAnsi="Century Gothic"/>
        </w:rPr>
        <w:t>Sigue publicándose información obligatoria al margen del Portal de Transparencia. Esta situación se da especialmente en relación con la información institucional y organizativa</w:t>
      </w:r>
      <w:r w:rsidR="00025429">
        <w:rPr>
          <w:rFonts w:ascii="Century Gothic" w:hAnsi="Century Gothic"/>
        </w:rPr>
        <w:t>.</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413FC" w:rsidRDefault="004413FC" w:rsidP="004413FC">
      <w:pPr>
        <w:pStyle w:val="Prrafodelista"/>
      </w:pP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numPr>
          <w:ilvl w:val="1"/>
          <w:numId w:val="20"/>
        </w:numPr>
        <w:spacing w:line="276" w:lineRule="auto"/>
        <w:jc w:val="both"/>
        <w:rPr>
          <w:rFonts w:ascii="Century Gothic" w:hAnsi="Century Gothic"/>
        </w:rPr>
      </w:pPr>
      <w:r>
        <w:rPr>
          <w:rFonts w:ascii="Century Gothic" w:hAnsi="Century Gothic"/>
        </w:rPr>
        <w:t>Las modificaciones de contratos.</w:t>
      </w:r>
    </w:p>
    <w:p w:rsidR="004413FC" w:rsidRDefault="00035DFF"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Pr>
          <w:rFonts w:ascii="Century Gothic" w:hAnsi="Century Gothic"/>
        </w:rPr>
        <w:t>a información estadística sobre contratación</w:t>
      </w:r>
      <w:r w:rsidR="00E15EC7">
        <w:rPr>
          <w:rFonts w:ascii="Century Gothic" w:hAnsi="Century Gothic"/>
        </w:rPr>
        <w:t xml:space="preserve"> </w:t>
      </w:r>
    </w:p>
    <w:p w:rsidR="00850554" w:rsidRDefault="00850554" w:rsidP="004413FC">
      <w:pPr>
        <w:pStyle w:val="Sinespaciado"/>
        <w:numPr>
          <w:ilvl w:val="1"/>
          <w:numId w:val="20"/>
        </w:numPr>
        <w:spacing w:line="276" w:lineRule="auto"/>
        <w:jc w:val="both"/>
        <w:rPr>
          <w:rFonts w:ascii="Century Gothic" w:hAnsi="Century Gothic"/>
        </w:rPr>
      </w:pPr>
      <w:r>
        <w:rPr>
          <w:rFonts w:ascii="Century Gothic" w:hAnsi="Century Gothic"/>
        </w:rPr>
        <w:t>La ejecución presupuestaria</w:t>
      </w:r>
    </w:p>
    <w:p w:rsidR="004413FC" w:rsidRDefault="00E15EC7" w:rsidP="004413FC">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004413FC" w:rsidRPr="00EE1B9B">
        <w:rPr>
          <w:rFonts w:ascii="Century Gothic" w:hAnsi="Century Gothic"/>
        </w:rPr>
        <w:t xml:space="preserve">os informes de auditoría y fiscalización elaborados por </w:t>
      </w:r>
      <w:r w:rsidR="004413FC">
        <w:rPr>
          <w:rFonts w:ascii="Century Gothic" w:hAnsi="Century Gothic"/>
        </w:rPr>
        <w:t>el Tribunal de Cuentas.</w:t>
      </w:r>
      <w:r w:rsidR="004413FC" w:rsidRPr="00EE1B9B">
        <w:rPr>
          <w:rFonts w:ascii="Century Gothic" w:hAnsi="Century Gothic"/>
        </w:rPr>
        <w:t xml:space="preserve"> </w:t>
      </w:r>
    </w:p>
    <w:p w:rsidR="00D95052" w:rsidRDefault="00D95052" w:rsidP="004413FC">
      <w:pPr>
        <w:pStyle w:val="Sinespaciado"/>
        <w:numPr>
          <w:ilvl w:val="1"/>
          <w:numId w:val="20"/>
        </w:numPr>
        <w:spacing w:line="276" w:lineRule="auto"/>
        <w:ind w:left="2127"/>
        <w:jc w:val="both"/>
        <w:rPr>
          <w:rFonts w:ascii="Century Gothic" w:hAnsi="Century Gothic"/>
        </w:rPr>
      </w:pPr>
      <w:r>
        <w:rPr>
          <w:rFonts w:ascii="Century Gothic" w:hAnsi="Century Gothic"/>
        </w:rPr>
        <w:t>Las retribuciones de los máximos responsables</w:t>
      </w:r>
      <w:r w:rsidR="00E61D77">
        <w:rPr>
          <w:rFonts w:ascii="Century Gothic" w:hAnsi="Century Gothic"/>
        </w:rPr>
        <w:t>.</w:t>
      </w:r>
    </w:p>
    <w:p w:rsidR="004413FC" w:rsidRPr="00EE1B9B"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indemnizaciones percibidas por altos cargos y máximos responsables tras el abandono del cargo</w:t>
      </w:r>
    </w:p>
    <w:p w:rsidR="00E15EC7" w:rsidRDefault="00025429" w:rsidP="004413FC">
      <w:pPr>
        <w:pStyle w:val="Sinespaciado"/>
        <w:numPr>
          <w:ilvl w:val="1"/>
          <w:numId w:val="20"/>
        </w:numPr>
        <w:spacing w:line="276" w:lineRule="auto"/>
        <w:jc w:val="both"/>
        <w:rPr>
          <w:rFonts w:ascii="Century Gothic" w:hAnsi="Century Gothic"/>
        </w:rPr>
      </w:pPr>
      <w:r>
        <w:rPr>
          <w:rFonts w:ascii="Century Gothic" w:hAnsi="Century Gothic"/>
        </w:rPr>
        <w:t>L</w:t>
      </w:r>
      <w:r w:rsidR="00E61D77">
        <w:rPr>
          <w:rFonts w:ascii="Century Gothic" w:hAnsi="Century Gothic"/>
        </w:rPr>
        <w:t>as</w:t>
      </w:r>
      <w:r w:rsidR="00E15EC7">
        <w:rPr>
          <w:rFonts w:ascii="Century Gothic" w:hAnsi="Century Gothic"/>
        </w:rPr>
        <w:t xml:space="preserve"> autorizaciones de compatibilidad concedidas a empleados </w:t>
      </w:r>
    </w:p>
    <w:p w:rsidR="00025429" w:rsidRDefault="00707ECD" w:rsidP="00117FA9">
      <w:pPr>
        <w:pStyle w:val="Sinespaciado"/>
        <w:numPr>
          <w:ilvl w:val="1"/>
          <w:numId w:val="20"/>
        </w:numPr>
        <w:spacing w:line="276" w:lineRule="auto"/>
        <w:jc w:val="both"/>
        <w:rPr>
          <w:rFonts w:ascii="Century Gothic" w:hAnsi="Century Gothic"/>
        </w:rPr>
      </w:pPr>
      <w:r w:rsidRPr="00025429">
        <w:rPr>
          <w:rFonts w:ascii="Century Gothic" w:hAnsi="Century Gothic"/>
        </w:rPr>
        <w:t>L</w:t>
      </w:r>
      <w:r w:rsidR="004413FC" w:rsidRPr="00025429">
        <w:rPr>
          <w:rFonts w:ascii="Century Gothic" w:hAnsi="Century Gothic"/>
        </w:rPr>
        <w:t>as autorizaciones para el ejercicio de actividades privadas al ceso de altos Cargos.</w:t>
      </w:r>
    </w:p>
    <w:p w:rsidR="00025429" w:rsidRDefault="00025429" w:rsidP="00117FA9">
      <w:pPr>
        <w:pStyle w:val="Sinespaciado"/>
        <w:numPr>
          <w:ilvl w:val="1"/>
          <w:numId w:val="20"/>
        </w:numPr>
        <w:spacing w:line="276" w:lineRule="auto"/>
        <w:jc w:val="both"/>
        <w:rPr>
          <w:rFonts w:ascii="Century Gothic" w:hAnsi="Century Gothic"/>
        </w:rPr>
      </w:pPr>
      <w:r>
        <w:rPr>
          <w:rFonts w:ascii="Century Gothic" w:hAnsi="Century Gothic"/>
        </w:rPr>
        <w:t>La información patrimonial</w:t>
      </w:r>
    </w:p>
    <w:p w:rsidR="00117FA9" w:rsidRPr="00025429" w:rsidRDefault="00117FA9" w:rsidP="00117FA9">
      <w:pPr>
        <w:pStyle w:val="Sinespaciado"/>
        <w:numPr>
          <w:ilvl w:val="1"/>
          <w:numId w:val="20"/>
        </w:numPr>
        <w:spacing w:line="276" w:lineRule="auto"/>
        <w:jc w:val="both"/>
        <w:rPr>
          <w:rFonts w:ascii="Century Gothic" w:hAnsi="Century Gothic"/>
        </w:rPr>
      </w:pPr>
      <w:r w:rsidRPr="0002542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025429">
        <w:rPr>
          <w:rFonts w:ascii="Century Gothic" w:hAnsi="Century Gothic"/>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02542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D1FFB" w:rsidRPr="004D1FFB" w:rsidRDefault="00310290" w:rsidP="00310290">
      <w:pPr>
        <w:pStyle w:val="Prrafodelista"/>
        <w:numPr>
          <w:ilvl w:val="1"/>
          <w:numId w:val="27"/>
        </w:numPr>
        <w:spacing w:line="276" w:lineRule="auto"/>
        <w:jc w:val="both"/>
        <w:rPr>
          <w:szCs w:val="22"/>
        </w:rPr>
      </w:pPr>
      <w:r>
        <w:rPr>
          <w:szCs w:val="22"/>
        </w:rPr>
        <w:t xml:space="preserve">Para publicar la información de algunas informaciones obligatorias se enlaza a fuentes externas, posicionando en la página inicial de la fuente correspondiente, lo que obliga a  efectuar búsquedas sucesivas hasta localizar la información. Es el caso de los convenios – se enlaza al buscador del BOE -, la subvenciones – se enlaza a la página home de la Base de Datos Nacional de Subvenciones -.  El problema que plantea esta forma de publicación es que añade una barrera adicional a la que implica el manejo de este tipo de herramientas por parte de personas no conocedoras de su funcionamiento. La accesibilidad es uno de los </w:t>
      </w:r>
      <w:r>
        <w:rPr>
          <w:szCs w:val="22"/>
        </w:rPr>
        <w:lastRenderedPageBreak/>
        <w:t>atributos aplicables a la información obligatoria, que la LTAIBG establece la LTAIBG en su artículo 5.4.</w:t>
      </w:r>
    </w:p>
    <w:p w:rsidR="004413FC" w:rsidRDefault="004413FC" w:rsidP="00850554">
      <w:pPr>
        <w:pStyle w:val="Sinespaciado"/>
        <w:numPr>
          <w:ilvl w:val="1"/>
          <w:numId w:val="27"/>
        </w:numPr>
        <w:spacing w:line="276" w:lineRule="auto"/>
        <w:jc w:val="both"/>
        <w:rPr>
          <w:rFonts w:ascii="Century Gothic" w:hAnsi="Century Gothic"/>
        </w:rPr>
      </w:pPr>
      <w:r w:rsidRPr="00EE1B9B">
        <w:rPr>
          <w:rFonts w:ascii="Century Gothic" w:hAnsi="Century Gothic"/>
        </w:rPr>
        <w:t xml:space="preserve">La información debe publicarse en la web </w:t>
      </w:r>
      <w:r w:rsidR="00E61D77">
        <w:rPr>
          <w:rFonts w:ascii="Century Gothic" w:hAnsi="Century Gothic"/>
        </w:rPr>
        <w:t xml:space="preserve">de </w:t>
      </w:r>
      <w:r w:rsidR="00025429">
        <w:rPr>
          <w:rFonts w:ascii="Century Gothic" w:hAnsi="Century Gothic"/>
        </w:rPr>
        <w:t>AECID</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4D1FFB" w:rsidRPr="004D1FFB" w:rsidRDefault="004D1FFB" w:rsidP="00850554">
      <w:pPr>
        <w:pStyle w:val="Prrafodelista"/>
        <w:numPr>
          <w:ilvl w:val="1"/>
          <w:numId w:val="27"/>
        </w:numPr>
        <w:spacing w:line="276" w:lineRule="auto"/>
        <w:jc w:val="both"/>
        <w:rPr>
          <w:szCs w:val="22"/>
        </w:rPr>
      </w:pPr>
      <w:r w:rsidRPr="004D1FFB">
        <w:rPr>
          <w:szCs w:val="22"/>
        </w:rPr>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de forma directa en la web mediante cuadros-resumen con los contenidos de información que establece la LTAIBG.</w:t>
      </w:r>
    </w:p>
    <w:p w:rsidR="00E15EC7" w:rsidRPr="00E15EC7" w:rsidRDefault="00E15EC7" w:rsidP="00850554">
      <w:pPr>
        <w:pStyle w:val="Prrafodelista"/>
        <w:numPr>
          <w:ilvl w:val="1"/>
          <w:numId w:val="27"/>
        </w:numPr>
        <w:spacing w:line="276" w:lineRule="auto"/>
        <w:rPr>
          <w:szCs w:val="22"/>
        </w:rPr>
      </w:pPr>
      <w:r w:rsidRPr="00E15EC7">
        <w:rPr>
          <w:szCs w:val="22"/>
        </w:rPr>
        <w:t>Se reitera la recomendación de que en el caso de que no hubiera información que publicar, se señale expresamente esta circunstancia.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850554">
        <w:rPr>
          <w:rFonts w:ascii="Century Gothic" w:hAnsi="Century Gothic"/>
        </w:rPr>
        <w:t>mayo</w:t>
      </w:r>
      <w:r>
        <w:rPr>
          <w:rFonts w:ascii="Century Gothic" w:hAnsi="Century Gothic"/>
        </w:rPr>
        <w:t xml:space="preserve">  de 2023</w:t>
      </w:r>
    </w:p>
    <w:p w:rsidR="00C259F4" w:rsidRDefault="00C259F4" w:rsidP="00965C69">
      <w:pPr>
        <w:pStyle w:val="Cuerpodelboletn"/>
      </w:pPr>
    </w:p>
    <w:p w:rsidR="00DC6B31" w:rsidRDefault="00DC6B31" w:rsidP="00965C69">
      <w:pPr>
        <w:pStyle w:val="Cuerpodelboletn"/>
      </w:pPr>
    </w:p>
    <w:p w:rsidR="00DC6B31" w:rsidRDefault="00DC6B31"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pPr>
    </w:p>
    <w:p w:rsidR="00025429" w:rsidRDefault="00025429" w:rsidP="00965C69">
      <w:pPr>
        <w:pStyle w:val="Cuerpodelboletn"/>
        <w:sectPr w:rsidR="00025429"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007DA" w:rsidRPr="00F31BC3" w:rsidRDefault="000007D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0007DA" w:rsidRPr="00F31BC3" w:rsidRDefault="000007D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007DA" w:rsidRPr="00F31BC3" w:rsidRDefault="000007DA"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0007DA" w:rsidRPr="00F31BC3" w:rsidRDefault="000007DA"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DA" w:rsidRDefault="000007DA" w:rsidP="00F31BC3">
      <w:r>
        <w:separator/>
      </w:r>
    </w:p>
  </w:endnote>
  <w:endnote w:type="continuationSeparator" w:id="0">
    <w:p w:rsidR="000007DA" w:rsidRDefault="000007D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DA" w:rsidRDefault="000007DA" w:rsidP="00F31BC3">
      <w:r>
        <w:separator/>
      </w:r>
    </w:p>
  </w:footnote>
  <w:footnote w:type="continuationSeparator" w:id="0">
    <w:p w:rsidR="000007DA" w:rsidRDefault="000007DA"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BD97E2A"/>
    <w:multiLevelType w:val="hybridMultilevel"/>
    <w:tmpl w:val="C9D6C0B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FD27BF7"/>
    <w:multiLevelType w:val="hybridMultilevel"/>
    <w:tmpl w:val="74F2EEC4"/>
    <w:lvl w:ilvl="0" w:tplc="0C0A0003">
      <w:start w:val="1"/>
      <w:numFmt w:val="bullet"/>
      <w:lvlText w:val="o"/>
      <w:lvlJc w:val="left"/>
      <w:pPr>
        <w:ind w:left="720" w:hanging="360"/>
      </w:pPr>
      <w:rPr>
        <w:rFonts w:ascii="Courier New" w:hAnsi="Courier New" w:cs="Courier New" w:hint="default"/>
        <w:color w:val="00B050"/>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3934485"/>
    <w:multiLevelType w:val="hybridMultilevel"/>
    <w:tmpl w:val="EE9A451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3"/>
  </w:num>
  <w:num w:numId="3">
    <w:abstractNumId w:val="11"/>
  </w:num>
  <w:num w:numId="4">
    <w:abstractNumId w:val="0"/>
  </w:num>
  <w:num w:numId="5">
    <w:abstractNumId w:val="20"/>
  </w:num>
  <w:num w:numId="6">
    <w:abstractNumId w:val="22"/>
  </w:num>
  <w:num w:numId="7">
    <w:abstractNumId w:val="17"/>
  </w:num>
  <w:num w:numId="8">
    <w:abstractNumId w:val="1"/>
  </w:num>
  <w:num w:numId="9">
    <w:abstractNumId w:val="4"/>
  </w:num>
  <w:num w:numId="10">
    <w:abstractNumId w:val="3"/>
  </w:num>
  <w:num w:numId="11">
    <w:abstractNumId w:val="25"/>
  </w:num>
  <w:num w:numId="12">
    <w:abstractNumId w:val="15"/>
  </w:num>
  <w:num w:numId="13">
    <w:abstractNumId w:val="9"/>
  </w:num>
  <w:num w:numId="14">
    <w:abstractNumId w:val="26"/>
  </w:num>
  <w:num w:numId="15">
    <w:abstractNumId w:val="2"/>
  </w:num>
  <w:num w:numId="16">
    <w:abstractNumId w:val="27"/>
  </w:num>
  <w:num w:numId="17">
    <w:abstractNumId w:val="13"/>
  </w:num>
  <w:num w:numId="18">
    <w:abstractNumId w:val="8"/>
  </w:num>
  <w:num w:numId="19">
    <w:abstractNumId w:val="7"/>
  </w:num>
  <w:num w:numId="20">
    <w:abstractNumId w:val="21"/>
  </w:num>
  <w:num w:numId="21">
    <w:abstractNumId w:val="5"/>
  </w:num>
  <w:num w:numId="22">
    <w:abstractNumId w:val="6"/>
  </w:num>
  <w:num w:numId="23">
    <w:abstractNumId w:val="14"/>
  </w:num>
  <w:num w:numId="24">
    <w:abstractNumId w:val="12"/>
  </w:num>
  <w:num w:numId="25">
    <w:abstractNumId w:val="19"/>
  </w:num>
  <w:num w:numId="26">
    <w:abstractNumId w:val="18"/>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7DA"/>
    <w:rsid w:val="0000112E"/>
    <w:rsid w:val="00006957"/>
    <w:rsid w:val="00011946"/>
    <w:rsid w:val="00016718"/>
    <w:rsid w:val="000249E8"/>
    <w:rsid w:val="00025429"/>
    <w:rsid w:val="00032D8A"/>
    <w:rsid w:val="00035DFF"/>
    <w:rsid w:val="00040AF4"/>
    <w:rsid w:val="00053A0E"/>
    <w:rsid w:val="0005642F"/>
    <w:rsid w:val="00072B7E"/>
    <w:rsid w:val="000775A5"/>
    <w:rsid w:val="00085C93"/>
    <w:rsid w:val="000A77F5"/>
    <w:rsid w:val="000D3907"/>
    <w:rsid w:val="000D5417"/>
    <w:rsid w:val="000E0A9E"/>
    <w:rsid w:val="000F0DA5"/>
    <w:rsid w:val="000F27CF"/>
    <w:rsid w:val="00100121"/>
    <w:rsid w:val="00104DE9"/>
    <w:rsid w:val="00104E94"/>
    <w:rsid w:val="001149B1"/>
    <w:rsid w:val="00117FA9"/>
    <w:rsid w:val="00132732"/>
    <w:rsid w:val="00146C3C"/>
    <w:rsid w:val="001521CD"/>
    <w:rsid w:val="00164876"/>
    <w:rsid w:val="001763F8"/>
    <w:rsid w:val="00183301"/>
    <w:rsid w:val="00186C4D"/>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81234"/>
    <w:rsid w:val="002C19B9"/>
    <w:rsid w:val="002C1DD9"/>
    <w:rsid w:val="002C41B4"/>
    <w:rsid w:val="002D0702"/>
    <w:rsid w:val="002D27E4"/>
    <w:rsid w:val="002E409F"/>
    <w:rsid w:val="002E644A"/>
    <w:rsid w:val="002F06DC"/>
    <w:rsid w:val="00310290"/>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63F4A"/>
    <w:rsid w:val="006657D5"/>
    <w:rsid w:val="0069673B"/>
    <w:rsid w:val="006A5B1C"/>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336A"/>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0554"/>
    <w:rsid w:val="008514EC"/>
    <w:rsid w:val="00853CB9"/>
    <w:rsid w:val="00855C3A"/>
    <w:rsid w:val="00857C55"/>
    <w:rsid w:val="00865E5A"/>
    <w:rsid w:val="00880290"/>
    <w:rsid w:val="00882A5B"/>
    <w:rsid w:val="008918C3"/>
    <w:rsid w:val="00891E6F"/>
    <w:rsid w:val="00894358"/>
    <w:rsid w:val="0089455A"/>
    <w:rsid w:val="00897D04"/>
    <w:rsid w:val="008A5AAE"/>
    <w:rsid w:val="008B032F"/>
    <w:rsid w:val="008B6789"/>
    <w:rsid w:val="008D6E75"/>
    <w:rsid w:val="008F2EF6"/>
    <w:rsid w:val="00902A71"/>
    <w:rsid w:val="009039FD"/>
    <w:rsid w:val="00903FE0"/>
    <w:rsid w:val="00912DB4"/>
    <w:rsid w:val="00947271"/>
    <w:rsid w:val="009654DA"/>
    <w:rsid w:val="00965C69"/>
    <w:rsid w:val="00972AA8"/>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E29DF"/>
    <w:rsid w:val="00CF21EB"/>
    <w:rsid w:val="00CF5B92"/>
    <w:rsid w:val="00D014E1"/>
    <w:rsid w:val="00D01CA1"/>
    <w:rsid w:val="00D1453D"/>
    <w:rsid w:val="00D41F4C"/>
    <w:rsid w:val="00D44BCF"/>
    <w:rsid w:val="00D45F5C"/>
    <w:rsid w:val="00D520C8"/>
    <w:rsid w:val="00D70570"/>
    <w:rsid w:val="00D8386A"/>
    <w:rsid w:val="00D848CC"/>
    <w:rsid w:val="00D9090A"/>
    <w:rsid w:val="00D95052"/>
    <w:rsid w:val="00D96084"/>
    <w:rsid w:val="00DA6660"/>
    <w:rsid w:val="00DC5B52"/>
    <w:rsid w:val="00DC6B31"/>
    <w:rsid w:val="00DD515F"/>
    <w:rsid w:val="00DF25D7"/>
    <w:rsid w:val="00DF54AF"/>
    <w:rsid w:val="00DF555F"/>
    <w:rsid w:val="00DF56A7"/>
    <w:rsid w:val="00E023B5"/>
    <w:rsid w:val="00E07201"/>
    <w:rsid w:val="00E11FBC"/>
    <w:rsid w:val="00E12CB4"/>
    <w:rsid w:val="00E15EC7"/>
    <w:rsid w:val="00E17DF6"/>
    <w:rsid w:val="00E33169"/>
    <w:rsid w:val="00E428B5"/>
    <w:rsid w:val="00E4458C"/>
    <w:rsid w:val="00E51AC4"/>
    <w:rsid w:val="00E61D77"/>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663F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7">
    <w:name w:val="Sombreado medio 2 - Énfasis 37"/>
    <w:basedOn w:val="Tablanormal"/>
    <w:next w:val="Sombreadomedio2-nfasis3"/>
    <w:uiPriority w:val="64"/>
    <w:rsid w:val="00972A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43818565">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15011A"/>
    <w:rsid w:val="001C6D11"/>
    <w:rsid w:val="00202DDA"/>
    <w:rsid w:val="00443EA4"/>
    <w:rsid w:val="0051307B"/>
    <w:rsid w:val="00583D19"/>
    <w:rsid w:val="00722728"/>
    <w:rsid w:val="00787EBD"/>
    <w:rsid w:val="007C3485"/>
    <w:rsid w:val="008E118A"/>
    <w:rsid w:val="00A104A7"/>
    <w:rsid w:val="00AB484A"/>
    <w:rsid w:val="00B54AE5"/>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97DE6-7E71-4C88-9C46-3DFDCD2B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168</TotalTime>
  <Pages>6</Pages>
  <Words>1405</Words>
  <Characters>7729</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9</cp:revision>
  <cp:lastPrinted>2008-09-26T23:14:00Z</cp:lastPrinted>
  <dcterms:created xsi:type="dcterms:W3CDTF">2023-04-19T15:26:00Z</dcterms:created>
  <dcterms:modified xsi:type="dcterms:W3CDTF">2023-06-26T11:45:00Z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