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CF3" w:rsidRDefault="00275074"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EC2CF3" w:rsidRPr="007F1D56">
                                  <w:rPr>
                                    <w:rFonts w:ascii="Century Gothic" w:hAnsi="Century Gothic"/>
                                    <w:sz w:val="40"/>
                                    <w:szCs w:val="40"/>
                                  </w:rPr>
                                  <w:t>Informe de r</w:t>
                                </w:r>
                                <w:r w:rsidR="00EC2CF3" w:rsidRPr="007F1D56">
                                  <w:rPr>
                                    <w:rFonts w:ascii="Century Gothic" w:hAnsi="Century Gothic"/>
                                    <w:sz w:val="40"/>
                                    <w:szCs w:val="40"/>
                                    <w:lang w:bidi="es-ES"/>
                                  </w:rPr>
                                  <w:t xml:space="preserve">evisión  del cumplimiento de las recomendaciones efectuadas por el CTBG en materia de Publicidad Activa  por parte </w:t>
                                </w:r>
                                <w:r w:rsidR="00EC2CF3">
                                  <w:rPr>
                                    <w:rFonts w:ascii="Century Gothic" w:hAnsi="Century Gothic"/>
                                    <w:sz w:val="40"/>
                                    <w:szCs w:val="40"/>
                                    <w:lang w:bidi="es-ES"/>
                                  </w:rPr>
                                  <w:t xml:space="preserve">de  la Autoridad Portuaria de Baleares </w:t>
                                </w:r>
                              </w:sdtContent>
                            </w:sdt>
                            <w:r w:rsidR="00EC2CF3"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EC2CF3" w:rsidRDefault="00275074"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EC2CF3" w:rsidRPr="007F1D56">
                            <w:rPr>
                              <w:rFonts w:ascii="Century Gothic" w:hAnsi="Century Gothic"/>
                              <w:sz w:val="40"/>
                              <w:szCs w:val="40"/>
                            </w:rPr>
                            <w:t>Informe de r</w:t>
                          </w:r>
                          <w:r w:rsidR="00EC2CF3" w:rsidRPr="007F1D56">
                            <w:rPr>
                              <w:rFonts w:ascii="Century Gothic" w:hAnsi="Century Gothic"/>
                              <w:sz w:val="40"/>
                              <w:szCs w:val="40"/>
                              <w:lang w:bidi="es-ES"/>
                            </w:rPr>
                            <w:t xml:space="preserve">evisión  del cumplimiento de las recomendaciones efectuadas por el CTBG en materia de Publicidad Activa  por parte </w:t>
                          </w:r>
                          <w:r w:rsidR="00EC2CF3">
                            <w:rPr>
                              <w:rFonts w:ascii="Century Gothic" w:hAnsi="Century Gothic"/>
                              <w:sz w:val="40"/>
                              <w:szCs w:val="40"/>
                              <w:lang w:bidi="es-ES"/>
                            </w:rPr>
                            <w:t xml:space="preserve">de  la Autoridad Portuaria de Baleares </w:t>
                          </w:r>
                        </w:sdtContent>
                      </w:sdt>
                      <w:r w:rsidR="00EC2CF3"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EC2CF3" w:rsidRDefault="00EC2CF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C2CF3" w:rsidRDefault="00EC2CF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275074" w:rsidRDefault="00275074" w:rsidP="00415DBD"/>
    <w:tbl>
      <w:tblPr>
        <w:tblStyle w:val="Tablaconcuadrcula1"/>
        <w:tblW w:w="0" w:type="auto"/>
        <w:tblInd w:w="0" w:type="dxa"/>
        <w:tblLook w:val="04A0" w:firstRow="1" w:lastRow="0" w:firstColumn="1" w:lastColumn="0" w:noHBand="0" w:noVBand="1"/>
      </w:tblPr>
      <w:tblGrid>
        <w:gridCol w:w="5348"/>
        <w:gridCol w:w="5348"/>
      </w:tblGrid>
      <w:tr w:rsidR="00275074" w:rsidRPr="00275074" w:rsidTr="00275074">
        <w:tc>
          <w:tcPr>
            <w:tcW w:w="5348" w:type="dxa"/>
            <w:tcBorders>
              <w:top w:val="single" w:sz="4" w:space="0" w:color="auto"/>
              <w:left w:val="single" w:sz="4" w:space="0" w:color="auto"/>
              <w:bottom w:val="single" w:sz="4" w:space="0" w:color="auto"/>
              <w:right w:val="single" w:sz="4" w:space="0" w:color="auto"/>
            </w:tcBorders>
            <w:hideMark/>
          </w:tcPr>
          <w:p w:rsidR="00275074" w:rsidRPr="00275074" w:rsidRDefault="00275074" w:rsidP="00275074">
            <w:r w:rsidRPr="00275074">
              <w:rPr>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rsidR="00275074" w:rsidRPr="00275074" w:rsidRDefault="00275074" w:rsidP="00275074">
            <w:r>
              <w:t>20</w:t>
            </w:r>
            <w:r w:rsidRPr="00275074">
              <w:t>/04/2023</w:t>
            </w:r>
          </w:p>
          <w:p w:rsidR="00275074" w:rsidRPr="00275074" w:rsidRDefault="00275074" w:rsidP="00275074">
            <w:r w:rsidRPr="00275074">
              <w:t>Segunda revisión: 16/05/2023</w:t>
            </w:r>
          </w:p>
        </w:tc>
      </w:tr>
    </w:tbl>
    <w:p w:rsidR="00275074" w:rsidRDefault="00275074" w:rsidP="00415DBD"/>
    <w:p w:rsidR="00275074" w:rsidRDefault="00275074" w:rsidP="00415DBD"/>
    <w:p w:rsidR="00275074" w:rsidRPr="00B1184C" w:rsidRDefault="00275074" w:rsidP="00415DBD"/>
    <w:p w:rsidR="0082470D" w:rsidRPr="002D27E4" w:rsidRDefault="00275074"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850"/>
        <w:gridCol w:w="2636"/>
      </w:tblGrid>
      <w:tr w:rsidR="00A249BB" w:rsidRPr="007465AA" w:rsidTr="00DE68D2">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378"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636"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DE68D2">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528" w:type="dxa"/>
          </w:tcPr>
          <w:p w:rsidR="00A249BB" w:rsidRPr="007465AA" w:rsidRDefault="00540929" w:rsidP="004D6B23">
            <w:pPr>
              <w:rPr>
                <w:sz w:val="18"/>
                <w:szCs w:val="18"/>
              </w:rPr>
            </w:pPr>
            <w:r w:rsidRPr="007465AA">
              <w:rPr>
                <w:sz w:val="18"/>
                <w:szCs w:val="18"/>
              </w:rPr>
              <w:t>Portal de Transparencia</w:t>
            </w:r>
            <w:r w:rsidR="00715E7D">
              <w:rPr>
                <w:sz w:val="18"/>
                <w:szCs w:val="18"/>
              </w:rPr>
              <w:t xml:space="preserve">: </w:t>
            </w:r>
            <w:r w:rsidR="004D6B23">
              <w:rPr>
                <w:sz w:val="18"/>
                <w:szCs w:val="18"/>
              </w:rPr>
              <w:t>Ubicación del enlace al Portal en un apartado más visible de la web</w:t>
            </w:r>
          </w:p>
        </w:tc>
        <w:tc>
          <w:tcPr>
            <w:tcW w:w="850" w:type="dxa"/>
            <w:vAlign w:val="center"/>
          </w:tcPr>
          <w:p w:rsidR="00A249BB" w:rsidRPr="007465AA" w:rsidRDefault="00A249BB" w:rsidP="001521CD">
            <w:pPr>
              <w:jc w:val="center"/>
              <w:rPr>
                <w:sz w:val="18"/>
                <w:szCs w:val="18"/>
              </w:rPr>
            </w:pPr>
          </w:p>
        </w:tc>
        <w:tc>
          <w:tcPr>
            <w:tcW w:w="2636" w:type="dxa"/>
          </w:tcPr>
          <w:p w:rsidR="00A249BB" w:rsidRPr="007465AA" w:rsidRDefault="00A249BB" w:rsidP="004D6B23">
            <w:pPr>
              <w:rPr>
                <w:sz w:val="18"/>
                <w:szCs w:val="18"/>
              </w:rPr>
            </w:pPr>
          </w:p>
        </w:tc>
      </w:tr>
      <w:tr w:rsidR="00A249BB" w:rsidRPr="007465AA" w:rsidTr="00DE68D2">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850" w:type="dxa"/>
            <w:vAlign w:val="center"/>
          </w:tcPr>
          <w:p w:rsidR="00A249BB" w:rsidRPr="007465AA" w:rsidRDefault="00A249BB" w:rsidP="001521CD">
            <w:pPr>
              <w:jc w:val="center"/>
              <w:rPr>
                <w:sz w:val="18"/>
                <w:szCs w:val="18"/>
              </w:rPr>
            </w:pPr>
          </w:p>
        </w:tc>
        <w:tc>
          <w:tcPr>
            <w:tcW w:w="2636" w:type="dxa"/>
          </w:tcPr>
          <w:p w:rsidR="00A249BB" w:rsidRPr="007465AA" w:rsidRDefault="00A249BB" w:rsidP="001521CD">
            <w:pPr>
              <w:rPr>
                <w:sz w:val="18"/>
                <w:szCs w:val="18"/>
              </w:rPr>
            </w:pPr>
          </w:p>
        </w:tc>
      </w:tr>
      <w:tr w:rsidR="00A249BB" w:rsidRPr="007465AA" w:rsidTr="00DE68D2">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Estructuración conforme a LTAIBG</w:t>
            </w:r>
          </w:p>
        </w:tc>
        <w:tc>
          <w:tcPr>
            <w:tcW w:w="850" w:type="dxa"/>
            <w:vAlign w:val="center"/>
          </w:tcPr>
          <w:p w:rsidR="00A249BB" w:rsidRPr="00DE68D2" w:rsidRDefault="00A249BB" w:rsidP="00DE68D2">
            <w:pPr>
              <w:ind w:left="360"/>
              <w:jc w:val="center"/>
              <w:rPr>
                <w:sz w:val="18"/>
                <w:szCs w:val="18"/>
              </w:rPr>
            </w:pPr>
          </w:p>
        </w:tc>
        <w:tc>
          <w:tcPr>
            <w:tcW w:w="2636" w:type="dxa"/>
          </w:tcPr>
          <w:p w:rsidR="00A249BB" w:rsidRPr="007465AA" w:rsidRDefault="00A249BB" w:rsidP="00C66FF0">
            <w:pPr>
              <w:rPr>
                <w:sz w:val="18"/>
                <w:szCs w:val="18"/>
              </w:rPr>
            </w:pPr>
          </w:p>
        </w:tc>
      </w:tr>
      <w:tr w:rsidR="00A249BB" w:rsidRPr="007465AA" w:rsidTr="00DE68D2">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850" w:type="dxa"/>
            <w:vAlign w:val="center"/>
          </w:tcPr>
          <w:p w:rsidR="00A249BB" w:rsidRPr="005D146E" w:rsidRDefault="00A249BB" w:rsidP="005D146E">
            <w:pPr>
              <w:ind w:left="360"/>
              <w:jc w:val="center"/>
              <w:rPr>
                <w:sz w:val="18"/>
                <w:szCs w:val="18"/>
              </w:rPr>
            </w:pPr>
          </w:p>
        </w:tc>
        <w:tc>
          <w:tcPr>
            <w:tcW w:w="2636" w:type="dxa"/>
          </w:tcPr>
          <w:p w:rsidR="00A249BB" w:rsidRPr="007465AA" w:rsidRDefault="00A249BB" w:rsidP="001521CD">
            <w:pPr>
              <w:rPr>
                <w:sz w:val="18"/>
                <w:szCs w:val="18"/>
              </w:rPr>
            </w:pPr>
          </w:p>
        </w:tc>
      </w:tr>
      <w:tr w:rsidR="00C03164" w:rsidRPr="007465AA" w:rsidTr="00DE68D2">
        <w:tc>
          <w:tcPr>
            <w:tcW w:w="1668" w:type="dxa"/>
            <w:vMerge w:val="restart"/>
            <w:vAlign w:val="center"/>
          </w:tcPr>
          <w:p w:rsidR="00C03164" w:rsidRPr="007465AA" w:rsidRDefault="00C03164" w:rsidP="001521CD">
            <w:pPr>
              <w:rPr>
                <w:sz w:val="18"/>
                <w:szCs w:val="18"/>
              </w:rPr>
            </w:pPr>
            <w:r w:rsidRPr="00E07201">
              <w:rPr>
                <w:sz w:val="18"/>
                <w:szCs w:val="18"/>
              </w:rPr>
              <w:t xml:space="preserve">Publicación de </w:t>
            </w:r>
            <w:r w:rsidRPr="007465AA">
              <w:rPr>
                <w:sz w:val="18"/>
                <w:szCs w:val="18"/>
              </w:rPr>
              <w:t>Contenidos</w:t>
            </w:r>
          </w:p>
        </w:tc>
        <w:tc>
          <w:tcPr>
            <w:tcW w:w="5528" w:type="dxa"/>
          </w:tcPr>
          <w:p w:rsidR="00C03164" w:rsidRPr="007465AA" w:rsidRDefault="00C03164" w:rsidP="00715E7D">
            <w:pPr>
              <w:rPr>
                <w:sz w:val="18"/>
                <w:szCs w:val="18"/>
              </w:rPr>
            </w:pPr>
            <w:r>
              <w:rPr>
                <w:sz w:val="18"/>
                <w:szCs w:val="18"/>
              </w:rPr>
              <w:t>Registro de Actividades de Tratamiento</w:t>
            </w:r>
          </w:p>
        </w:tc>
        <w:tc>
          <w:tcPr>
            <w:tcW w:w="850" w:type="dxa"/>
          </w:tcPr>
          <w:p w:rsidR="00C03164" w:rsidRPr="00DE68D2" w:rsidRDefault="00C03164" w:rsidP="00DE68D2">
            <w:pPr>
              <w:pStyle w:val="Prrafodelista"/>
              <w:numPr>
                <w:ilvl w:val="0"/>
                <w:numId w:val="26"/>
              </w:numPr>
              <w:jc w:val="center"/>
              <w:rPr>
                <w:sz w:val="18"/>
                <w:szCs w:val="18"/>
              </w:rPr>
            </w:pPr>
          </w:p>
        </w:tc>
        <w:tc>
          <w:tcPr>
            <w:tcW w:w="2636" w:type="dxa"/>
          </w:tcPr>
          <w:p w:rsidR="00C03164" w:rsidRPr="007465AA" w:rsidRDefault="00C03164" w:rsidP="00C66FF0">
            <w:pPr>
              <w:rPr>
                <w:sz w:val="18"/>
                <w:szCs w:val="18"/>
              </w:rPr>
            </w:pPr>
            <w:r>
              <w:rPr>
                <w:sz w:val="18"/>
                <w:szCs w:val="18"/>
              </w:rPr>
              <w:t xml:space="preserve">Si </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Default="00C03164" w:rsidP="004D6B23">
            <w:pPr>
              <w:rPr>
                <w:sz w:val="18"/>
                <w:szCs w:val="18"/>
              </w:rPr>
            </w:pPr>
            <w:r>
              <w:rPr>
                <w:sz w:val="18"/>
                <w:szCs w:val="18"/>
              </w:rPr>
              <w:t>Organigrama.</w:t>
            </w:r>
          </w:p>
        </w:tc>
        <w:tc>
          <w:tcPr>
            <w:tcW w:w="850" w:type="dxa"/>
          </w:tcPr>
          <w:p w:rsidR="00C03164" w:rsidRPr="004D6B23" w:rsidRDefault="00C03164" w:rsidP="004D6B23">
            <w:pPr>
              <w:pStyle w:val="Prrafodelista"/>
              <w:numPr>
                <w:ilvl w:val="0"/>
                <w:numId w:val="24"/>
              </w:numPr>
              <w:jc w:val="center"/>
              <w:rPr>
                <w:sz w:val="18"/>
                <w:szCs w:val="18"/>
              </w:rPr>
            </w:pPr>
          </w:p>
        </w:tc>
        <w:tc>
          <w:tcPr>
            <w:tcW w:w="2636" w:type="dxa"/>
          </w:tcPr>
          <w:p w:rsidR="00C03164" w:rsidRPr="00332631" w:rsidRDefault="00C03164" w:rsidP="004D6B23">
            <w:pPr>
              <w:rPr>
                <w:sz w:val="18"/>
                <w:szCs w:val="18"/>
              </w:rPr>
            </w:pPr>
            <w:r>
              <w:rPr>
                <w:sz w:val="18"/>
                <w:szCs w:val="18"/>
              </w:rPr>
              <w:t>Si</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Default="00C03164" w:rsidP="00DE68D2">
            <w:pPr>
              <w:rPr>
                <w:sz w:val="18"/>
                <w:szCs w:val="18"/>
              </w:rPr>
            </w:pPr>
            <w:r>
              <w:rPr>
                <w:sz w:val="18"/>
                <w:szCs w:val="18"/>
              </w:rPr>
              <w:t>Grado de cumplimiento y resultados de planes y programas</w:t>
            </w:r>
          </w:p>
        </w:tc>
        <w:tc>
          <w:tcPr>
            <w:tcW w:w="850" w:type="dxa"/>
          </w:tcPr>
          <w:p w:rsidR="00C03164" w:rsidRPr="00332631" w:rsidRDefault="00C03164" w:rsidP="00332631">
            <w:pPr>
              <w:pStyle w:val="Prrafodelista"/>
              <w:numPr>
                <w:ilvl w:val="0"/>
                <w:numId w:val="24"/>
              </w:numPr>
              <w:jc w:val="center"/>
              <w:rPr>
                <w:sz w:val="18"/>
                <w:szCs w:val="18"/>
              </w:rPr>
            </w:pPr>
          </w:p>
        </w:tc>
        <w:tc>
          <w:tcPr>
            <w:tcW w:w="2636" w:type="dxa"/>
          </w:tcPr>
          <w:p w:rsidR="00C03164" w:rsidRDefault="00C03164" w:rsidP="00C1049E">
            <w:pPr>
              <w:rPr>
                <w:sz w:val="18"/>
                <w:szCs w:val="18"/>
              </w:rPr>
            </w:pPr>
            <w:r>
              <w:rPr>
                <w:sz w:val="18"/>
                <w:szCs w:val="18"/>
              </w:rPr>
              <w:t>Si</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Pr="007465AA" w:rsidRDefault="00C03164" w:rsidP="005D146E">
            <w:pPr>
              <w:rPr>
                <w:sz w:val="18"/>
                <w:szCs w:val="18"/>
              </w:rPr>
            </w:pPr>
            <w:r>
              <w:rPr>
                <w:sz w:val="18"/>
                <w:szCs w:val="18"/>
              </w:rPr>
              <w:t>Modificaciones de Contratos</w:t>
            </w:r>
          </w:p>
        </w:tc>
        <w:tc>
          <w:tcPr>
            <w:tcW w:w="850" w:type="dxa"/>
          </w:tcPr>
          <w:p w:rsidR="00C03164" w:rsidRPr="00DE68D2" w:rsidRDefault="00C03164" w:rsidP="00DE68D2">
            <w:pPr>
              <w:ind w:left="360"/>
              <w:jc w:val="center"/>
              <w:rPr>
                <w:sz w:val="18"/>
                <w:szCs w:val="18"/>
              </w:rPr>
            </w:pPr>
          </w:p>
        </w:tc>
        <w:tc>
          <w:tcPr>
            <w:tcW w:w="2636" w:type="dxa"/>
          </w:tcPr>
          <w:p w:rsidR="00C03164" w:rsidRPr="007465AA" w:rsidRDefault="00C03164" w:rsidP="00DE68D2">
            <w:pPr>
              <w:rPr>
                <w:sz w:val="18"/>
                <w:szCs w:val="18"/>
              </w:rPr>
            </w:pPr>
            <w:r>
              <w:rPr>
                <w:sz w:val="18"/>
                <w:szCs w:val="18"/>
              </w:rPr>
              <w:t>No. Aunque se ha creado un enlace específico para esta obligación, éste redirige al buscador general de la Plataforma de Contratación del Sector Público. No redirige de forma directa a la información, que por otra parte, es difícilmente localizable, dado que el buscador de licitaciones no incluye las modificaciones entre los criterios de búsqueda</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Pr="007465AA" w:rsidRDefault="00C03164" w:rsidP="005D146E">
            <w:pPr>
              <w:rPr>
                <w:sz w:val="18"/>
                <w:szCs w:val="18"/>
              </w:rPr>
            </w:pPr>
            <w:r>
              <w:rPr>
                <w:sz w:val="18"/>
                <w:szCs w:val="18"/>
              </w:rPr>
              <w:t>Datos Estadísticos sobre contratación</w:t>
            </w:r>
          </w:p>
        </w:tc>
        <w:tc>
          <w:tcPr>
            <w:tcW w:w="850" w:type="dxa"/>
          </w:tcPr>
          <w:p w:rsidR="00C03164" w:rsidRPr="00332631" w:rsidRDefault="00C03164" w:rsidP="00332631">
            <w:pPr>
              <w:pStyle w:val="Prrafodelista"/>
              <w:numPr>
                <w:ilvl w:val="0"/>
                <w:numId w:val="24"/>
              </w:numPr>
              <w:jc w:val="center"/>
              <w:rPr>
                <w:sz w:val="18"/>
                <w:szCs w:val="18"/>
              </w:rPr>
            </w:pPr>
          </w:p>
        </w:tc>
        <w:tc>
          <w:tcPr>
            <w:tcW w:w="2636" w:type="dxa"/>
          </w:tcPr>
          <w:p w:rsidR="00C03164" w:rsidRDefault="00C03164" w:rsidP="005D146E">
            <w:pPr>
              <w:rPr>
                <w:sz w:val="18"/>
                <w:szCs w:val="18"/>
              </w:rPr>
            </w:pPr>
            <w:r>
              <w:rPr>
                <w:sz w:val="18"/>
                <w:szCs w:val="18"/>
              </w:rPr>
              <w:t>Si, se proporciona el gasto efectuado en 2022 por cada uno de los procedimientos de licitación.</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Pr="007465AA" w:rsidRDefault="00C03164" w:rsidP="005D146E">
            <w:pPr>
              <w:rPr>
                <w:sz w:val="18"/>
                <w:szCs w:val="18"/>
              </w:rPr>
            </w:pPr>
            <w:r w:rsidRPr="007465AA">
              <w:rPr>
                <w:sz w:val="18"/>
                <w:szCs w:val="18"/>
              </w:rPr>
              <w:t>Convenios</w:t>
            </w:r>
            <w:r>
              <w:rPr>
                <w:sz w:val="18"/>
                <w:szCs w:val="18"/>
              </w:rPr>
              <w:t>: completar información</w:t>
            </w:r>
          </w:p>
        </w:tc>
        <w:tc>
          <w:tcPr>
            <w:tcW w:w="850" w:type="dxa"/>
          </w:tcPr>
          <w:p w:rsidR="00C03164" w:rsidRPr="00332631" w:rsidRDefault="00C03164" w:rsidP="00332631">
            <w:pPr>
              <w:pStyle w:val="Prrafodelista"/>
              <w:numPr>
                <w:ilvl w:val="0"/>
                <w:numId w:val="24"/>
              </w:numPr>
              <w:jc w:val="center"/>
              <w:rPr>
                <w:sz w:val="18"/>
                <w:szCs w:val="18"/>
              </w:rPr>
            </w:pPr>
          </w:p>
        </w:tc>
        <w:tc>
          <w:tcPr>
            <w:tcW w:w="2636" w:type="dxa"/>
          </w:tcPr>
          <w:p w:rsidR="00C03164" w:rsidRPr="007465AA" w:rsidRDefault="00C03164" w:rsidP="005D146E">
            <w:pPr>
              <w:rPr>
                <w:sz w:val="18"/>
                <w:szCs w:val="18"/>
              </w:rPr>
            </w:pPr>
            <w:proofErr w:type="spellStart"/>
            <w:r>
              <w:rPr>
                <w:sz w:val="18"/>
                <w:szCs w:val="18"/>
              </w:rPr>
              <w:t>Si</w:t>
            </w:r>
            <w:proofErr w:type="spellEnd"/>
            <w:r>
              <w:rPr>
                <w:sz w:val="18"/>
                <w:szCs w:val="18"/>
              </w:rPr>
              <w:t>. Se publica el texto completo de cada Convenio</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Default="00C03164" w:rsidP="001521CD">
            <w:pPr>
              <w:rPr>
                <w:sz w:val="18"/>
                <w:szCs w:val="18"/>
              </w:rPr>
            </w:pPr>
            <w:r>
              <w:rPr>
                <w:sz w:val="18"/>
                <w:szCs w:val="18"/>
              </w:rPr>
              <w:t>Encomiendas de Gestión</w:t>
            </w:r>
          </w:p>
        </w:tc>
        <w:tc>
          <w:tcPr>
            <w:tcW w:w="850" w:type="dxa"/>
          </w:tcPr>
          <w:p w:rsidR="00C03164" w:rsidRPr="00DE68D2" w:rsidRDefault="00C03164" w:rsidP="00DE68D2">
            <w:pPr>
              <w:ind w:left="360"/>
              <w:jc w:val="center"/>
              <w:rPr>
                <w:sz w:val="18"/>
                <w:szCs w:val="18"/>
              </w:rPr>
            </w:pPr>
          </w:p>
        </w:tc>
        <w:tc>
          <w:tcPr>
            <w:tcW w:w="2636" w:type="dxa"/>
          </w:tcPr>
          <w:p w:rsidR="00C03164" w:rsidRDefault="00C03164" w:rsidP="00DE68D2">
            <w:pPr>
              <w:rPr>
                <w:sz w:val="18"/>
                <w:szCs w:val="18"/>
              </w:rPr>
            </w:pPr>
            <w:r>
              <w:rPr>
                <w:sz w:val="18"/>
                <w:szCs w:val="18"/>
              </w:rPr>
              <w:t xml:space="preserve">No. Se ha creado un enlace específico que redirige al Perfil del </w:t>
            </w:r>
            <w:r>
              <w:rPr>
                <w:sz w:val="18"/>
                <w:szCs w:val="18"/>
              </w:rPr>
              <w:lastRenderedPageBreak/>
              <w:t>Contratante de la AP, en el que se informa sobre los Encargos a Medios Propios. El contenido material de la obligación se refiere a las Encomiendas de Gestión no a los Encargos</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Default="00C03164" w:rsidP="001521CD">
            <w:pPr>
              <w:rPr>
                <w:sz w:val="18"/>
                <w:szCs w:val="18"/>
              </w:rPr>
            </w:pPr>
            <w:r>
              <w:rPr>
                <w:sz w:val="18"/>
                <w:szCs w:val="18"/>
              </w:rPr>
              <w:t>Subcontrataciones derivadas de las encomiendas de gestión</w:t>
            </w:r>
          </w:p>
        </w:tc>
        <w:tc>
          <w:tcPr>
            <w:tcW w:w="850" w:type="dxa"/>
          </w:tcPr>
          <w:p w:rsidR="00C03164" w:rsidRPr="00DE68D2" w:rsidRDefault="00C03164" w:rsidP="00DE68D2">
            <w:pPr>
              <w:ind w:left="360"/>
              <w:jc w:val="center"/>
              <w:rPr>
                <w:sz w:val="18"/>
                <w:szCs w:val="18"/>
              </w:rPr>
            </w:pPr>
          </w:p>
        </w:tc>
        <w:tc>
          <w:tcPr>
            <w:tcW w:w="2636" w:type="dxa"/>
          </w:tcPr>
          <w:p w:rsidR="00C03164" w:rsidRDefault="00C03164" w:rsidP="00E346B0">
            <w:pPr>
              <w:rPr>
                <w:sz w:val="18"/>
                <w:szCs w:val="18"/>
              </w:rPr>
            </w:pPr>
            <w:r>
              <w:rPr>
                <w:sz w:val="18"/>
                <w:szCs w:val="18"/>
              </w:rPr>
              <w:t>No, el enlace a esta información no está activado, ya que se informa de que la información no está disponible</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Default="00C03164" w:rsidP="001521CD">
            <w:pPr>
              <w:rPr>
                <w:sz w:val="18"/>
                <w:szCs w:val="18"/>
              </w:rPr>
            </w:pPr>
            <w:r>
              <w:rPr>
                <w:sz w:val="18"/>
                <w:szCs w:val="18"/>
              </w:rPr>
              <w:t xml:space="preserve">Subvenciones y ayudas públicas </w:t>
            </w:r>
          </w:p>
        </w:tc>
        <w:tc>
          <w:tcPr>
            <w:tcW w:w="850" w:type="dxa"/>
          </w:tcPr>
          <w:p w:rsidR="00C03164" w:rsidRPr="00AB5FA4" w:rsidRDefault="00C03164" w:rsidP="00AB5FA4">
            <w:pPr>
              <w:ind w:left="360"/>
              <w:jc w:val="center"/>
              <w:rPr>
                <w:sz w:val="18"/>
                <w:szCs w:val="18"/>
              </w:rPr>
            </w:pPr>
          </w:p>
        </w:tc>
        <w:tc>
          <w:tcPr>
            <w:tcW w:w="2636" w:type="dxa"/>
          </w:tcPr>
          <w:p w:rsidR="00C03164" w:rsidRDefault="00C03164" w:rsidP="00275074">
            <w:pPr>
              <w:rPr>
                <w:sz w:val="18"/>
                <w:szCs w:val="18"/>
              </w:rPr>
            </w:pPr>
            <w:r>
              <w:rPr>
                <w:sz w:val="18"/>
                <w:szCs w:val="18"/>
              </w:rPr>
              <w:t xml:space="preserve">No. El enlace a esta información, redirige a la </w:t>
            </w:r>
            <w:r w:rsidR="00275074">
              <w:rPr>
                <w:sz w:val="18"/>
                <w:szCs w:val="18"/>
              </w:rPr>
              <w:t xml:space="preserve">página home de la </w:t>
            </w:r>
            <w:r>
              <w:rPr>
                <w:sz w:val="18"/>
                <w:szCs w:val="18"/>
              </w:rPr>
              <w:t>Base de Datos Nacional de Subvenciones</w:t>
            </w:r>
            <w:r w:rsidR="00275074">
              <w:rPr>
                <w:sz w:val="18"/>
                <w:szCs w:val="18"/>
              </w:rPr>
              <w:t>. Esta forma de publicar la información constituye una barrera a la accesibilidad a la información, por las dificultades de manejo que implica esta herramienta para usuarios no familiarizados con ella.</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Pr="007465AA" w:rsidRDefault="00C03164" w:rsidP="00E346B0">
            <w:pPr>
              <w:rPr>
                <w:sz w:val="18"/>
                <w:szCs w:val="18"/>
              </w:rPr>
            </w:pPr>
            <w:r>
              <w:rPr>
                <w:sz w:val="18"/>
                <w:szCs w:val="18"/>
              </w:rPr>
              <w:t>Presupuesto</w:t>
            </w:r>
          </w:p>
        </w:tc>
        <w:tc>
          <w:tcPr>
            <w:tcW w:w="850" w:type="dxa"/>
          </w:tcPr>
          <w:p w:rsidR="00C03164" w:rsidRPr="00AB5FA4" w:rsidRDefault="00C03164" w:rsidP="00AB5FA4">
            <w:pPr>
              <w:ind w:left="360"/>
              <w:jc w:val="center"/>
              <w:rPr>
                <w:sz w:val="18"/>
                <w:szCs w:val="18"/>
              </w:rPr>
            </w:pPr>
          </w:p>
        </w:tc>
        <w:tc>
          <w:tcPr>
            <w:tcW w:w="2636" w:type="dxa"/>
          </w:tcPr>
          <w:p w:rsidR="00C03164" w:rsidRDefault="00C03164" w:rsidP="00092714">
            <w:pPr>
              <w:rPr>
                <w:sz w:val="18"/>
                <w:szCs w:val="18"/>
              </w:rPr>
            </w:pPr>
            <w:r>
              <w:rPr>
                <w:sz w:val="18"/>
                <w:szCs w:val="18"/>
              </w:rPr>
              <w:t>No. Se publica el Plan de Inversiones 2022-2026, pero no los presupuestos de ingresos y gastos, incluyendo información sobre las principales partidas, que es a lo que se refiere el contenido material de esta obligación.</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Pr="007465AA" w:rsidRDefault="00C03164" w:rsidP="001521CD">
            <w:pPr>
              <w:rPr>
                <w:sz w:val="18"/>
                <w:szCs w:val="18"/>
              </w:rPr>
            </w:pPr>
            <w:r w:rsidRPr="007465AA">
              <w:rPr>
                <w:sz w:val="18"/>
                <w:szCs w:val="18"/>
              </w:rPr>
              <w:t xml:space="preserve">Informes de auditoría  </w:t>
            </w:r>
          </w:p>
        </w:tc>
        <w:tc>
          <w:tcPr>
            <w:tcW w:w="850" w:type="dxa"/>
          </w:tcPr>
          <w:p w:rsidR="00C03164" w:rsidRPr="00AB5FA4" w:rsidRDefault="00C03164" w:rsidP="00AB5FA4">
            <w:pPr>
              <w:ind w:left="360"/>
              <w:jc w:val="center"/>
              <w:rPr>
                <w:sz w:val="18"/>
                <w:szCs w:val="18"/>
              </w:rPr>
            </w:pPr>
          </w:p>
        </w:tc>
        <w:tc>
          <w:tcPr>
            <w:tcW w:w="2636" w:type="dxa"/>
          </w:tcPr>
          <w:p w:rsidR="00C03164" w:rsidRPr="007465AA" w:rsidRDefault="00C03164" w:rsidP="00E346B0">
            <w:pPr>
              <w:rPr>
                <w:sz w:val="18"/>
                <w:szCs w:val="18"/>
              </w:rPr>
            </w:pPr>
            <w:r>
              <w:rPr>
                <w:sz w:val="18"/>
                <w:szCs w:val="18"/>
              </w:rPr>
              <w:t>No. Se publican los informes de auditoría de la IGAE- órgano de control interno -, pero no los del Tribunal de Cuentas – órgano de control externo – que es a lo que se refiere el contenido material de esta obligación, tal y como se indicó en el informe de evaluación 2022.</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Pr="007465AA" w:rsidRDefault="00C03164" w:rsidP="001521CD">
            <w:pPr>
              <w:rPr>
                <w:sz w:val="18"/>
                <w:szCs w:val="18"/>
              </w:rPr>
            </w:pPr>
            <w:r w:rsidRPr="007465AA">
              <w:rPr>
                <w:sz w:val="18"/>
                <w:szCs w:val="18"/>
              </w:rPr>
              <w:t>Indemnizaciones percibidas por Altos Cargos con ocasión del abandono del cargo</w:t>
            </w:r>
          </w:p>
        </w:tc>
        <w:tc>
          <w:tcPr>
            <w:tcW w:w="850" w:type="dxa"/>
          </w:tcPr>
          <w:p w:rsidR="00C03164" w:rsidRPr="00B27119" w:rsidRDefault="00C03164" w:rsidP="00B27119">
            <w:pPr>
              <w:pStyle w:val="Prrafodelista"/>
              <w:numPr>
                <w:ilvl w:val="0"/>
                <w:numId w:val="24"/>
              </w:numPr>
              <w:jc w:val="center"/>
              <w:rPr>
                <w:sz w:val="18"/>
                <w:szCs w:val="18"/>
              </w:rPr>
            </w:pPr>
          </w:p>
        </w:tc>
        <w:tc>
          <w:tcPr>
            <w:tcW w:w="2636" w:type="dxa"/>
          </w:tcPr>
          <w:p w:rsidR="00C03164" w:rsidRPr="007465AA" w:rsidRDefault="00C03164" w:rsidP="00092714">
            <w:pPr>
              <w:rPr>
                <w:sz w:val="18"/>
                <w:szCs w:val="18"/>
              </w:rPr>
            </w:pPr>
            <w:r>
              <w:rPr>
                <w:sz w:val="18"/>
                <w:szCs w:val="18"/>
              </w:rPr>
              <w:t>Si, se ha incluido un texto en el que se informa de que no se han concedido indemnizaciones</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Pr="007465AA" w:rsidRDefault="00C03164" w:rsidP="001521CD">
            <w:pPr>
              <w:rPr>
                <w:sz w:val="18"/>
                <w:szCs w:val="18"/>
              </w:rPr>
            </w:pPr>
            <w:r>
              <w:rPr>
                <w:sz w:val="18"/>
                <w:szCs w:val="18"/>
              </w:rPr>
              <w:t>Autorizaciones de compatibilidad concedidas a empleados</w:t>
            </w:r>
          </w:p>
        </w:tc>
        <w:tc>
          <w:tcPr>
            <w:tcW w:w="850" w:type="dxa"/>
          </w:tcPr>
          <w:p w:rsidR="00C03164" w:rsidRPr="00092714" w:rsidRDefault="00C03164" w:rsidP="00092714">
            <w:pPr>
              <w:ind w:left="360"/>
              <w:jc w:val="center"/>
              <w:rPr>
                <w:sz w:val="18"/>
                <w:szCs w:val="18"/>
              </w:rPr>
            </w:pPr>
          </w:p>
        </w:tc>
        <w:tc>
          <w:tcPr>
            <w:tcW w:w="2636" w:type="dxa"/>
          </w:tcPr>
          <w:p w:rsidR="00C03164" w:rsidRDefault="00C03164" w:rsidP="00092714">
            <w:pPr>
              <w:rPr>
                <w:sz w:val="18"/>
                <w:szCs w:val="18"/>
              </w:rPr>
            </w:pPr>
            <w:r>
              <w:rPr>
                <w:sz w:val="18"/>
                <w:szCs w:val="18"/>
              </w:rPr>
              <w:t>No. El enlace redirige a la página de compatibilidades del Portal AGE, en la que es preciso efectuar una búsqueda para localizar la información de la AP.</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Pr="007465AA" w:rsidRDefault="00C03164" w:rsidP="001521CD">
            <w:pPr>
              <w:rPr>
                <w:sz w:val="18"/>
                <w:szCs w:val="18"/>
              </w:rPr>
            </w:pPr>
            <w:r>
              <w:rPr>
                <w:sz w:val="18"/>
                <w:szCs w:val="18"/>
              </w:rPr>
              <w:t>Autorizaciones para el ejercicio de actividades privadas al cese de altos cargos</w:t>
            </w:r>
          </w:p>
        </w:tc>
        <w:tc>
          <w:tcPr>
            <w:tcW w:w="850" w:type="dxa"/>
          </w:tcPr>
          <w:p w:rsidR="00C03164" w:rsidRPr="00B27119" w:rsidRDefault="00C03164" w:rsidP="00B27119">
            <w:pPr>
              <w:pStyle w:val="Prrafodelista"/>
              <w:numPr>
                <w:ilvl w:val="0"/>
                <w:numId w:val="24"/>
              </w:numPr>
              <w:jc w:val="center"/>
              <w:rPr>
                <w:sz w:val="18"/>
                <w:szCs w:val="18"/>
              </w:rPr>
            </w:pPr>
          </w:p>
        </w:tc>
        <w:tc>
          <w:tcPr>
            <w:tcW w:w="2636" w:type="dxa"/>
          </w:tcPr>
          <w:p w:rsidR="00C03164" w:rsidRDefault="00C03164" w:rsidP="00092714">
            <w:pPr>
              <w:rPr>
                <w:sz w:val="18"/>
                <w:szCs w:val="18"/>
              </w:rPr>
            </w:pPr>
            <w:r>
              <w:rPr>
                <w:sz w:val="18"/>
                <w:szCs w:val="18"/>
              </w:rPr>
              <w:t>Si, se informa de que no se han concedido tales autorizaciones en 2022</w:t>
            </w:r>
          </w:p>
        </w:tc>
      </w:tr>
      <w:tr w:rsidR="00C03164" w:rsidRPr="007465AA" w:rsidTr="00DE68D2">
        <w:tc>
          <w:tcPr>
            <w:tcW w:w="1668" w:type="dxa"/>
            <w:vMerge/>
            <w:vAlign w:val="center"/>
          </w:tcPr>
          <w:p w:rsidR="00C03164" w:rsidRPr="007465AA" w:rsidRDefault="00C03164" w:rsidP="001521CD">
            <w:pPr>
              <w:rPr>
                <w:sz w:val="18"/>
                <w:szCs w:val="18"/>
              </w:rPr>
            </w:pPr>
          </w:p>
        </w:tc>
        <w:tc>
          <w:tcPr>
            <w:tcW w:w="5528" w:type="dxa"/>
          </w:tcPr>
          <w:p w:rsidR="00C03164" w:rsidRDefault="00C03164" w:rsidP="001521CD">
            <w:pPr>
              <w:rPr>
                <w:sz w:val="18"/>
                <w:szCs w:val="18"/>
              </w:rPr>
            </w:pPr>
            <w:r>
              <w:rPr>
                <w:sz w:val="18"/>
                <w:szCs w:val="18"/>
              </w:rPr>
              <w:t>Información Patrimonial</w:t>
            </w:r>
          </w:p>
        </w:tc>
        <w:tc>
          <w:tcPr>
            <w:tcW w:w="850" w:type="dxa"/>
          </w:tcPr>
          <w:p w:rsidR="00C03164" w:rsidRPr="00B27119" w:rsidRDefault="00C03164" w:rsidP="00B27119">
            <w:pPr>
              <w:pStyle w:val="Prrafodelista"/>
              <w:numPr>
                <w:ilvl w:val="0"/>
                <w:numId w:val="24"/>
              </w:numPr>
              <w:jc w:val="center"/>
              <w:rPr>
                <w:sz w:val="18"/>
                <w:szCs w:val="18"/>
              </w:rPr>
            </w:pPr>
          </w:p>
        </w:tc>
        <w:tc>
          <w:tcPr>
            <w:tcW w:w="2636" w:type="dxa"/>
          </w:tcPr>
          <w:p w:rsidR="00C03164" w:rsidRDefault="00C03164" w:rsidP="00092714">
            <w:pPr>
              <w:rPr>
                <w:sz w:val="18"/>
                <w:szCs w:val="18"/>
              </w:rPr>
            </w:pPr>
            <w:r>
              <w:rPr>
                <w:sz w:val="18"/>
                <w:szCs w:val="18"/>
              </w:rPr>
              <w:t>Si</w:t>
            </w:r>
          </w:p>
        </w:tc>
      </w:tr>
      <w:tr w:rsidR="00A249BB" w:rsidRPr="007465AA" w:rsidTr="00DE68D2">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528" w:type="dxa"/>
          </w:tcPr>
          <w:p w:rsidR="00A249BB" w:rsidRPr="007465AA" w:rsidRDefault="00A249BB" w:rsidP="001521CD">
            <w:pPr>
              <w:rPr>
                <w:sz w:val="18"/>
                <w:szCs w:val="18"/>
              </w:rPr>
            </w:pPr>
            <w:r w:rsidRPr="007465AA">
              <w:rPr>
                <w:sz w:val="18"/>
                <w:szCs w:val="18"/>
              </w:rPr>
              <w:t>Estructuración</w:t>
            </w:r>
          </w:p>
        </w:tc>
        <w:tc>
          <w:tcPr>
            <w:tcW w:w="850" w:type="dxa"/>
            <w:vAlign w:val="center"/>
          </w:tcPr>
          <w:p w:rsidR="00A249BB" w:rsidRPr="007465AA" w:rsidRDefault="00A249BB" w:rsidP="001521CD">
            <w:pPr>
              <w:jc w:val="center"/>
              <w:rPr>
                <w:sz w:val="18"/>
                <w:szCs w:val="18"/>
              </w:rPr>
            </w:pPr>
          </w:p>
        </w:tc>
        <w:tc>
          <w:tcPr>
            <w:tcW w:w="2636" w:type="dxa"/>
          </w:tcPr>
          <w:p w:rsidR="00A249BB" w:rsidRPr="007465AA" w:rsidRDefault="00A249BB" w:rsidP="001521CD">
            <w:pPr>
              <w:rPr>
                <w:sz w:val="18"/>
                <w:szCs w:val="18"/>
              </w:rPr>
            </w:pPr>
          </w:p>
        </w:tc>
      </w:tr>
      <w:tr w:rsidR="00A249BB" w:rsidRPr="007465AA" w:rsidTr="00DE68D2">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Accesibilidad </w:t>
            </w:r>
          </w:p>
        </w:tc>
        <w:tc>
          <w:tcPr>
            <w:tcW w:w="850" w:type="dxa"/>
            <w:vAlign w:val="center"/>
          </w:tcPr>
          <w:p w:rsidR="00A249BB" w:rsidRPr="007465AA" w:rsidRDefault="00A249BB" w:rsidP="001521CD">
            <w:pPr>
              <w:jc w:val="center"/>
              <w:rPr>
                <w:sz w:val="18"/>
                <w:szCs w:val="18"/>
              </w:rPr>
            </w:pPr>
          </w:p>
        </w:tc>
        <w:tc>
          <w:tcPr>
            <w:tcW w:w="2636" w:type="dxa"/>
          </w:tcPr>
          <w:p w:rsidR="00A249BB" w:rsidRPr="007465AA" w:rsidRDefault="00A249BB" w:rsidP="001521CD">
            <w:pPr>
              <w:rPr>
                <w:sz w:val="18"/>
                <w:szCs w:val="18"/>
              </w:rPr>
            </w:pPr>
          </w:p>
        </w:tc>
      </w:tr>
      <w:tr w:rsidR="00A249BB" w:rsidRPr="007465AA" w:rsidTr="00DE68D2">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Claridad</w:t>
            </w:r>
          </w:p>
        </w:tc>
        <w:tc>
          <w:tcPr>
            <w:tcW w:w="850" w:type="dxa"/>
            <w:vAlign w:val="center"/>
          </w:tcPr>
          <w:p w:rsidR="00A249BB" w:rsidRPr="007465AA" w:rsidRDefault="00A249BB" w:rsidP="001521CD">
            <w:pPr>
              <w:jc w:val="center"/>
              <w:rPr>
                <w:sz w:val="18"/>
                <w:szCs w:val="18"/>
              </w:rPr>
            </w:pPr>
          </w:p>
        </w:tc>
        <w:tc>
          <w:tcPr>
            <w:tcW w:w="2636" w:type="dxa"/>
          </w:tcPr>
          <w:p w:rsidR="00A249BB" w:rsidRPr="007465AA" w:rsidRDefault="00A249BB" w:rsidP="001521CD">
            <w:pPr>
              <w:rPr>
                <w:sz w:val="18"/>
                <w:szCs w:val="18"/>
              </w:rPr>
            </w:pPr>
          </w:p>
        </w:tc>
      </w:tr>
      <w:tr w:rsidR="00A249BB" w:rsidRPr="007465AA" w:rsidTr="00DE68D2">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Reutilización </w:t>
            </w:r>
            <w:r w:rsidR="00332631">
              <w:rPr>
                <w:sz w:val="18"/>
                <w:szCs w:val="18"/>
              </w:rPr>
              <w:t>: Organigrama</w:t>
            </w:r>
          </w:p>
        </w:tc>
        <w:tc>
          <w:tcPr>
            <w:tcW w:w="850" w:type="dxa"/>
            <w:vAlign w:val="center"/>
          </w:tcPr>
          <w:p w:rsidR="00A249BB" w:rsidRPr="00E346B0" w:rsidRDefault="00A249BB" w:rsidP="00E346B0">
            <w:pPr>
              <w:ind w:left="360"/>
              <w:jc w:val="center"/>
              <w:rPr>
                <w:sz w:val="18"/>
                <w:szCs w:val="18"/>
              </w:rPr>
            </w:pPr>
          </w:p>
        </w:tc>
        <w:tc>
          <w:tcPr>
            <w:tcW w:w="2636" w:type="dxa"/>
          </w:tcPr>
          <w:p w:rsidR="00A249BB" w:rsidRPr="007465AA" w:rsidRDefault="00A249BB" w:rsidP="001521CD">
            <w:pPr>
              <w:rPr>
                <w:sz w:val="18"/>
                <w:szCs w:val="18"/>
              </w:rPr>
            </w:pPr>
          </w:p>
        </w:tc>
      </w:tr>
      <w:tr w:rsidR="00A249BB" w:rsidRPr="007465AA" w:rsidTr="00DE68D2">
        <w:tc>
          <w:tcPr>
            <w:tcW w:w="1668" w:type="dxa"/>
            <w:vMerge/>
          </w:tcPr>
          <w:p w:rsidR="00A249BB" w:rsidRPr="007465AA" w:rsidRDefault="00A249BB" w:rsidP="001521CD">
            <w:pPr>
              <w:rPr>
                <w:sz w:val="18"/>
                <w:szCs w:val="18"/>
              </w:rPr>
            </w:pPr>
          </w:p>
        </w:tc>
        <w:tc>
          <w:tcPr>
            <w:tcW w:w="5528" w:type="dxa"/>
          </w:tcPr>
          <w:p w:rsidR="00A249BB" w:rsidRPr="007465AA" w:rsidRDefault="00A249BB" w:rsidP="001521CD">
            <w:pPr>
              <w:rPr>
                <w:sz w:val="18"/>
                <w:szCs w:val="18"/>
              </w:rPr>
            </w:pPr>
            <w:r w:rsidRPr="007465AA">
              <w:rPr>
                <w:sz w:val="18"/>
                <w:szCs w:val="18"/>
              </w:rPr>
              <w:t xml:space="preserve">Datación y Actualización </w:t>
            </w:r>
          </w:p>
        </w:tc>
        <w:tc>
          <w:tcPr>
            <w:tcW w:w="850" w:type="dxa"/>
            <w:vAlign w:val="center"/>
          </w:tcPr>
          <w:p w:rsidR="00A249BB" w:rsidRPr="00715E7D" w:rsidRDefault="00A249BB" w:rsidP="00332631">
            <w:pPr>
              <w:pStyle w:val="Prrafodelista"/>
              <w:numPr>
                <w:ilvl w:val="0"/>
                <w:numId w:val="24"/>
              </w:numPr>
              <w:rPr>
                <w:sz w:val="18"/>
                <w:szCs w:val="18"/>
              </w:rPr>
            </w:pPr>
          </w:p>
        </w:tc>
        <w:tc>
          <w:tcPr>
            <w:tcW w:w="2636" w:type="dxa"/>
          </w:tcPr>
          <w:p w:rsidR="00A249BB" w:rsidRPr="007465AA" w:rsidRDefault="00332631" w:rsidP="005D146E">
            <w:pPr>
              <w:rPr>
                <w:sz w:val="18"/>
                <w:szCs w:val="18"/>
              </w:rPr>
            </w:pPr>
            <w:r>
              <w:rPr>
                <w:sz w:val="18"/>
                <w:szCs w:val="18"/>
              </w:rPr>
              <w:t xml:space="preserve">Si, se publica la fecha de actualización para cada </w:t>
            </w:r>
            <w:r w:rsidR="005D146E">
              <w:rPr>
                <w:sz w:val="18"/>
                <w:szCs w:val="18"/>
              </w:rPr>
              <w:t>una</w:t>
            </w:r>
            <w:r>
              <w:rPr>
                <w:sz w:val="18"/>
                <w:szCs w:val="18"/>
              </w:rPr>
              <w:t xml:space="preserve"> de </w:t>
            </w:r>
            <w:r w:rsidR="005D146E">
              <w:rPr>
                <w:sz w:val="18"/>
                <w:szCs w:val="18"/>
              </w:rPr>
              <w:t xml:space="preserve">las </w:t>
            </w:r>
            <w:r>
              <w:rPr>
                <w:sz w:val="18"/>
                <w:szCs w:val="18"/>
              </w:rPr>
              <w:t>obligaciones</w:t>
            </w:r>
          </w:p>
        </w:tc>
      </w:tr>
      <w:tr w:rsidR="00A249BB" w:rsidRPr="007465AA" w:rsidTr="00DE68D2">
        <w:tc>
          <w:tcPr>
            <w:tcW w:w="7196" w:type="dxa"/>
            <w:gridSpan w:val="2"/>
          </w:tcPr>
          <w:p w:rsidR="00A249BB" w:rsidRPr="007465AA" w:rsidRDefault="00A249BB" w:rsidP="001521CD">
            <w:pPr>
              <w:jc w:val="right"/>
              <w:rPr>
                <w:b/>
                <w:sz w:val="18"/>
                <w:szCs w:val="18"/>
              </w:rPr>
            </w:pPr>
            <w:r w:rsidRPr="007465AA">
              <w:rPr>
                <w:b/>
                <w:sz w:val="18"/>
                <w:szCs w:val="18"/>
              </w:rPr>
              <w:t>Total Recomendaciones</w:t>
            </w:r>
          </w:p>
        </w:tc>
        <w:tc>
          <w:tcPr>
            <w:tcW w:w="850" w:type="dxa"/>
            <w:vAlign w:val="center"/>
          </w:tcPr>
          <w:p w:rsidR="00A249BB" w:rsidRPr="007465AA" w:rsidRDefault="00BF0A4C" w:rsidP="00C03164">
            <w:pPr>
              <w:jc w:val="center"/>
              <w:rPr>
                <w:b/>
                <w:sz w:val="18"/>
                <w:szCs w:val="18"/>
              </w:rPr>
            </w:pPr>
            <w:r>
              <w:rPr>
                <w:b/>
                <w:sz w:val="18"/>
                <w:szCs w:val="18"/>
              </w:rPr>
              <w:t>1</w:t>
            </w:r>
            <w:r w:rsidR="00C03164">
              <w:rPr>
                <w:b/>
                <w:sz w:val="18"/>
                <w:szCs w:val="18"/>
              </w:rPr>
              <w:t>6</w:t>
            </w:r>
          </w:p>
        </w:tc>
        <w:tc>
          <w:tcPr>
            <w:tcW w:w="2636" w:type="dxa"/>
          </w:tcPr>
          <w:p w:rsidR="00A249BB" w:rsidRPr="007465AA" w:rsidRDefault="00A249BB" w:rsidP="001521CD">
            <w:pPr>
              <w:rPr>
                <w:b/>
                <w:sz w:val="18"/>
                <w:szCs w:val="18"/>
              </w:rPr>
            </w:pPr>
          </w:p>
        </w:tc>
      </w:tr>
    </w:tbl>
    <w:p w:rsidR="003A1694" w:rsidRDefault="003A1694" w:rsidP="00AC4A6F"/>
    <w:p w:rsidR="00BA4354" w:rsidRDefault="00BF0A4C" w:rsidP="00DF56A7">
      <w:pPr>
        <w:jc w:val="both"/>
      </w:pPr>
      <w:r>
        <w:t>La AP de Baleares</w:t>
      </w:r>
      <w:r w:rsidR="00A254A9">
        <w:t xml:space="preserve"> ha aplicado </w:t>
      </w:r>
      <w:r w:rsidR="00C03164">
        <w:t>9</w:t>
      </w:r>
      <w:r w:rsidR="008B6789">
        <w:t xml:space="preserve"> de las </w:t>
      </w:r>
      <w:r w:rsidR="00B27119">
        <w:t>1</w:t>
      </w:r>
      <w:r w:rsidR="00C03164">
        <w:t>6</w:t>
      </w:r>
      <w:r w:rsidR="00035DFF">
        <w:t xml:space="preserve"> </w:t>
      </w:r>
      <w:r w:rsidR="008B6789">
        <w:t>recomendaciones derivadas de la evaluación 2022.</w:t>
      </w:r>
    </w:p>
    <w:p w:rsidR="00FA5AFD" w:rsidRDefault="00FA5AFD"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C2CF3" w:rsidRPr="00F31BC3" w:rsidRDefault="00EC2CF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C2CF3" w:rsidRPr="00F31BC3" w:rsidRDefault="00EC2CF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6"/>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BC4E43" w:rsidRPr="00BC4E43" w:rsidTr="00BC4E43">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BC4E43" w:rsidRPr="00BC4E43" w:rsidRDefault="00BC4E43" w:rsidP="00BC4E43">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BC4E43" w:rsidRPr="00BC4E43" w:rsidRDefault="00BC4E43" w:rsidP="00BC4E4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BC4E43">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BC4E43" w:rsidRPr="00BC4E43" w:rsidRDefault="00BC4E43" w:rsidP="00BC4E4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BC4E43">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BC4E43" w:rsidRPr="00BC4E43" w:rsidRDefault="00BC4E43" w:rsidP="00BC4E4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BC4E43">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BC4E43" w:rsidRPr="00BC4E43" w:rsidRDefault="00BC4E43" w:rsidP="00BC4E4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BC4E43">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BC4E43" w:rsidRPr="00BC4E43" w:rsidRDefault="00BC4E43" w:rsidP="00BC4E4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BC4E43">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BC4E43" w:rsidRPr="00BC4E43" w:rsidRDefault="00BC4E43" w:rsidP="00BC4E4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BC4E43">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BC4E43" w:rsidRPr="00BC4E43" w:rsidRDefault="00BC4E43" w:rsidP="00BC4E4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BC4E43">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BC4E43" w:rsidRPr="00BC4E43" w:rsidRDefault="00BC4E43" w:rsidP="00BC4E43">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BC4E43">
              <w:rPr>
                <w:rFonts w:eastAsia="Calibri" w:cs="Calibri"/>
                <w:sz w:val="16"/>
                <w:szCs w:val="16"/>
              </w:rPr>
              <w:t>Total</w:t>
            </w:r>
          </w:p>
        </w:tc>
      </w:tr>
      <w:tr w:rsidR="00BC4E43" w:rsidRPr="00BC4E43" w:rsidTr="00BC4E4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C4E43" w:rsidRPr="00BC4E43" w:rsidRDefault="00BC4E43" w:rsidP="00BC4E43">
            <w:pPr>
              <w:spacing w:before="120" w:after="120" w:line="312" w:lineRule="auto"/>
              <w:rPr>
                <w:rFonts w:eastAsia="Calibri" w:cs="Calibri"/>
                <w:sz w:val="16"/>
                <w:szCs w:val="16"/>
              </w:rPr>
            </w:pPr>
            <w:r w:rsidRPr="00BC4E43">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65,0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95,0</w:t>
            </w:r>
          </w:p>
        </w:tc>
      </w:tr>
      <w:tr w:rsidR="00BC4E43" w:rsidRPr="00BC4E43" w:rsidTr="00BC4E43">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C4E43" w:rsidRPr="00BC4E43" w:rsidRDefault="00BC4E43" w:rsidP="00BC4E43">
            <w:pPr>
              <w:spacing w:before="120" w:after="120" w:line="312" w:lineRule="auto"/>
              <w:jc w:val="both"/>
              <w:rPr>
                <w:rFonts w:eastAsia="Calibri" w:cs="Calibri"/>
                <w:sz w:val="16"/>
                <w:szCs w:val="16"/>
              </w:rPr>
            </w:pPr>
            <w:r w:rsidRPr="00BC4E43">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r>
      <w:tr w:rsidR="00BC4E43" w:rsidRPr="00BC4E43" w:rsidTr="00BC4E4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C4E43" w:rsidRPr="00BC4E43" w:rsidRDefault="00BC4E43" w:rsidP="00BC4E43">
            <w:pPr>
              <w:spacing w:before="120" w:after="120" w:line="312" w:lineRule="auto"/>
              <w:rPr>
                <w:rFonts w:eastAsia="Calibri" w:cs="Calibri"/>
                <w:sz w:val="16"/>
                <w:szCs w:val="16"/>
              </w:rPr>
            </w:pPr>
            <w:r w:rsidRPr="00BC4E43">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50,0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35,7</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50,0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35,7</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50,0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sidRPr="00BC4E43">
              <w:rPr>
                <w:sz w:val="16"/>
              </w:rPr>
              <w:t>50,0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Pr>
                <w:sz w:val="16"/>
              </w:rPr>
              <w:t>50,0</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sz w:val="16"/>
              </w:rPr>
            </w:pPr>
            <w:r>
              <w:rPr>
                <w:sz w:val="16"/>
              </w:rPr>
              <w:t>45</w:t>
            </w:r>
            <w:r w:rsidRPr="00BC4E43">
              <w:rPr>
                <w:sz w:val="16"/>
              </w:rPr>
              <w:t>,9</w:t>
            </w:r>
          </w:p>
        </w:tc>
      </w:tr>
      <w:tr w:rsidR="00BC4E43" w:rsidRPr="00BC4E43" w:rsidTr="00BC4E43">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C4E43" w:rsidRPr="00BC4E43" w:rsidRDefault="00BC4E43" w:rsidP="00BC4E43">
            <w:pPr>
              <w:spacing w:before="120" w:after="120" w:line="312" w:lineRule="auto"/>
              <w:rPr>
                <w:rFonts w:eastAsia="Calibri" w:cs="Calibri"/>
                <w:sz w:val="16"/>
                <w:szCs w:val="16"/>
              </w:rPr>
            </w:pPr>
            <w:r w:rsidRPr="00BC4E43">
              <w:rPr>
                <w:rFonts w:eastAsia="Calibri" w:cs="Calibri"/>
                <w:sz w:val="16"/>
                <w:szCs w:val="16"/>
              </w:rPr>
              <w:t>Información patrimonial</w:t>
            </w:r>
          </w:p>
        </w:tc>
        <w:tc>
          <w:tcPr>
            <w:tcW w:w="0" w:type="auto"/>
            <w:tcBorders>
              <w:left w:val="single" w:sz="18" w:space="0" w:color="FFFFFF" w:themeColor="background1"/>
            </w:tcBorders>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c>
          <w:tcPr>
            <w:tcW w:w="0" w:type="auto"/>
            <w:noWrap/>
            <w:vAlign w:val="center"/>
          </w:tcPr>
          <w:p w:rsidR="00BC4E43" w:rsidRPr="00BC4E43" w:rsidRDefault="00BC4E43" w:rsidP="00BC4E43">
            <w:pPr>
              <w:jc w:val="center"/>
              <w:cnfStyle w:val="000000000000" w:firstRow="0" w:lastRow="0" w:firstColumn="0" w:lastColumn="0" w:oddVBand="0" w:evenVBand="0" w:oddHBand="0" w:evenHBand="0" w:firstRowFirstColumn="0" w:firstRowLastColumn="0" w:lastRowFirstColumn="0" w:lastRowLastColumn="0"/>
              <w:rPr>
                <w:sz w:val="16"/>
              </w:rPr>
            </w:pPr>
            <w:r w:rsidRPr="00BC4E43">
              <w:rPr>
                <w:sz w:val="16"/>
              </w:rPr>
              <w:t>100,0</w:t>
            </w:r>
          </w:p>
        </w:tc>
      </w:tr>
      <w:tr w:rsidR="00BC4E43" w:rsidRPr="00BC4E43" w:rsidTr="00BC4E4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C4E43" w:rsidRPr="00BC4E43" w:rsidRDefault="00BC4E43" w:rsidP="00BC4E43">
            <w:pPr>
              <w:spacing w:before="120" w:after="120" w:line="312" w:lineRule="auto"/>
              <w:jc w:val="center"/>
              <w:rPr>
                <w:rFonts w:eastAsia="Calibri" w:cs="Calibri"/>
                <w:i/>
                <w:sz w:val="16"/>
                <w:szCs w:val="16"/>
              </w:rPr>
            </w:pPr>
            <w:r w:rsidRPr="00BC4E43">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b/>
                <w:i/>
                <w:sz w:val="16"/>
              </w:rPr>
            </w:pPr>
            <w:r w:rsidRPr="00BC4E43">
              <w:rPr>
                <w:b/>
                <w:i/>
                <w:sz w:val="16"/>
              </w:rPr>
              <w:t>74,1</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b/>
                <w:i/>
                <w:sz w:val="16"/>
              </w:rPr>
            </w:pPr>
            <w:r w:rsidRPr="00BC4E43">
              <w:rPr>
                <w:b/>
                <w:i/>
                <w:sz w:val="16"/>
              </w:rPr>
              <w:t>66,7</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b/>
                <w:i/>
                <w:sz w:val="16"/>
              </w:rPr>
            </w:pPr>
            <w:r w:rsidRPr="00BC4E43">
              <w:rPr>
                <w:b/>
                <w:i/>
                <w:sz w:val="16"/>
              </w:rPr>
              <w:t>74,1</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b/>
                <w:i/>
                <w:sz w:val="16"/>
              </w:rPr>
            </w:pPr>
            <w:r w:rsidRPr="00BC4E43">
              <w:rPr>
                <w:b/>
                <w:i/>
                <w:sz w:val="16"/>
              </w:rPr>
              <w:t>66,7</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b/>
                <w:i/>
                <w:sz w:val="16"/>
              </w:rPr>
            </w:pPr>
            <w:r w:rsidRPr="00BC4E43">
              <w:rPr>
                <w:b/>
                <w:i/>
                <w:sz w:val="16"/>
              </w:rPr>
              <w:t>74,1</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b/>
                <w:i/>
                <w:sz w:val="16"/>
              </w:rPr>
            </w:pPr>
            <w:r w:rsidRPr="00BC4E43">
              <w:rPr>
                <w:b/>
                <w:i/>
                <w:sz w:val="16"/>
              </w:rPr>
              <w:t>74,1</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b/>
                <w:i/>
                <w:sz w:val="16"/>
              </w:rPr>
            </w:pPr>
            <w:r>
              <w:rPr>
                <w:b/>
                <w:i/>
                <w:sz w:val="16"/>
              </w:rPr>
              <w:t>61,1</w:t>
            </w:r>
          </w:p>
        </w:tc>
        <w:tc>
          <w:tcPr>
            <w:tcW w:w="0" w:type="auto"/>
            <w:noWrap/>
            <w:vAlign w:val="center"/>
          </w:tcPr>
          <w:p w:rsidR="00BC4E43" w:rsidRPr="00BC4E43" w:rsidRDefault="00BC4E43" w:rsidP="00BC4E43">
            <w:pPr>
              <w:jc w:val="center"/>
              <w:cnfStyle w:val="000000100000" w:firstRow="0" w:lastRow="0" w:firstColumn="0" w:lastColumn="0" w:oddVBand="0" w:evenVBand="0" w:oddHBand="1" w:evenHBand="0" w:firstRowFirstColumn="0" w:firstRowLastColumn="0" w:lastRowFirstColumn="0" w:lastRowLastColumn="0"/>
              <w:rPr>
                <w:b/>
                <w:i/>
                <w:sz w:val="16"/>
              </w:rPr>
            </w:pPr>
            <w:r>
              <w:rPr>
                <w:b/>
                <w:i/>
                <w:sz w:val="16"/>
              </w:rPr>
              <w:t>70,1</w:t>
            </w:r>
          </w:p>
        </w:tc>
      </w:tr>
    </w:tbl>
    <w:p w:rsidR="00100121" w:rsidRDefault="00100121" w:rsidP="00F05E2C">
      <w:pPr>
        <w:pStyle w:val="Cuerpodelboletn"/>
        <w:rPr>
          <w:lang w:bidi="es-ES"/>
        </w:rPr>
      </w:pPr>
    </w:p>
    <w:p w:rsidR="00EB68A3" w:rsidRDefault="004061BC" w:rsidP="00F05E2C">
      <w:pPr>
        <w:pStyle w:val="Cuerpodelboletn"/>
      </w:pPr>
      <w:r>
        <w:rPr>
          <w:lang w:bidi="es-ES"/>
        </w:rPr>
        <w:t xml:space="preserve">El Índice de Cumplimiento de la Información Obligatoria (ICIO) se sitúa en el </w:t>
      </w:r>
      <w:r w:rsidR="00BC4E43">
        <w:rPr>
          <w:lang w:bidi="es-ES"/>
        </w:rPr>
        <w:t>70,1</w:t>
      </w:r>
      <w:r>
        <w:rPr>
          <w:lang w:bidi="es-ES"/>
        </w:rPr>
        <w:t>%.</w:t>
      </w:r>
      <w:r w:rsidR="00BB3652">
        <w:rPr>
          <w:lang w:bidi="es-ES"/>
        </w:rPr>
        <w:t xml:space="preserve"> Respecto de 202</w:t>
      </w:r>
      <w:r w:rsidR="004413FC">
        <w:rPr>
          <w:lang w:bidi="es-ES"/>
        </w:rPr>
        <w:t>2</w:t>
      </w:r>
      <w:r w:rsidR="00BB3652">
        <w:rPr>
          <w:lang w:bidi="es-ES"/>
        </w:rPr>
        <w:t xml:space="preserve"> </w:t>
      </w:r>
      <w:r w:rsidR="00880290">
        <w:rPr>
          <w:lang w:bidi="es-ES"/>
        </w:rPr>
        <w:t xml:space="preserve">se ha incrementado en </w:t>
      </w:r>
      <w:r w:rsidR="00BC4E43">
        <w:rPr>
          <w:lang w:bidi="es-ES"/>
        </w:rPr>
        <w:t>22,7</w:t>
      </w:r>
      <w:r w:rsidR="00880290">
        <w:rPr>
          <w:lang w:bidi="es-ES"/>
        </w:rPr>
        <w:t xml:space="preserve"> puntos porcentuales, </w:t>
      </w:r>
      <w:r w:rsidR="00A254A9" w:rsidRPr="00A254A9">
        <w:rPr>
          <w:lang w:bidi="es-ES"/>
        </w:rPr>
        <w:t xml:space="preserve">atribuibles a que la aplicación de </w:t>
      </w:r>
      <w:r w:rsidR="00BC4E43">
        <w:rPr>
          <w:lang w:bidi="es-ES"/>
        </w:rPr>
        <w:t>nueve</w:t>
      </w:r>
      <w:r w:rsidR="00A254A9">
        <w:rPr>
          <w:lang w:bidi="es-ES"/>
        </w:rPr>
        <w:t xml:space="preserve"> </w:t>
      </w:r>
      <w:r w:rsidR="00A254A9" w:rsidRPr="00A254A9">
        <w:rPr>
          <w:lang w:bidi="es-ES"/>
        </w:rPr>
        <w:t>reco</w:t>
      </w:r>
      <w:r w:rsidR="003445E8">
        <w:rPr>
          <w:lang w:bidi="es-ES"/>
        </w:rPr>
        <w:t>mendaciones efectuadas en 2022</w:t>
      </w:r>
      <w:r w:rsidR="00A254A9">
        <w:rPr>
          <w:lang w:bidi="es-ES"/>
        </w:rPr>
        <w:t>.</w:t>
      </w: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4413FC" w:rsidRDefault="003F598E" w:rsidP="00A254A9">
      <w:pPr>
        <w:pStyle w:val="Cuerpodelboletn"/>
        <w:spacing w:line="276" w:lineRule="auto"/>
      </w:pPr>
      <w:r>
        <w:t>Aunque este</w:t>
      </w:r>
      <w:r w:rsidR="004413FC">
        <w:t xml:space="preserve"> CTBG </w:t>
      </w:r>
      <w:r w:rsidR="00A254A9" w:rsidRPr="003445E8">
        <w:rPr>
          <w:b/>
        </w:rPr>
        <w:t>valora positivamente</w:t>
      </w:r>
      <w:r w:rsidR="00A254A9">
        <w:t xml:space="preserve"> </w:t>
      </w:r>
      <w:r w:rsidR="003445E8">
        <w:t xml:space="preserve">la evolución del Índice de Cumplimiento de la Información Obligatoria (ICIO) por parte de </w:t>
      </w:r>
      <w:r w:rsidR="00BC4E43">
        <w:t>la Autoridad Portuaria de Baleares</w:t>
      </w:r>
      <w:r>
        <w:t xml:space="preserve"> – que se ha incrementado en el 48% - y se ha aplicado más del 56% de las recomendaciones derivadas de la evaluación 2022, todavía existe un amplio margen de mejora, ya que subsisten algunos de los déficits identificados en la evaluación realizada el pasado año</w:t>
      </w:r>
      <w:r w:rsidR="00EC2CF3">
        <w:t>:</w:t>
      </w:r>
    </w:p>
    <w:p w:rsidR="00EC2CF3" w:rsidRDefault="00EC2CF3" w:rsidP="00EC2CF3">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w:t>
      </w:r>
      <w:r>
        <w:rPr>
          <w:rFonts w:ascii="Century Gothic" w:hAnsi="Century Gothic"/>
        </w:rPr>
        <w:t>de la publicación de contenidos:</w:t>
      </w:r>
    </w:p>
    <w:p w:rsidR="00EC2CF3" w:rsidRDefault="00EC2CF3" w:rsidP="00EC2CF3">
      <w:pPr>
        <w:pStyle w:val="Sinespaciado"/>
        <w:numPr>
          <w:ilvl w:val="1"/>
          <w:numId w:val="18"/>
        </w:numPr>
        <w:spacing w:line="276" w:lineRule="auto"/>
        <w:jc w:val="both"/>
        <w:rPr>
          <w:rFonts w:ascii="Century Gothic" w:hAnsi="Century Gothic"/>
        </w:rPr>
      </w:pPr>
      <w:r>
        <w:rPr>
          <w:rFonts w:ascii="Century Gothic" w:hAnsi="Century Gothic"/>
        </w:rPr>
        <w:lastRenderedPageBreak/>
        <w:t>Siguen sin publicarse las modificaciones de contratos. La remisión a la plataforma de contratación, no resuelve este problema, porque no se incluyen las modificaciones entre los criterios de búsqueda de licitaciones. Dado que lo más probable es que no exista un alto número de contratos modificados, la mejor forma de publicación sería una relación de los mismos.</w:t>
      </w:r>
    </w:p>
    <w:p w:rsidR="00EC2CF3" w:rsidRDefault="00EC2CF3" w:rsidP="00EC2CF3">
      <w:pPr>
        <w:pStyle w:val="Sinespaciado"/>
        <w:numPr>
          <w:ilvl w:val="1"/>
          <w:numId w:val="18"/>
        </w:numPr>
        <w:spacing w:line="276" w:lineRule="auto"/>
        <w:jc w:val="both"/>
        <w:rPr>
          <w:rFonts w:ascii="Century Gothic" w:hAnsi="Century Gothic"/>
        </w:rPr>
      </w:pPr>
      <w:r w:rsidRPr="00EC2CF3">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EC2CF3" w:rsidRDefault="00EC2CF3" w:rsidP="00EC2CF3">
      <w:pPr>
        <w:pStyle w:val="Sinespaciado"/>
        <w:numPr>
          <w:ilvl w:val="1"/>
          <w:numId w:val="18"/>
        </w:numPr>
        <w:spacing w:line="276" w:lineRule="auto"/>
        <w:jc w:val="both"/>
        <w:rPr>
          <w:rFonts w:ascii="Century Gothic" w:hAnsi="Century Gothic"/>
        </w:rPr>
      </w:pPr>
      <w:r>
        <w:rPr>
          <w:rFonts w:ascii="Century Gothic" w:hAnsi="Century Gothic"/>
        </w:rPr>
        <w:t xml:space="preserve">En cuanto a las Encomiendas de Gestión, existe confusión entre </w:t>
      </w:r>
      <w:r w:rsidR="003D1930">
        <w:rPr>
          <w:rFonts w:ascii="Century Gothic" w:hAnsi="Century Gothic"/>
        </w:rPr>
        <w:t>é</w:t>
      </w:r>
      <w:r>
        <w:rPr>
          <w:rFonts w:ascii="Century Gothic" w:hAnsi="Century Gothic"/>
        </w:rPr>
        <w:t xml:space="preserve">stas y los encargos a medios propios, que es a lo que redirige el enlace Encomiendas de Gestión. </w:t>
      </w:r>
      <w:r w:rsidR="008D2F6B">
        <w:rPr>
          <w:rFonts w:ascii="Century Gothic" w:hAnsi="Century Gothic"/>
        </w:rPr>
        <w:t xml:space="preserve">Los encargos a medios propios no constituyen una obligación de publicidad activa contemplada en la LTAIBG. </w:t>
      </w:r>
    </w:p>
    <w:p w:rsidR="003D1930" w:rsidRPr="003D1930" w:rsidRDefault="00EC2CF3" w:rsidP="002437A9">
      <w:pPr>
        <w:pStyle w:val="Prrafodelista"/>
        <w:numPr>
          <w:ilvl w:val="1"/>
          <w:numId w:val="18"/>
        </w:numPr>
        <w:spacing w:line="276" w:lineRule="auto"/>
        <w:jc w:val="both"/>
        <w:rPr>
          <w:szCs w:val="22"/>
        </w:rPr>
      </w:pPr>
      <w:r>
        <w:t>En lo que respecta a las subcontrataciones derivadas de las encomiendas, esta información</w:t>
      </w:r>
      <w:r w:rsidR="003D1930" w:rsidRPr="003D1930">
        <w:t xml:space="preserve"> </w:t>
      </w:r>
      <w:r w:rsidR="003D1930">
        <w:rPr>
          <w:szCs w:val="22"/>
        </w:rPr>
        <w:t>só</w:t>
      </w:r>
      <w:r w:rsidR="003D1930" w:rsidRPr="003D1930">
        <w:rPr>
          <w:szCs w:val="22"/>
        </w:rPr>
        <w:t>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EC2CF3" w:rsidRDefault="003D1930" w:rsidP="002437A9">
      <w:pPr>
        <w:pStyle w:val="Sinespaciado"/>
        <w:numPr>
          <w:ilvl w:val="1"/>
          <w:numId w:val="18"/>
        </w:numPr>
        <w:spacing w:line="276" w:lineRule="auto"/>
        <w:jc w:val="both"/>
        <w:rPr>
          <w:rFonts w:ascii="Century Gothic" w:hAnsi="Century Gothic"/>
        </w:rPr>
      </w:pPr>
      <w:r>
        <w:rPr>
          <w:rFonts w:ascii="Century Gothic" w:hAnsi="Century Gothic"/>
        </w:rPr>
        <w:t xml:space="preserve">Tampoco se publica, de manera directa en la web de la AP, información sobre subvenciones y ayudas públicas, si no que se ha optado por enlazar a la Base de Datos Nacional de Subvenciones, Uno de los muchos problemas derivados de la publicación de informaciones obligatorias mediante enlace a fuentes centralizadas, </w:t>
      </w:r>
      <w:r w:rsidR="00275074">
        <w:rPr>
          <w:rFonts w:ascii="Century Gothic" w:hAnsi="Century Gothic"/>
        </w:rPr>
        <w:t>es la dificultad para localizar información en una herramienta de muy difícil manejo para la ciudadanía</w:t>
      </w:r>
      <w:r>
        <w:rPr>
          <w:rFonts w:ascii="Century Gothic" w:hAnsi="Century Gothic"/>
        </w:rPr>
        <w:t xml:space="preserve">. </w:t>
      </w:r>
    </w:p>
    <w:p w:rsidR="003D1930" w:rsidRDefault="003D1930" w:rsidP="002437A9">
      <w:pPr>
        <w:pStyle w:val="Sinespaciado"/>
        <w:numPr>
          <w:ilvl w:val="1"/>
          <w:numId w:val="18"/>
        </w:numPr>
        <w:spacing w:line="276" w:lineRule="auto"/>
        <w:jc w:val="both"/>
        <w:rPr>
          <w:rFonts w:ascii="Century Gothic" w:hAnsi="Century Gothic"/>
        </w:rPr>
      </w:pPr>
      <w:r>
        <w:rPr>
          <w:rFonts w:ascii="Century Gothic" w:hAnsi="Century Gothic"/>
        </w:rPr>
        <w:t>En cuanto al presupuesto, el contenido de esta obligación hace referencia a las principales partidas que integran los presupuestos de ingresos y gastos, no se limita exclusivamente a las inversiones.</w:t>
      </w:r>
    </w:p>
    <w:p w:rsidR="003D1930" w:rsidRDefault="003D1930" w:rsidP="002437A9">
      <w:pPr>
        <w:pStyle w:val="Sinespaciado"/>
        <w:numPr>
          <w:ilvl w:val="1"/>
          <w:numId w:val="18"/>
        </w:numPr>
        <w:spacing w:line="276" w:lineRule="auto"/>
        <w:jc w:val="both"/>
        <w:rPr>
          <w:rFonts w:ascii="Century Gothic" w:hAnsi="Century Gothic"/>
        </w:rPr>
      </w:pPr>
      <w:r>
        <w:rPr>
          <w:rFonts w:ascii="Century Gothic" w:hAnsi="Century Gothic"/>
        </w:rPr>
        <w:t>Como ya se indicó en la evaluación 2022, los informes de auditoría y fiscalización que es obligatorio publicar, son los elaborados por el Tribunal de Cuentas.</w:t>
      </w:r>
    </w:p>
    <w:p w:rsidR="003D1930" w:rsidRDefault="003D1930" w:rsidP="002437A9">
      <w:pPr>
        <w:pStyle w:val="Sinespaciado"/>
        <w:numPr>
          <w:ilvl w:val="1"/>
          <w:numId w:val="18"/>
        </w:numPr>
        <w:spacing w:line="276" w:lineRule="auto"/>
        <w:jc w:val="both"/>
        <w:rPr>
          <w:rFonts w:ascii="Century Gothic" w:hAnsi="Century Gothic"/>
        </w:rPr>
      </w:pPr>
      <w:r>
        <w:rPr>
          <w:rFonts w:ascii="Century Gothic" w:hAnsi="Century Gothic"/>
        </w:rPr>
        <w:t xml:space="preserve">Finalmente, y por lo que respecta a las autorizaciones de compatibilidad concedidas a empleados, se recuerda que la información obligatoria debe publicarse en la web de la AP, sin que quepa remisión al Portal de Transparencia de la AGE. En este caso concreto, la información publicada en el Portal AGE no recoge en muchas ocasiones ni el Ministerio ni el Organismo, la descarga en formato </w:t>
      </w:r>
      <w:proofErr w:type="spellStart"/>
      <w:r>
        <w:rPr>
          <w:rFonts w:ascii="Century Gothic" w:hAnsi="Century Gothic"/>
        </w:rPr>
        <w:t>excel</w:t>
      </w:r>
      <w:proofErr w:type="spellEnd"/>
      <w:r>
        <w:rPr>
          <w:rFonts w:ascii="Century Gothic" w:hAnsi="Century Gothic"/>
        </w:rPr>
        <w:t xml:space="preserve"> está limitada a 2.000 registros y obliga a la revisión de un elevado  número de páginas para localizar la información. </w:t>
      </w:r>
    </w:p>
    <w:p w:rsidR="00EC2CF3" w:rsidRDefault="00EC2CF3" w:rsidP="00EC2CF3">
      <w:pPr>
        <w:pStyle w:val="Prrafodelista"/>
      </w:pPr>
    </w:p>
    <w:p w:rsidR="004413FC" w:rsidRDefault="004413FC" w:rsidP="004413F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2AA44E0E" wp14:editId="7C534746">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C2CF3" w:rsidRPr="00F31BC3" w:rsidRDefault="00EC2CF3" w:rsidP="004413FC">
                            <w:r w:rsidRPr="00965C69">
                              <w:rPr>
                                <w:noProof/>
                                <w:lang w:eastAsia="es-ES"/>
                              </w:rPr>
                              <w:drawing>
                                <wp:inline distT="0" distB="0" distL="0" distR="0" wp14:anchorId="3F063B5A" wp14:editId="6D1FB6C5">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EC2CF3" w:rsidRPr="00F31BC3" w:rsidRDefault="00EC2CF3" w:rsidP="004413FC">
                      <w:r w:rsidRPr="00965C69">
                        <w:rPr>
                          <w:noProof/>
                          <w:lang w:eastAsia="es-ES"/>
                        </w:rPr>
                        <w:drawing>
                          <wp:inline distT="0" distB="0" distL="0" distR="0" wp14:anchorId="3F063B5A" wp14:editId="6D1FB6C5">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21E2409E" wp14:editId="7FD5AE5C">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Pr>
          <w:rFonts w:ascii="Century Gothic" w:hAnsi="Century Gothic"/>
        </w:rPr>
        <w:t xml:space="preserve">Madrid, </w:t>
      </w:r>
      <w:r w:rsidR="00275074">
        <w:rPr>
          <w:rFonts w:ascii="Century Gothic" w:hAnsi="Century Gothic"/>
        </w:rPr>
        <w:t>mayo</w:t>
      </w:r>
      <w:r>
        <w:rPr>
          <w:rFonts w:ascii="Century Gothic" w:hAnsi="Century Gothic"/>
        </w:rPr>
        <w:t xml:space="preserve">  de 2023</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bookmarkStart w:id="0" w:name="_GoBack"/>
    <w:bookmarkEnd w:id="0"/>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C2CF3" w:rsidRPr="00F31BC3" w:rsidRDefault="00EC2CF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EC2CF3" w:rsidRPr="00F31BC3" w:rsidRDefault="00EC2CF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C2CF3" w:rsidRPr="00F31BC3" w:rsidRDefault="00EC2CF3"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EC2CF3" w:rsidRPr="00F31BC3" w:rsidRDefault="00EC2CF3"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F3" w:rsidRDefault="00EC2CF3" w:rsidP="00F31BC3">
      <w:r>
        <w:separator/>
      </w:r>
    </w:p>
  </w:endnote>
  <w:endnote w:type="continuationSeparator" w:id="0">
    <w:p w:rsidR="00EC2CF3" w:rsidRDefault="00EC2CF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F3" w:rsidRDefault="00EC2CF3" w:rsidP="00F31BC3">
      <w:r>
        <w:separator/>
      </w:r>
    </w:p>
  </w:footnote>
  <w:footnote w:type="continuationSeparator" w:id="0">
    <w:p w:rsidR="00EC2CF3" w:rsidRDefault="00EC2CF3"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958145F"/>
    <w:multiLevelType w:val="hybridMultilevel"/>
    <w:tmpl w:val="CE841F5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3E2387"/>
    <w:multiLevelType w:val="hybridMultilevel"/>
    <w:tmpl w:val="2AE28C4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2E35A11"/>
    <w:multiLevelType w:val="hybridMultilevel"/>
    <w:tmpl w:val="E9B08D98"/>
    <w:lvl w:ilvl="0" w:tplc="6C989C90">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0"/>
  </w:num>
  <w:num w:numId="5">
    <w:abstractNumId w:val="18"/>
  </w:num>
  <w:num w:numId="6">
    <w:abstractNumId w:val="20"/>
  </w:num>
  <w:num w:numId="7">
    <w:abstractNumId w:val="17"/>
  </w:num>
  <w:num w:numId="8">
    <w:abstractNumId w:val="1"/>
  </w:num>
  <w:num w:numId="9">
    <w:abstractNumId w:val="4"/>
  </w:num>
  <w:num w:numId="10">
    <w:abstractNumId w:val="3"/>
  </w:num>
  <w:num w:numId="11">
    <w:abstractNumId w:val="23"/>
  </w:num>
  <w:num w:numId="12">
    <w:abstractNumId w:val="16"/>
  </w:num>
  <w:num w:numId="13">
    <w:abstractNumId w:val="9"/>
  </w:num>
  <w:num w:numId="14">
    <w:abstractNumId w:val="24"/>
  </w:num>
  <w:num w:numId="15">
    <w:abstractNumId w:val="2"/>
  </w:num>
  <w:num w:numId="16">
    <w:abstractNumId w:val="25"/>
  </w:num>
  <w:num w:numId="17">
    <w:abstractNumId w:val="13"/>
  </w:num>
  <w:num w:numId="18">
    <w:abstractNumId w:val="8"/>
  </w:num>
  <w:num w:numId="19">
    <w:abstractNumId w:val="7"/>
  </w:num>
  <w:num w:numId="20">
    <w:abstractNumId w:val="19"/>
  </w:num>
  <w:num w:numId="21">
    <w:abstractNumId w:val="5"/>
  </w:num>
  <w:num w:numId="22">
    <w:abstractNumId w:val="6"/>
  </w:num>
  <w:num w:numId="23">
    <w:abstractNumId w:val="14"/>
  </w:num>
  <w:num w:numId="24">
    <w:abstractNumId w:val="12"/>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5DFF"/>
    <w:rsid w:val="00040AF4"/>
    <w:rsid w:val="00053A0E"/>
    <w:rsid w:val="0005642F"/>
    <w:rsid w:val="00072B7E"/>
    <w:rsid w:val="000775A5"/>
    <w:rsid w:val="00085C93"/>
    <w:rsid w:val="00092714"/>
    <w:rsid w:val="000A77F5"/>
    <w:rsid w:val="000D3907"/>
    <w:rsid w:val="000D5417"/>
    <w:rsid w:val="000E0A9E"/>
    <w:rsid w:val="000F0DA5"/>
    <w:rsid w:val="00100121"/>
    <w:rsid w:val="00104DE9"/>
    <w:rsid w:val="00104E94"/>
    <w:rsid w:val="001149B1"/>
    <w:rsid w:val="00117FA9"/>
    <w:rsid w:val="00132732"/>
    <w:rsid w:val="00146C3C"/>
    <w:rsid w:val="001521CD"/>
    <w:rsid w:val="00164876"/>
    <w:rsid w:val="001763F8"/>
    <w:rsid w:val="00183301"/>
    <w:rsid w:val="00187CDD"/>
    <w:rsid w:val="0019448F"/>
    <w:rsid w:val="00196703"/>
    <w:rsid w:val="001A0BD4"/>
    <w:rsid w:val="001A0DA8"/>
    <w:rsid w:val="001A5305"/>
    <w:rsid w:val="001C218C"/>
    <w:rsid w:val="001C2217"/>
    <w:rsid w:val="001C3E2F"/>
    <w:rsid w:val="001C4509"/>
    <w:rsid w:val="001C7C78"/>
    <w:rsid w:val="001C7D84"/>
    <w:rsid w:val="001E5AAD"/>
    <w:rsid w:val="001F3AE5"/>
    <w:rsid w:val="0021682B"/>
    <w:rsid w:val="00231D61"/>
    <w:rsid w:val="00243294"/>
    <w:rsid w:val="002437A9"/>
    <w:rsid w:val="00244EDA"/>
    <w:rsid w:val="002467FA"/>
    <w:rsid w:val="00250846"/>
    <w:rsid w:val="00263F79"/>
    <w:rsid w:val="00275074"/>
    <w:rsid w:val="002C19B9"/>
    <w:rsid w:val="002C1DD9"/>
    <w:rsid w:val="002C41B4"/>
    <w:rsid w:val="002D0702"/>
    <w:rsid w:val="002D27E4"/>
    <w:rsid w:val="002E409F"/>
    <w:rsid w:val="002E644A"/>
    <w:rsid w:val="002F06DC"/>
    <w:rsid w:val="0031769F"/>
    <w:rsid w:val="00332631"/>
    <w:rsid w:val="00337C82"/>
    <w:rsid w:val="003445E8"/>
    <w:rsid w:val="00347877"/>
    <w:rsid w:val="00352994"/>
    <w:rsid w:val="00355DC0"/>
    <w:rsid w:val="0038511B"/>
    <w:rsid w:val="00393F48"/>
    <w:rsid w:val="003A1694"/>
    <w:rsid w:val="003A390C"/>
    <w:rsid w:val="003B399C"/>
    <w:rsid w:val="003B57E6"/>
    <w:rsid w:val="003B6B96"/>
    <w:rsid w:val="003D1930"/>
    <w:rsid w:val="003D2C4A"/>
    <w:rsid w:val="003E564B"/>
    <w:rsid w:val="003E5D2F"/>
    <w:rsid w:val="003F4DDD"/>
    <w:rsid w:val="003F598E"/>
    <w:rsid w:val="003F6EDC"/>
    <w:rsid w:val="004061BC"/>
    <w:rsid w:val="00415DBD"/>
    <w:rsid w:val="00422B18"/>
    <w:rsid w:val="004413FC"/>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6832"/>
    <w:rsid w:val="00540929"/>
    <w:rsid w:val="00552800"/>
    <w:rsid w:val="00563295"/>
    <w:rsid w:val="00564E23"/>
    <w:rsid w:val="00582A8C"/>
    <w:rsid w:val="005B1544"/>
    <w:rsid w:val="005C4778"/>
    <w:rsid w:val="005D146E"/>
    <w:rsid w:val="005E2505"/>
    <w:rsid w:val="005E6704"/>
    <w:rsid w:val="005F580F"/>
    <w:rsid w:val="00603DFC"/>
    <w:rsid w:val="00607613"/>
    <w:rsid w:val="006253FA"/>
    <w:rsid w:val="006266A5"/>
    <w:rsid w:val="00633EAA"/>
    <w:rsid w:val="00650F07"/>
    <w:rsid w:val="0069673B"/>
    <w:rsid w:val="006A323B"/>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65E5A"/>
    <w:rsid w:val="00880290"/>
    <w:rsid w:val="00882A5B"/>
    <w:rsid w:val="00891E6F"/>
    <w:rsid w:val="00894358"/>
    <w:rsid w:val="0089455A"/>
    <w:rsid w:val="00897D04"/>
    <w:rsid w:val="008A5AAE"/>
    <w:rsid w:val="008B6789"/>
    <w:rsid w:val="008D2F6B"/>
    <w:rsid w:val="008D6E75"/>
    <w:rsid w:val="008F2EF6"/>
    <w:rsid w:val="00902A71"/>
    <w:rsid w:val="009039FD"/>
    <w:rsid w:val="00903FE0"/>
    <w:rsid w:val="00912DB4"/>
    <w:rsid w:val="00947271"/>
    <w:rsid w:val="009654DA"/>
    <w:rsid w:val="00965C69"/>
    <w:rsid w:val="00982299"/>
    <w:rsid w:val="009A35AF"/>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16268"/>
    <w:rsid w:val="00A249BB"/>
    <w:rsid w:val="00A24E51"/>
    <w:rsid w:val="00A254A9"/>
    <w:rsid w:val="00A51AAD"/>
    <w:rsid w:val="00A670E9"/>
    <w:rsid w:val="00A82709"/>
    <w:rsid w:val="00AA0AE1"/>
    <w:rsid w:val="00AB5FA4"/>
    <w:rsid w:val="00AC2723"/>
    <w:rsid w:val="00AC4A6F"/>
    <w:rsid w:val="00AD6065"/>
    <w:rsid w:val="00AE4F68"/>
    <w:rsid w:val="00AE6A4F"/>
    <w:rsid w:val="00AF196B"/>
    <w:rsid w:val="00AF5151"/>
    <w:rsid w:val="00B1184C"/>
    <w:rsid w:val="00B220EC"/>
    <w:rsid w:val="00B27119"/>
    <w:rsid w:val="00B5314A"/>
    <w:rsid w:val="00B56A3A"/>
    <w:rsid w:val="00B7084E"/>
    <w:rsid w:val="00B77C12"/>
    <w:rsid w:val="00B85EA1"/>
    <w:rsid w:val="00B87734"/>
    <w:rsid w:val="00BA03C4"/>
    <w:rsid w:val="00BA14E6"/>
    <w:rsid w:val="00BA3611"/>
    <w:rsid w:val="00BA4354"/>
    <w:rsid w:val="00BA5833"/>
    <w:rsid w:val="00BB2529"/>
    <w:rsid w:val="00BB3652"/>
    <w:rsid w:val="00BC4E43"/>
    <w:rsid w:val="00BC61D1"/>
    <w:rsid w:val="00BC748E"/>
    <w:rsid w:val="00BD18E4"/>
    <w:rsid w:val="00BD1E44"/>
    <w:rsid w:val="00BD2172"/>
    <w:rsid w:val="00BD2842"/>
    <w:rsid w:val="00BF0A4C"/>
    <w:rsid w:val="00BF5801"/>
    <w:rsid w:val="00C02953"/>
    <w:rsid w:val="00C03164"/>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66FF0"/>
    <w:rsid w:val="00C91330"/>
    <w:rsid w:val="00CB6837"/>
    <w:rsid w:val="00CC3B31"/>
    <w:rsid w:val="00CC48E8"/>
    <w:rsid w:val="00CD3DE8"/>
    <w:rsid w:val="00CF21EB"/>
    <w:rsid w:val="00CF5B92"/>
    <w:rsid w:val="00D014E1"/>
    <w:rsid w:val="00D01CA1"/>
    <w:rsid w:val="00D1453D"/>
    <w:rsid w:val="00D41F4C"/>
    <w:rsid w:val="00D44BCF"/>
    <w:rsid w:val="00D45F5C"/>
    <w:rsid w:val="00D520C8"/>
    <w:rsid w:val="00D70570"/>
    <w:rsid w:val="00D9090A"/>
    <w:rsid w:val="00D96084"/>
    <w:rsid w:val="00DA6660"/>
    <w:rsid w:val="00DC5B52"/>
    <w:rsid w:val="00DD515F"/>
    <w:rsid w:val="00DE68D2"/>
    <w:rsid w:val="00DF25D7"/>
    <w:rsid w:val="00DF54AF"/>
    <w:rsid w:val="00DF555F"/>
    <w:rsid w:val="00DF56A7"/>
    <w:rsid w:val="00E023B5"/>
    <w:rsid w:val="00E07201"/>
    <w:rsid w:val="00E11FBC"/>
    <w:rsid w:val="00E15EC7"/>
    <w:rsid w:val="00E17DF6"/>
    <w:rsid w:val="00E33169"/>
    <w:rsid w:val="00E346B0"/>
    <w:rsid w:val="00E4458C"/>
    <w:rsid w:val="00E51AC4"/>
    <w:rsid w:val="00E6528C"/>
    <w:rsid w:val="00E73F4D"/>
    <w:rsid w:val="00E83650"/>
    <w:rsid w:val="00EB0916"/>
    <w:rsid w:val="00EB68A3"/>
    <w:rsid w:val="00EC2CF3"/>
    <w:rsid w:val="00EC6A3E"/>
    <w:rsid w:val="00ED30F1"/>
    <w:rsid w:val="00ED3318"/>
    <w:rsid w:val="00ED57F6"/>
    <w:rsid w:val="00ED6104"/>
    <w:rsid w:val="00ED7D79"/>
    <w:rsid w:val="00EE5F85"/>
    <w:rsid w:val="00EF4B82"/>
    <w:rsid w:val="00EF5B46"/>
    <w:rsid w:val="00EF6910"/>
    <w:rsid w:val="00EF6BF1"/>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3445E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BC4E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27507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3445E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BC4E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next w:val="Tablaconcuadrcula"/>
    <w:uiPriority w:val="59"/>
    <w:rsid w:val="0027507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2982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015E04"/>
    <w:rsid w:val="0015011A"/>
    <w:rsid w:val="00202DDA"/>
    <w:rsid w:val="00443EA4"/>
    <w:rsid w:val="004D7936"/>
    <w:rsid w:val="0051307B"/>
    <w:rsid w:val="00583D19"/>
    <w:rsid w:val="00722728"/>
    <w:rsid w:val="00787EBD"/>
    <w:rsid w:val="007C3485"/>
    <w:rsid w:val="008E118A"/>
    <w:rsid w:val="00A104A7"/>
    <w:rsid w:val="00AB484A"/>
    <w:rsid w:val="00AC55E8"/>
    <w:rsid w:val="00C32372"/>
    <w:rsid w:val="00DA008C"/>
    <w:rsid w:val="00DC78EE"/>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4873beb7-5857-4685-be1f-d57550cc96cc"/>
    <ds:schemaRef ds:uri="http://purl.org/dc/te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827D4-AC33-4582-B6FE-CE7D72D4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204</TotalTime>
  <Pages>6</Pages>
  <Words>1516</Words>
  <Characters>8338</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11</cp:revision>
  <cp:lastPrinted>2008-09-26T23:14:00Z</cp:lastPrinted>
  <dcterms:created xsi:type="dcterms:W3CDTF">2023-04-19T07:49:00Z</dcterms:created>
  <dcterms:modified xsi:type="dcterms:W3CDTF">2023-05-16T09:17:00Z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