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D7" w:rsidRDefault="00651F1A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9318D7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9318D7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9318D7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la Fundación Centro Nacional del Vidrio </w:t>
                                </w:r>
                              </w:sdtContent>
                            </w:sdt>
                            <w:r w:rsidR="009318D7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9318D7" w:rsidRDefault="00573E8B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9318D7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9318D7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9318D7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la Fundación Centro Nacional del Vidrio </w:t>
                          </w:r>
                        </w:sdtContent>
                      </w:sdt>
                      <w:r w:rsidR="009318D7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318D7" w:rsidRDefault="009318D7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9318D7" w:rsidRDefault="009318D7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C3F8E" w:rsidRDefault="008C3F8E" w:rsidP="00415D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8"/>
        <w:gridCol w:w="5348"/>
      </w:tblGrid>
      <w:tr w:rsidR="008C3F8E" w:rsidTr="00BB65D4">
        <w:tc>
          <w:tcPr>
            <w:tcW w:w="5348" w:type="dxa"/>
          </w:tcPr>
          <w:p w:rsidR="008C3F8E" w:rsidRDefault="008C3F8E" w:rsidP="00BB65D4">
            <w:r w:rsidRPr="004E3C77">
              <w:rPr>
                <w:b/>
                <w:color w:val="50866C"/>
                <w:szCs w:val="30"/>
                <w:lang w:bidi="es-ES"/>
              </w:rPr>
              <w:t>Fecha de la evaluación</w:t>
            </w:r>
          </w:p>
        </w:tc>
        <w:tc>
          <w:tcPr>
            <w:tcW w:w="5348" w:type="dxa"/>
          </w:tcPr>
          <w:p w:rsidR="008C3F8E" w:rsidRDefault="008C3F8E" w:rsidP="00BB65D4">
            <w:r>
              <w:t>25/04/2023</w:t>
            </w:r>
          </w:p>
          <w:p w:rsidR="008C3F8E" w:rsidRDefault="008C3F8E" w:rsidP="00BB65D4">
            <w:r>
              <w:t>Segunda revisión: 16/05/2023</w:t>
            </w:r>
          </w:p>
        </w:tc>
      </w:tr>
    </w:tbl>
    <w:p w:rsidR="008C3F8E" w:rsidRDefault="008C3F8E" w:rsidP="00415DBD"/>
    <w:p w:rsidR="008C3F8E" w:rsidRPr="00B1184C" w:rsidRDefault="008C3F8E" w:rsidP="00415DBD"/>
    <w:p w:rsidR="0082470D" w:rsidRPr="002D27E4" w:rsidRDefault="00651F1A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E15EC7">
        <w:trPr>
          <w:cantSplit/>
          <w:tblHeader/>
        </w:trPr>
        <w:tc>
          <w:tcPr>
            <w:tcW w:w="1668" w:type="dxa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4D6B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  <w:r w:rsidR="00715E7D">
              <w:rPr>
                <w:sz w:val="18"/>
                <w:szCs w:val="18"/>
              </w:rPr>
              <w:t xml:space="preserve">: </w:t>
            </w:r>
            <w:r w:rsidR="004D6B23">
              <w:rPr>
                <w:sz w:val="18"/>
                <w:szCs w:val="18"/>
              </w:rPr>
              <w:t>Ubicación del enlace al Portal en un apartado más visible de la web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1152D4" w:rsidP="004D6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El enlace sigue estando ubicado en la parte inferior de la página home, en un lugar poco visible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1F5CFA" w:rsidRDefault="00A249BB" w:rsidP="001F5C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C66FF0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1F5CFA" w:rsidRDefault="00A249BB" w:rsidP="001F5C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Pr="007465AA" w:rsidRDefault="00E07201" w:rsidP="001521CD">
            <w:pPr>
              <w:rPr>
                <w:sz w:val="18"/>
                <w:szCs w:val="18"/>
              </w:rPr>
            </w:pPr>
            <w:r w:rsidRPr="00E07201">
              <w:rPr>
                <w:sz w:val="18"/>
                <w:szCs w:val="18"/>
              </w:rPr>
              <w:t xml:space="preserve">Publicación de </w:t>
            </w:r>
            <w:r w:rsidR="001A0BD4" w:rsidRPr="007465AA">
              <w:rPr>
                <w:sz w:val="18"/>
                <w:szCs w:val="18"/>
              </w:rPr>
              <w:t>Contenidos</w:t>
            </w:r>
          </w:p>
        </w:tc>
        <w:tc>
          <w:tcPr>
            <w:tcW w:w="5528" w:type="dxa"/>
          </w:tcPr>
          <w:p w:rsidR="001A0BD4" w:rsidRPr="007465AA" w:rsidRDefault="001F5CFA" w:rsidP="0071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Normativa aplicable: publicación de los Estatutos</w:t>
            </w:r>
          </w:p>
        </w:tc>
        <w:tc>
          <w:tcPr>
            <w:tcW w:w="709" w:type="dxa"/>
          </w:tcPr>
          <w:p w:rsidR="001A0BD4" w:rsidRPr="00C66FF0" w:rsidRDefault="001A0BD4" w:rsidP="00C66FF0">
            <w:pPr>
              <w:pStyle w:val="Prrafodelista"/>
              <w:numPr>
                <w:ilvl w:val="0"/>
                <w:numId w:val="2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C66FF0" w:rsidP="00C66F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, se ha incluido esta información</w:t>
            </w:r>
            <w:r w:rsidR="00715E7D">
              <w:rPr>
                <w:sz w:val="18"/>
                <w:szCs w:val="18"/>
              </w:rPr>
              <w:t xml:space="preserve">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4D6B23" w:rsidP="0071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E4458C" w:rsidP="001F5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1F5CFA">
              <w:rPr>
                <w:sz w:val="18"/>
                <w:szCs w:val="18"/>
              </w:rPr>
              <w:t>No se publica el RAT</w:t>
            </w:r>
          </w:p>
        </w:tc>
      </w:tr>
      <w:tr w:rsidR="001F5CFA" w:rsidRPr="007465AA" w:rsidTr="007465AA">
        <w:tc>
          <w:tcPr>
            <w:tcW w:w="1668" w:type="dxa"/>
            <w:vMerge/>
            <w:vAlign w:val="center"/>
          </w:tcPr>
          <w:p w:rsidR="001F5CFA" w:rsidRPr="007465AA" w:rsidRDefault="001F5CFA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F5CFA" w:rsidRDefault="001F5CFA" w:rsidP="004D6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Descripción de la estructura organizativa</w:t>
            </w:r>
          </w:p>
        </w:tc>
        <w:tc>
          <w:tcPr>
            <w:tcW w:w="709" w:type="dxa"/>
          </w:tcPr>
          <w:p w:rsidR="001F5CFA" w:rsidRPr="004D6B23" w:rsidRDefault="001F5CFA" w:rsidP="00573E8B">
            <w:pPr>
              <w:pStyle w:val="Prrafodelista"/>
              <w:numPr>
                <w:ilvl w:val="0"/>
                <w:numId w:val="2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F5CFA" w:rsidRPr="00332631" w:rsidRDefault="001F5CFA" w:rsidP="004D6B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F5CFA" w:rsidRPr="007465AA" w:rsidTr="007465AA">
        <w:tc>
          <w:tcPr>
            <w:tcW w:w="1668" w:type="dxa"/>
            <w:vMerge/>
            <w:vAlign w:val="center"/>
          </w:tcPr>
          <w:p w:rsidR="001F5CFA" w:rsidRPr="007465AA" w:rsidRDefault="001F5CFA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F5CFA" w:rsidRDefault="001F5CFA" w:rsidP="004D6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Identificación de los máximos responsables</w:t>
            </w:r>
          </w:p>
        </w:tc>
        <w:tc>
          <w:tcPr>
            <w:tcW w:w="709" w:type="dxa"/>
          </w:tcPr>
          <w:p w:rsidR="001F5CFA" w:rsidRPr="004D6B23" w:rsidRDefault="001F5CFA" w:rsidP="00573E8B">
            <w:pPr>
              <w:pStyle w:val="Prrafodelista"/>
              <w:numPr>
                <w:ilvl w:val="0"/>
                <w:numId w:val="2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F5CFA" w:rsidRPr="00332631" w:rsidRDefault="001F5CFA" w:rsidP="004D6B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Se informa de que la Dirección está vacante y se identifica al coordinador y directores de área. También se identifica a los miembros del Patronato</w:t>
            </w:r>
          </w:p>
        </w:tc>
      </w:tr>
      <w:tr w:rsidR="00332631" w:rsidRPr="007465AA" w:rsidTr="007465AA">
        <w:tc>
          <w:tcPr>
            <w:tcW w:w="1668" w:type="dxa"/>
            <w:vMerge/>
            <w:vAlign w:val="center"/>
          </w:tcPr>
          <w:p w:rsidR="00332631" w:rsidRPr="007465AA" w:rsidRDefault="00332631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332631" w:rsidRDefault="00332631" w:rsidP="004D6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Perfil y trayectoria profesional de los máximos responsables.</w:t>
            </w:r>
          </w:p>
        </w:tc>
        <w:tc>
          <w:tcPr>
            <w:tcW w:w="709" w:type="dxa"/>
          </w:tcPr>
          <w:p w:rsidR="00332631" w:rsidRPr="004D6B23" w:rsidRDefault="00332631" w:rsidP="00573E8B">
            <w:pPr>
              <w:pStyle w:val="Prrafodelista"/>
              <w:numPr>
                <w:ilvl w:val="0"/>
                <w:numId w:val="2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332631" w:rsidRPr="00332631" w:rsidRDefault="00332631" w:rsidP="001F5CFA">
            <w:pPr>
              <w:rPr>
                <w:sz w:val="18"/>
                <w:szCs w:val="18"/>
              </w:rPr>
            </w:pPr>
            <w:proofErr w:type="spellStart"/>
            <w:r w:rsidRPr="00332631">
              <w:rPr>
                <w:sz w:val="18"/>
                <w:szCs w:val="18"/>
              </w:rPr>
              <w:t>Si</w:t>
            </w:r>
            <w:proofErr w:type="spellEnd"/>
            <w:r w:rsidRPr="00332631">
              <w:rPr>
                <w:sz w:val="18"/>
                <w:szCs w:val="18"/>
              </w:rPr>
              <w:t xml:space="preserve">, </w:t>
            </w:r>
            <w:r w:rsidR="001F5CFA">
              <w:rPr>
                <w:sz w:val="18"/>
                <w:szCs w:val="18"/>
              </w:rPr>
              <w:t>se informa de que la Dirección de la Fundación se encuentra vacante.  Por otra parte, l</w:t>
            </w:r>
            <w:r>
              <w:rPr>
                <w:sz w:val="18"/>
                <w:szCs w:val="18"/>
              </w:rPr>
              <w:t>os miembros del Patronato, lo son en representación de diversas instituciones públicas</w:t>
            </w:r>
          </w:p>
        </w:tc>
      </w:tr>
      <w:tr w:rsidR="00715E7D" w:rsidRPr="007465AA" w:rsidTr="007465AA">
        <w:tc>
          <w:tcPr>
            <w:tcW w:w="1668" w:type="dxa"/>
            <w:vMerge/>
            <w:vAlign w:val="center"/>
          </w:tcPr>
          <w:p w:rsidR="00715E7D" w:rsidRPr="007465AA" w:rsidRDefault="00715E7D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15E7D" w:rsidRDefault="004D6B23" w:rsidP="00AF3E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Contratos: </w:t>
            </w:r>
          </w:p>
        </w:tc>
        <w:tc>
          <w:tcPr>
            <w:tcW w:w="709" w:type="dxa"/>
          </w:tcPr>
          <w:p w:rsidR="00715E7D" w:rsidRPr="004D6B23" w:rsidRDefault="00715E7D" w:rsidP="00573E8B">
            <w:pPr>
              <w:pStyle w:val="Prrafodelista"/>
              <w:numPr>
                <w:ilvl w:val="0"/>
                <w:numId w:val="2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715E7D" w:rsidRPr="00332631" w:rsidRDefault="004D6B23" w:rsidP="00AF3E73">
            <w:pPr>
              <w:rPr>
                <w:sz w:val="18"/>
                <w:szCs w:val="18"/>
              </w:rPr>
            </w:pPr>
            <w:proofErr w:type="spellStart"/>
            <w:r w:rsidRPr="00332631">
              <w:rPr>
                <w:sz w:val="18"/>
                <w:szCs w:val="18"/>
              </w:rPr>
              <w:t>Si</w:t>
            </w:r>
            <w:proofErr w:type="spellEnd"/>
            <w:r w:rsidRPr="00332631">
              <w:rPr>
                <w:sz w:val="18"/>
                <w:szCs w:val="18"/>
              </w:rPr>
              <w:t xml:space="preserve">, </w:t>
            </w:r>
            <w:r w:rsidR="00AF3E73">
              <w:rPr>
                <w:sz w:val="18"/>
                <w:szCs w:val="18"/>
              </w:rPr>
              <w:t>se publica información correspondiente a los ejercicios 2020 a 2022. No ha sido posible acceder a la información correspondiente a 2021 y 2022 porque los enlaces a la información estaban rotos en el momento de efectuar la presente revisión.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C1049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  <w:r w:rsidR="00332631">
              <w:rPr>
                <w:sz w:val="18"/>
                <w:szCs w:val="18"/>
              </w:rPr>
              <w:t>: obligaciones económicas</w:t>
            </w:r>
          </w:p>
        </w:tc>
        <w:tc>
          <w:tcPr>
            <w:tcW w:w="709" w:type="dxa"/>
          </w:tcPr>
          <w:p w:rsidR="001A0BD4" w:rsidRPr="00573E8B" w:rsidRDefault="001A0BD4" w:rsidP="00573E8B">
            <w:pPr>
              <w:pStyle w:val="Prrafodelista"/>
              <w:numPr>
                <w:ilvl w:val="0"/>
                <w:numId w:val="2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8E6D2E" w:rsidP="00C10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No, existe un apartado </w:t>
            </w:r>
            <w:r>
              <w:rPr>
                <w:sz w:val="18"/>
                <w:szCs w:val="18"/>
              </w:rPr>
              <w:lastRenderedPageBreak/>
              <w:t>Convenios en el Portal, pero el enlace a la información está inactivo.</w:t>
            </w:r>
          </w:p>
        </w:tc>
      </w:tr>
      <w:tr w:rsidR="008E6D2E" w:rsidRPr="007465AA" w:rsidTr="007465AA">
        <w:tc>
          <w:tcPr>
            <w:tcW w:w="1668" w:type="dxa"/>
            <w:vMerge/>
            <w:vAlign w:val="center"/>
          </w:tcPr>
          <w:p w:rsidR="008E6D2E" w:rsidRPr="007465AA" w:rsidRDefault="008E6D2E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E6D2E" w:rsidRDefault="008E6D2E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Subvenciones: activar enlaces</w:t>
            </w:r>
          </w:p>
        </w:tc>
        <w:tc>
          <w:tcPr>
            <w:tcW w:w="709" w:type="dxa"/>
          </w:tcPr>
          <w:p w:rsidR="008E6D2E" w:rsidRPr="008E6D2E" w:rsidRDefault="008E6D2E" w:rsidP="00573E8B">
            <w:pPr>
              <w:pStyle w:val="Prrafodelista"/>
              <w:numPr>
                <w:ilvl w:val="0"/>
                <w:numId w:val="2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8E6D2E" w:rsidRDefault="008E6D2E" w:rsidP="00035DF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, pero se publican las ayudas percibidas por la Fundación procedentes de diversas administraciones públicas, no se ha localizado información sobre las subvenciones concedidas por la Fundación.</w:t>
            </w:r>
          </w:p>
        </w:tc>
      </w:tr>
      <w:tr w:rsidR="00C1049E" w:rsidRPr="007465AA" w:rsidTr="007465AA">
        <w:tc>
          <w:tcPr>
            <w:tcW w:w="1668" w:type="dxa"/>
            <w:vMerge/>
            <w:vAlign w:val="center"/>
          </w:tcPr>
          <w:p w:rsidR="00C1049E" w:rsidRPr="007465AA" w:rsidRDefault="00C1049E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1049E" w:rsidRPr="007465AA" w:rsidRDefault="00C1049E" w:rsidP="008E6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Presupuesto</w:t>
            </w:r>
            <w:r w:rsidR="00332631">
              <w:rPr>
                <w:sz w:val="18"/>
                <w:szCs w:val="18"/>
              </w:rPr>
              <w:t xml:space="preserve">: </w:t>
            </w:r>
          </w:p>
        </w:tc>
        <w:tc>
          <w:tcPr>
            <w:tcW w:w="709" w:type="dxa"/>
          </w:tcPr>
          <w:p w:rsidR="00C1049E" w:rsidRPr="008E6D2E" w:rsidRDefault="00C1049E" w:rsidP="008E6D2E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C1049E" w:rsidRDefault="008E6D2E" w:rsidP="008C3F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No, sigue sin publicarse el presupuesto</w:t>
            </w:r>
            <w:r w:rsidR="008C3F8E">
              <w:rPr>
                <w:sz w:val="18"/>
                <w:szCs w:val="18"/>
              </w:rPr>
              <w:t xml:space="preserve">. Los enlaces a la información no están activos y además se refieren a los ejercicios 2014 a 2016 </w:t>
            </w:r>
          </w:p>
        </w:tc>
      </w:tr>
      <w:tr w:rsidR="008E6D2E" w:rsidRPr="007465AA" w:rsidTr="007465AA">
        <w:tc>
          <w:tcPr>
            <w:tcW w:w="1668" w:type="dxa"/>
            <w:vMerge/>
            <w:vAlign w:val="center"/>
          </w:tcPr>
          <w:p w:rsidR="008E6D2E" w:rsidRPr="007465AA" w:rsidRDefault="008E6D2E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E6D2E" w:rsidRPr="007465AA" w:rsidRDefault="008E6D2E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Cuentas anuales</w:t>
            </w:r>
          </w:p>
        </w:tc>
        <w:tc>
          <w:tcPr>
            <w:tcW w:w="709" w:type="dxa"/>
          </w:tcPr>
          <w:p w:rsidR="008E6D2E" w:rsidRPr="00B27119" w:rsidRDefault="008E6D2E" w:rsidP="00B27119">
            <w:pPr>
              <w:pStyle w:val="Prrafodelista"/>
              <w:numPr>
                <w:ilvl w:val="0"/>
                <w:numId w:val="2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8E6D2E" w:rsidRDefault="008E6D2E" w:rsidP="00C104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8C3F8E">
              <w:rPr>
                <w:sz w:val="18"/>
                <w:szCs w:val="18"/>
              </w:rPr>
              <w:t xml:space="preserve">pero </w:t>
            </w:r>
            <w:r>
              <w:rPr>
                <w:sz w:val="18"/>
                <w:szCs w:val="18"/>
              </w:rPr>
              <w:t>el enlace a las cuentas de 2021 estaba roto en el momento de efectuar la presente revisión.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8E6D2E" w:rsidRDefault="001A0BD4" w:rsidP="008E6D2E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8E6D2E" w:rsidP="00C10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No, no se publican los informes de auditoría o fiscalización elaborados por el </w:t>
            </w:r>
            <w:r w:rsidR="00B27119">
              <w:rPr>
                <w:sz w:val="18"/>
                <w:szCs w:val="18"/>
              </w:rPr>
              <w:t xml:space="preserve"> Tribunal de Cuentas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8E6D2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  <w:r w:rsidR="00B27119">
              <w:rPr>
                <w:sz w:val="18"/>
                <w:szCs w:val="18"/>
              </w:rPr>
              <w:t xml:space="preserve">: </w:t>
            </w:r>
            <w:r w:rsidR="008E6D2E">
              <w:rPr>
                <w:sz w:val="18"/>
                <w:szCs w:val="18"/>
              </w:rPr>
              <w:t>activar enlaces</w:t>
            </w:r>
          </w:p>
        </w:tc>
        <w:tc>
          <w:tcPr>
            <w:tcW w:w="709" w:type="dxa"/>
          </w:tcPr>
          <w:p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825202" w:rsidP="008E6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C1049E">
              <w:rPr>
                <w:sz w:val="18"/>
                <w:szCs w:val="18"/>
              </w:rPr>
              <w:t xml:space="preserve">. </w:t>
            </w:r>
            <w:r w:rsidR="008E6D2E">
              <w:rPr>
                <w:sz w:val="18"/>
                <w:szCs w:val="18"/>
              </w:rPr>
              <w:t>Los enlaces siguen desactivados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Pr="008E6D2E" w:rsidRDefault="001A0BD4" w:rsidP="008E6D2E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A0BD4" w:rsidRPr="007465AA" w:rsidRDefault="008E6D2E" w:rsidP="00B27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No, no se publica información</w:t>
            </w:r>
          </w:p>
        </w:tc>
      </w:tr>
      <w:tr w:rsidR="008E6D2E" w:rsidRPr="007465AA" w:rsidTr="007465AA">
        <w:tc>
          <w:tcPr>
            <w:tcW w:w="1668" w:type="dxa"/>
            <w:vMerge/>
            <w:vAlign w:val="center"/>
          </w:tcPr>
          <w:p w:rsidR="008E6D2E" w:rsidRPr="007465AA" w:rsidRDefault="008E6D2E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E6D2E" w:rsidRPr="001A0BD4" w:rsidRDefault="008E6D2E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Autorizaciones de compatibilidad concedidas a empleados: publicación en el Portal de Transparencia de la entidad</w:t>
            </w:r>
          </w:p>
        </w:tc>
        <w:tc>
          <w:tcPr>
            <w:tcW w:w="709" w:type="dxa"/>
          </w:tcPr>
          <w:p w:rsidR="008E6D2E" w:rsidRPr="008E6D2E" w:rsidRDefault="008E6D2E" w:rsidP="008E6D2E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8E6D2E" w:rsidRPr="008E6D2E" w:rsidRDefault="008E6D2E">
            <w:pPr>
              <w:rPr>
                <w:sz w:val="18"/>
                <w:szCs w:val="18"/>
              </w:rPr>
            </w:pPr>
            <w:r w:rsidRPr="008E6D2E">
              <w:rPr>
                <w:sz w:val="18"/>
                <w:szCs w:val="18"/>
              </w:rPr>
              <w:t>No, no se publica información</w:t>
            </w:r>
          </w:p>
        </w:tc>
      </w:tr>
      <w:tr w:rsidR="008E6D2E" w:rsidRPr="007465AA" w:rsidTr="007465AA">
        <w:tc>
          <w:tcPr>
            <w:tcW w:w="1668" w:type="dxa"/>
            <w:vMerge/>
            <w:vAlign w:val="center"/>
          </w:tcPr>
          <w:p w:rsidR="008E6D2E" w:rsidRPr="007465AA" w:rsidRDefault="008E6D2E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E6D2E" w:rsidRPr="00337C82" w:rsidRDefault="008E6D2E" w:rsidP="001521CD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8E6D2E" w:rsidRPr="008E6D2E" w:rsidRDefault="008E6D2E" w:rsidP="008E6D2E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8E6D2E" w:rsidRPr="008E6D2E" w:rsidRDefault="008E6D2E">
            <w:pPr>
              <w:rPr>
                <w:sz w:val="18"/>
                <w:szCs w:val="18"/>
              </w:rPr>
            </w:pPr>
            <w:r w:rsidRPr="008E6D2E">
              <w:rPr>
                <w:sz w:val="18"/>
                <w:szCs w:val="18"/>
              </w:rPr>
              <w:t>No, no se publica información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8E6D2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2F09AE" w:rsidRDefault="00A249BB" w:rsidP="002F09AE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15E7D" w:rsidRDefault="00A249BB" w:rsidP="00332631">
            <w:pPr>
              <w:pStyle w:val="Prrafodelista"/>
              <w:numPr>
                <w:ilvl w:val="0"/>
                <w:numId w:val="24"/>
              </w:numPr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332631" w:rsidP="001521C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, se publica la fecha de actualización para cada uno de los bloques de obligaciones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1521CD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2F09AE" w:rsidP="00035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777" w:type="dxa"/>
          </w:tcPr>
          <w:p w:rsidR="00A249BB" w:rsidRPr="007465AA" w:rsidRDefault="00A249BB" w:rsidP="001521CD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BA4354" w:rsidRDefault="00100121" w:rsidP="00DF56A7">
      <w:pPr>
        <w:jc w:val="both"/>
      </w:pPr>
      <w:r>
        <w:t xml:space="preserve">La Fundación </w:t>
      </w:r>
      <w:r w:rsidR="00A979CC">
        <w:t>Centro Nacional del Vidrio</w:t>
      </w:r>
      <w:r w:rsidR="00A254A9">
        <w:t xml:space="preserve"> ha aplicado </w:t>
      </w:r>
      <w:r w:rsidR="002F09AE">
        <w:t>7</w:t>
      </w:r>
      <w:r w:rsidR="008B6789">
        <w:t xml:space="preserve"> de las </w:t>
      </w:r>
      <w:r w:rsidR="00B27119">
        <w:t>1</w:t>
      </w:r>
      <w:r w:rsidR="002F09AE">
        <w:t>7</w:t>
      </w:r>
      <w:r w:rsidR="00035DFF">
        <w:t xml:space="preserve"> </w:t>
      </w:r>
      <w:r w:rsidR="008B6789">
        <w:t>recomendaciones derivadas de la evaluación 2022.</w:t>
      </w:r>
    </w:p>
    <w:p w:rsidR="00FA5AFD" w:rsidRDefault="00FA5AFD" w:rsidP="00AC4A6F"/>
    <w:p w:rsidR="00A979CC" w:rsidRDefault="00A979CC" w:rsidP="00AC4A6F"/>
    <w:p w:rsidR="00A979CC" w:rsidRDefault="00A979CC" w:rsidP="00AC4A6F"/>
    <w:p w:rsidR="00A979CC" w:rsidRDefault="00A979CC" w:rsidP="00AC4A6F"/>
    <w:p w:rsidR="00A979CC" w:rsidRDefault="00A979CC" w:rsidP="00AC4A6F"/>
    <w:p w:rsidR="00A979CC" w:rsidRDefault="00A979CC" w:rsidP="00AC4A6F"/>
    <w:p w:rsidR="00A979CC" w:rsidRDefault="00A979CC" w:rsidP="00AC4A6F"/>
    <w:p w:rsidR="00A979CC" w:rsidRDefault="00A979CC" w:rsidP="00AC4A6F"/>
    <w:p w:rsidR="00A979CC" w:rsidRDefault="00A979CC" w:rsidP="00AC4A6F"/>
    <w:p w:rsidR="00A979CC" w:rsidRDefault="00A979CC" w:rsidP="00AC4A6F"/>
    <w:p w:rsidR="00A979CC" w:rsidRDefault="00A979CC" w:rsidP="00AC4A6F"/>
    <w:p w:rsidR="00A979CC" w:rsidRDefault="00A979CC" w:rsidP="00AC4A6F"/>
    <w:p w:rsidR="00A979CC" w:rsidRDefault="00A979CC" w:rsidP="00AC4A6F"/>
    <w:p w:rsidR="00A979CC" w:rsidRDefault="00A979CC" w:rsidP="00AC4A6F"/>
    <w:p w:rsidR="003F6EDC" w:rsidRPr="002D27E4" w:rsidRDefault="002D27E4" w:rsidP="00035DFF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318D7" w:rsidRPr="00F31BC3" w:rsidRDefault="009318D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9318D7" w:rsidRPr="00F31BC3" w:rsidRDefault="009318D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4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00121" w:rsidRPr="00100121" w:rsidTr="00A25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8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0121" w:rsidRPr="00100121" w:rsidRDefault="00100121" w:rsidP="00100121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0121" w:rsidRPr="00100121" w:rsidRDefault="00100121" w:rsidP="0010012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0121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0121" w:rsidRPr="00100121" w:rsidRDefault="00100121" w:rsidP="0010012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0121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0121" w:rsidRPr="00100121" w:rsidRDefault="00100121" w:rsidP="0010012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0121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0121" w:rsidRPr="00100121" w:rsidRDefault="00100121" w:rsidP="0010012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0121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0121" w:rsidRPr="00100121" w:rsidRDefault="00100121" w:rsidP="0010012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0121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0121" w:rsidRPr="00100121" w:rsidRDefault="00100121" w:rsidP="0010012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0121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0121" w:rsidRPr="00100121" w:rsidRDefault="00100121" w:rsidP="0010012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0121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0121" w:rsidRPr="00100121" w:rsidRDefault="00100121" w:rsidP="0010012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0121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A979CC" w:rsidRPr="00100121" w:rsidTr="00A97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A979CC" w:rsidRPr="00100121" w:rsidRDefault="00A979CC" w:rsidP="00100121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00121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979CC" w:rsidRPr="00A979CC" w:rsidRDefault="00A979CC" w:rsidP="00A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979CC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A979CC" w:rsidRPr="00A979CC" w:rsidRDefault="00A979CC" w:rsidP="00A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979CC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A979CC" w:rsidRPr="00A979CC" w:rsidRDefault="00A979CC" w:rsidP="00A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979CC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A979CC" w:rsidRPr="00A979CC" w:rsidRDefault="00A979CC" w:rsidP="00A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979CC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A979CC" w:rsidRPr="00A979CC" w:rsidRDefault="00A979CC" w:rsidP="00A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979CC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A979CC" w:rsidRPr="00A979CC" w:rsidRDefault="00A979CC" w:rsidP="00A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979CC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A979CC" w:rsidRPr="00A979CC" w:rsidRDefault="00A979CC" w:rsidP="00A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979CC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A979CC" w:rsidRPr="00A979CC" w:rsidRDefault="00A979CC" w:rsidP="00A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979CC">
              <w:rPr>
                <w:sz w:val="16"/>
              </w:rPr>
              <w:t>81,0</w:t>
            </w:r>
          </w:p>
        </w:tc>
      </w:tr>
      <w:tr w:rsidR="00A979CC" w:rsidRPr="00100121" w:rsidTr="00A979C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979CC" w:rsidRPr="00100121" w:rsidRDefault="00A979CC" w:rsidP="00100121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00121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979CC" w:rsidRPr="00A979CC" w:rsidRDefault="00A979CC" w:rsidP="00A9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979CC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979CC" w:rsidRPr="00A979CC" w:rsidRDefault="00A979CC" w:rsidP="00A9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979CC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979CC" w:rsidRPr="00A979CC" w:rsidRDefault="00A979CC" w:rsidP="00A9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979CC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979CC" w:rsidRPr="00A979CC" w:rsidRDefault="00A979CC" w:rsidP="00A9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979CC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979CC" w:rsidRPr="00A979CC" w:rsidRDefault="00A979CC" w:rsidP="00A9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979CC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979CC" w:rsidRPr="00A979CC" w:rsidRDefault="00A979CC" w:rsidP="00A9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979CC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979CC" w:rsidRPr="00A979CC" w:rsidRDefault="00A979CC" w:rsidP="00A9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979CC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979CC" w:rsidRPr="00A979CC" w:rsidRDefault="00A979CC" w:rsidP="00A9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979CC">
              <w:rPr>
                <w:sz w:val="16"/>
              </w:rPr>
              <w:t>0,0</w:t>
            </w:r>
          </w:p>
        </w:tc>
      </w:tr>
      <w:tr w:rsidR="00A979CC" w:rsidRPr="00100121" w:rsidTr="00A97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979CC" w:rsidRPr="00100121" w:rsidRDefault="00A979CC" w:rsidP="00100121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00121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979CC" w:rsidRPr="00A979CC" w:rsidRDefault="00A979CC" w:rsidP="00A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979CC">
              <w:rPr>
                <w:b/>
                <w:i/>
                <w:sz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:rsidR="00A979CC" w:rsidRPr="00A979CC" w:rsidRDefault="00A979CC" w:rsidP="00A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979CC">
              <w:rPr>
                <w:b/>
                <w:i/>
                <w:sz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:rsidR="00A979CC" w:rsidRPr="00A979CC" w:rsidRDefault="00A979CC" w:rsidP="00A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979CC">
              <w:rPr>
                <w:b/>
                <w:i/>
                <w:sz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:rsidR="00A979CC" w:rsidRPr="00A979CC" w:rsidRDefault="00A979CC" w:rsidP="00A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979CC">
              <w:rPr>
                <w:b/>
                <w:i/>
                <w:sz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:rsidR="00A979CC" w:rsidRPr="00A979CC" w:rsidRDefault="00A979CC" w:rsidP="00A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979CC">
              <w:rPr>
                <w:b/>
                <w:i/>
                <w:sz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:rsidR="00A979CC" w:rsidRPr="00A979CC" w:rsidRDefault="00A979CC" w:rsidP="00A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979CC">
              <w:rPr>
                <w:b/>
                <w:i/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A979CC" w:rsidRPr="00A979CC" w:rsidRDefault="00A979CC" w:rsidP="00A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979CC">
              <w:rPr>
                <w:b/>
                <w:i/>
                <w:sz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:rsidR="00A979CC" w:rsidRPr="00A979CC" w:rsidRDefault="00A979CC" w:rsidP="00A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979CC">
              <w:rPr>
                <w:b/>
                <w:i/>
                <w:sz w:val="16"/>
              </w:rPr>
              <w:t>31,3</w:t>
            </w:r>
          </w:p>
        </w:tc>
      </w:tr>
    </w:tbl>
    <w:p w:rsidR="00100121" w:rsidRDefault="00100121" w:rsidP="00F05E2C">
      <w:pPr>
        <w:pStyle w:val="Cuerpodelboletn"/>
        <w:rPr>
          <w:lang w:bidi="es-ES"/>
        </w:rPr>
      </w:pPr>
    </w:p>
    <w:p w:rsidR="00A979CC" w:rsidRDefault="004061BC" w:rsidP="00F05E2C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A979CC">
        <w:rPr>
          <w:lang w:bidi="es-ES"/>
        </w:rPr>
        <w:t>31,3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4413FC">
        <w:rPr>
          <w:lang w:bidi="es-ES"/>
        </w:rPr>
        <w:t>2</w:t>
      </w:r>
      <w:r w:rsidR="00BB3652">
        <w:rPr>
          <w:lang w:bidi="es-ES"/>
        </w:rPr>
        <w:t xml:space="preserve"> </w:t>
      </w:r>
      <w:r w:rsidR="00880290">
        <w:rPr>
          <w:lang w:bidi="es-ES"/>
        </w:rPr>
        <w:t xml:space="preserve">se ha incrementado en </w:t>
      </w:r>
      <w:r w:rsidR="00A979CC">
        <w:rPr>
          <w:lang w:bidi="es-ES"/>
        </w:rPr>
        <w:t>14,8</w:t>
      </w:r>
      <w:r w:rsidR="00880290">
        <w:rPr>
          <w:lang w:bidi="es-ES"/>
        </w:rPr>
        <w:t xml:space="preserve"> puntos porcentuales, </w:t>
      </w:r>
      <w:r w:rsidR="00A254A9" w:rsidRPr="00A254A9">
        <w:rPr>
          <w:lang w:bidi="es-ES"/>
        </w:rPr>
        <w:t xml:space="preserve">atribuibles a que la aplicación de </w:t>
      </w:r>
      <w:r w:rsidR="00A979CC">
        <w:rPr>
          <w:lang w:bidi="es-ES"/>
        </w:rPr>
        <w:t xml:space="preserve">varias </w:t>
      </w:r>
      <w:r w:rsidR="00A254A9" w:rsidRPr="00A254A9">
        <w:rPr>
          <w:lang w:bidi="es-ES"/>
        </w:rPr>
        <w:t>reco</w:t>
      </w:r>
      <w:r w:rsidR="00A979CC">
        <w:rPr>
          <w:lang w:bidi="es-ES"/>
        </w:rPr>
        <w:t>mendaciones efectuadas en 2022.</w:t>
      </w:r>
    </w:p>
    <w:p w:rsidR="00A979CC" w:rsidRDefault="00A979CC" w:rsidP="00F05E2C">
      <w:pPr>
        <w:pStyle w:val="Cuerpodelboletn"/>
        <w:rPr>
          <w:lang w:bidi="es-ES"/>
        </w:rPr>
        <w:sectPr w:rsidR="00A979CC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9318D7" w:rsidRDefault="00880290" w:rsidP="00A254A9">
      <w:pPr>
        <w:pStyle w:val="Cuerpodelboletn"/>
        <w:spacing w:line="276" w:lineRule="auto"/>
      </w:pPr>
      <w:r>
        <w:t>Aunque el Índice de cumplimiento de la Información Obligatoria mejora respecto de 2022 -,</w:t>
      </w:r>
      <w:r w:rsidR="00A254A9">
        <w:t xml:space="preserve"> y </w:t>
      </w:r>
      <w:r>
        <w:t xml:space="preserve"> e</w:t>
      </w:r>
      <w:r w:rsidR="004413FC">
        <w:t xml:space="preserve">ste CTBG </w:t>
      </w:r>
      <w:r w:rsidR="00A254A9">
        <w:t xml:space="preserve">valora positivamente que la Fundación </w:t>
      </w:r>
      <w:r w:rsidR="00A979CC">
        <w:t>Centro Nacional del Vidrio</w:t>
      </w:r>
      <w:r w:rsidR="00A254A9">
        <w:t xml:space="preserve"> haya aplicado </w:t>
      </w:r>
      <w:r w:rsidR="00A979CC">
        <w:t>más d</w:t>
      </w:r>
      <w:r w:rsidR="00A254A9">
        <w:t xml:space="preserve">el </w:t>
      </w:r>
      <w:r w:rsidR="00A979CC">
        <w:t>40</w:t>
      </w:r>
      <w:r w:rsidR="00A254A9">
        <w:t>% de las recomendaciones derivadas de la evaluación 2022, este buen desempeño no se ha visto reflejado en un mayor crecimiento del Índice de Cumplimiento</w:t>
      </w:r>
      <w:r w:rsidR="00EF6BF1">
        <w:t>,</w:t>
      </w:r>
      <w:r w:rsidR="00A254A9">
        <w:t xml:space="preserve"> </w:t>
      </w:r>
      <w:r w:rsidR="00A979CC">
        <w:t>como consecuencia de la existencia de enlaces rotos a diversas informaciones</w:t>
      </w:r>
      <w:r w:rsidR="00A254A9">
        <w:t xml:space="preserve">. </w:t>
      </w:r>
      <w:r w:rsidR="00A979CC">
        <w:t>Por otra parte, el hecho de que el nivel de cumplimiento se sitúe en poco más del 31%, evidencia el gran margen de mejora existente para la Fundación.  Todo ello, hace que gran parte de los déficits evidenciados en 2022 sigan persistiendo.</w:t>
      </w:r>
    </w:p>
    <w:p w:rsidR="009318D7" w:rsidRDefault="009318D7" w:rsidP="009318D7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acceso al Portal de Transparencia sigue</w:t>
      </w:r>
      <w:r w:rsidRPr="004D1FF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ubicándose</w:t>
      </w:r>
      <w:r w:rsidRPr="004D1FFB">
        <w:rPr>
          <w:rFonts w:ascii="Century Gothic" w:hAnsi="Century Gothic"/>
        </w:rPr>
        <w:t xml:space="preserve"> en un apartado muy poco visible de su web institucional</w:t>
      </w:r>
      <w:r>
        <w:rPr>
          <w:rFonts w:ascii="Century Gothic" w:hAnsi="Century Gothic"/>
        </w:rPr>
        <w:t>, lo que no facilita su localización.</w:t>
      </w:r>
    </w:p>
    <w:p w:rsidR="009318D7" w:rsidRDefault="009318D7" w:rsidP="009318D7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Existen enlaces rotos y muchos están desactivados</w:t>
      </w:r>
    </w:p>
    <w:p w:rsidR="004413FC" w:rsidRDefault="004413FC" w:rsidP="004413F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5E9F7A" wp14:editId="2A18EC0E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318D7" w:rsidRPr="00F31BC3" w:rsidRDefault="009318D7" w:rsidP="004413F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6484A1D" wp14:editId="4E50435B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9318D7" w:rsidRPr="00F31BC3" w:rsidRDefault="009318D7" w:rsidP="004413F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6484A1D" wp14:editId="4E50435B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249BAC" wp14:editId="2C74CD02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413FC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4413FC" w:rsidRDefault="004413FC" w:rsidP="004413FC">
      <w:pPr>
        <w:pStyle w:val="Prrafodelista"/>
      </w:pPr>
    </w:p>
    <w:p w:rsidR="004413FC" w:rsidRDefault="004413FC" w:rsidP="004413F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4413FC" w:rsidRPr="00035DFF" w:rsidRDefault="004D1FFB" w:rsidP="00035DFF">
      <w:pPr>
        <w:pStyle w:val="Prrafodelista"/>
        <w:numPr>
          <w:ilvl w:val="1"/>
          <w:numId w:val="20"/>
        </w:numPr>
        <w:spacing w:line="276" w:lineRule="auto"/>
        <w:ind w:left="2127"/>
        <w:jc w:val="both"/>
      </w:pPr>
      <w:r>
        <w:rPr>
          <w:szCs w:val="22"/>
        </w:rPr>
        <w:t>El Registro de Actividades de Tratamiento</w:t>
      </w:r>
    </w:p>
    <w:p w:rsidR="004413FC" w:rsidRDefault="004413FC" w:rsidP="004413FC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En el bloque de información económica:</w:t>
      </w:r>
    </w:p>
    <w:p w:rsidR="00E15EC7" w:rsidRDefault="00E15EC7" w:rsidP="00E15EC7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413FC" w:rsidRDefault="009318D7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última información accesible sobre contratación corresponde a 2020, ya que los enlaces a la información para 2021 y 2022, están rotos. </w:t>
      </w:r>
    </w:p>
    <w:p w:rsidR="009318D7" w:rsidRDefault="009318D7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Aunque se publican las subvenciones percibidas por la Fundación, no se publican las concedidas por ésta, que es a lo que se refiere el contenido material de esta obligación para organismos públicos.</w:t>
      </w:r>
    </w:p>
    <w:p w:rsidR="009318D7" w:rsidRDefault="009318D7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publicarse el presupuesto.</w:t>
      </w:r>
    </w:p>
    <w:p w:rsidR="009318D7" w:rsidRDefault="009318D7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enlace a las cuentas anuales 2021 está roto.</w:t>
      </w:r>
    </w:p>
    <w:p w:rsidR="004D1FFB" w:rsidRDefault="009318D7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enlace a la información sobre convenios está desactivado.</w:t>
      </w:r>
    </w:p>
    <w:p w:rsidR="009318D7" w:rsidRDefault="009318D7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los informes de auditoría y fiscalización elaborados por el Tribunal de Cuentas.</w:t>
      </w:r>
    </w:p>
    <w:p w:rsidR="004413FC" w:rsidRDefault="009318D7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Aunque la Dirección de la Fundación está vacante, se entiende, por parte de este Consejo, que la obligación retribuciones no sería aplicable a este responsable en concreto, no se informa sobre las retribuciones percibidas por los miembros del Patronato.</w:t>
      </w:r>
    </w:p>
    <w:p w:rsidR="007325CB" w:rsidRPr="007325CB" w:rsidRDefault="007325CB" w:rsidP="007325C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informa sobre l</w:t>
      </w:r>
      <w:r w:rsidRPr="007325CB">
        <w:rPr>
          <w:rFonts w:ascii="Century Gothic" w:hAnsi="Century Gothic"/>
        </w:rPr>
        <w:t>as indemnizaciones percibidas por altos cargos y máximos responsables tras el abandono del cargo</w:t>
      </w:r>
    </w:p>
    <w:p w:rsidR="007325CB" w:rsidRPr="007325CB" w:rsidRDefault="007325CB" w:rsidP="007325C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Tampoco sobre l</w:t>
      </w:r>
      <w:r w:rsidRPr="007325CB">
        <w:rPr>
          <w:rFonts w:ascii="Century Gothic" w:hAnsi="Century Gothic"/>
        </w:rPr>
        <w:t xml:space="preserve">as autorizaciones de compatibilidad concedidas a empleados </w:t>
      </w:r>
    </w:p>
    <w:p w:rsidR="007325CB" w:rsidRPr="007325CB" w:rsidRDefault="007325CB" w:rsidP="007325C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informa sobre l</w:t>
      </w:r>
      <w:r w:rsidRPr="007325CB">
        <w:rPr>
          <w:rFonts w:ascii="Century Gothic" w:hAnsi="Century Gothic"/>
        </w:rPr>
        <w:t>as autorizaciones para el ejercicio de actividades privadas al ceso de altos Cargos.</w:t>
      </w:r>
    </w:p>
    <w:p w:rsidR="00117FA9" w:rsidRDefault="00117FA9" w:rsidP="00117FA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117FA9">
        <w:rPr>
          <w:rFonts w:ascii="Century Gothic" w:hAnsi="Century Gothic"/>
        </w:rPr>
        <w:t>Una cuestión adicional respecto de la información sobre contratos, es que la Ley 14/2022, de modificación de la Ley 19/2013, impone una nueva información obligatoria en esta materia. A partir de julio de 2023, será obligatorio publicar semestralmente “</w:t>
      </w:r>
      <w:r w:rsidRPr="00117FA9">
        <w:rPr>
          <w:rFonts w:ascii="Century Gothic" w:hAnsi="Century Gothic"/>
          <w:i/>
        </w:rPr>
        <w:t>información estadística sobre el porcentaje de participación en contratos adjudicados, tanto en relación con su número como en relación con su valor, de la categoría de microempresas, pequeñas y medianas empresas (pymes), entendidas como tal según el anexo I del Reglamento (UE) n.º 651/2014 de la Comisión, de 17 de junio de 2014, para cada uno de los procedimientos y tipologías previstas en la legislación de contratos del sector público</w:t>
      </w:r>
      <w:r w:rsidRPr="00117FA9">
        <w:rPr>
          <w:rFonts w:ascii="Century Gothic" w:hAnsi="Century Gothic"/>
        </w:rPr>
        <w:t>”.</w:t>
      </w:r>
    </w:p>
    <w:p w:rsidR="00117FA9" w:rsidRDefault="00117FA9" w:rsidP="00117FA9">
      <w:pPr>
        <w:pStyle w:val="Sinespaciado"/>
        <w:spacing w:line="276" w:lineRule="auto"/>
        <w:ind w:left="180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Respecto del cumplimiento de los criterios de calidad en la publicación de la información, </w:t>
      </w:r>
    </w:p>
    <w:p w:rsidR="00117FA9" w:rsidRDefault="00117FA9" w:rsidP="00117FA9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7325CB" w:rsidRDefault="007325CB" w:rsidP="007325CB">
      <w:pPr>
        <w:pStyle w:val="Prrafodelista"/>
        <w:numPr>
          <w:ilvl w:val="1"/>
          <w:numId w:val="18"/>
        </w:numPr>
        <w:ind w:left="2127"/>
        <w:rPr>
          <w:szCs w:val="22"/>
        </w:rPr>
      </w:pPr>
      <w:r w:rsidRPr="00E15EC7">
        <w:rPr>
          <w:szCs w:val="22"/>
        </w:rPr>
        <w:t>Se reitera la recomendación de que en el caso de que no hubiera información que publicar, se señale expresamente esta circunstancia.</w:t>
      </w:r>
    </w:p>
    <w:p w:rsidR="007325CB" w:rsidRPr="00E15EC7" w:rsidRDefault="007325CB" w:rsidP="007325CB">
      <w:pPr>
        <w:pStyle w:val="Prrafodelista"/>
        <w:numPr>
          <w:ilvl w:val="1"/>
          <w:numId w:val="18"/>
        </w:numPr>
        <w:ind w:left="2127"/>
        <w:rPr>
          <w:szCs w:val="22"/>
        </w:rPr>
      </w:pPr>
      <w:r>
        <w:rPr>
          <w:szCs w:val="22"/>
        </w:rPr>
        <w:t>Deberían revisarse la consistencia de  los enlaces a las distintas informaciones.</w:t>
      </w:r>
    </w:p>
    <w:p w:rsidR="004413FC" w:rsidRDefault="004413FC" w:rsidP="004413F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8C3F8E">
        <w:rPr>
          <w:rFonts w:ascii="Century Gothic" w:hAnsi="Century Gothic"/>
        </w:rPr>
        <w:t>mayo</w:t>
      </w:r>
      <w:r>
        <w:rPr>
          <w:rFonts w:ascii="Century Gothic" w:hAnsi="Century Gothic"/>
        </w:rPr>
        <w:t xml:space="preserve">  de 2023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318D7" w:rsidRPr="00F31BC3" w:rsidRDefault="009318D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9318D7" w:rsidRPr="00F31BC3" w:rsidRDefault="009318D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556C0088" wp14:editId="2B5D521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36236A1D" wp14:editId="07AABCF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9318D7" w:rsidRPr="00F31BC3" w:rsidRDefault="009318D7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7A9B11E" wp14:editId="73FCC9ED">
                                      <wp:extent cx="1148080" cy="648335"/>
                                      <wp:effectExtent l="0" t="0" r="0" b="0"/>
                                      <wp:docPr id="7" name="Imagen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9318D7" w:rsidRPr="00F31BC3" w:rsidRDefault="009318D7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7A9B11E" wp14:editId="73FCC9ED">
                                <wp:extent cx="1148080" cy="648335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Se obliga su publicación por la </w:t>
            </w:r>
            <w:proofErr w:type="spell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Ley19</w:t>
            </w:r>
            <w:proofErr w:type="spell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  <w:bookmarkStart w:id="0" w:name="_GoBack"/>
            <w:bookmarkEnd w:id="0"/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8D7" w:rsidRDefault="009318D7" w:rsidP="00F31BC3">
      <w:r>
        <w:separator/>
      </w:r>
    </w:p>
  </w:endnote>
  <w:endnote w:type="continuationSeparator" w:id="0">
    <w:p w:rsidR="009318D7" w:rsidRDefault="009318D7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8D7" w:rsidRDefault="009318D7" w:rsidP="00F31BC3">
      <w:r>
        <w:separator/>
      </w:r>
    </w:p>
  </w:footnote>
  <w:footnote w:type="continuationSeparator" w:id="0">
    <w:p w:rsidR="009318D7" w:rsidRDefault="009318D7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76425"/>
    <w:multiLevelType w:val="hybridMultilevel"/>
    <w:tmpl w:val="72E65BA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64CDE"/>
    <w:multiLevelType w:val="hybridMultilevel"/>
    <w:tmpl w:val="3552D4B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>
    <w:nsid w:val="3958145F"/>
    <w:multiLevelType w:val="hybridMultilevel"/>
    <w:tmpl w:val="891212F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54575"/>
    <w:multiLevelType w:val="hybridMultilevel"/>
    <w:tmpl w:val="AD8EB2C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E2387"/>
    <w:multiLevelType w:val="hybridMultilevel"/>
    <w:tmpl w:val="2AE28C4E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81201"/>
    <w:multiLevelType w:val="hybridMultilevel"/>
    <w:tmpl w:val="A9F6D56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0"/>
  </w:num>
  <w:num w:numId="5">
    <w:abstractNumId w:val="19"/>
  </w:num>
  <w:num w:numId="6">
    <w:abstractNumId w:val="21"/>
  </w:num>
  <w:num w:numId="7">
    <w:abstractNumId w:val="18"/>
  </w:num>
  <w:num w:numId="8">
    <w:abstractNumId w:val="1"/>
  </w:num>
  <w:num w:numId="9">
    <w:abstractNumId w:val="4"/>
  </w:num>
  <w:num w:numId="10">
    <w:abstractNumId w:val="3"/>
  </w:num>
  <w:num w:numId="11">
    <w:abstractNumId w:val="23"/>
  </w:num>
  <w:num w:numId="12">
    <w:abstractNumId w:val="16"/>
  </w:num>
  <w:num w:numId="13">
    <w:abstractNumId w:val="9"/>
  </w:num>
  <w:num w:numId="14">
    <w:abstractNumId w:val="24"/>
  </w:num>
  <w:num w:numId="15">
    <w:abstractNumId w:val="2"/>
  </w:num>
  <w:num w:numId="16">
    <w:abstractNumId w:val="25"/>
  </w:num>
  <w:num w:numId="17">
    <w:abstractNumId w:val="13"/>
  </w:num>
  <w:num w:numId="18">
    <w:abstractNumId w:val="8"/>
  </w:num>
  <w:num w:numId="19">
    <w:abstractNumId w:val="7"/>
  </w:num>
  <w:num w:numId="20">
    <w:abstractNumId w:val="20"/>
  </w:num>
  <w:num w:numId="21">
    <w:abstractNumId w:val="5"/>
  </w:num>
  <w:num w:numId="22">
    <w:abstractNumId w:val="6"/>
  </w:num>
  <w:num w:numId="23">
    <w:abstractNumId w:val="14"/>
  </w:num>
  <w:num w:numId="24">
    <w:abstractNumId w:val="12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35DFF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0121"/>
    <w:rsid w:val="00104DE9"/>
    <w:rsid w:val="00104E94"/>
    <w:rsid w:val="001149B1"/>
    <w:rsid w:val="001152D4"/>
    <w:rsid w:val="00117FA9"/>
    <w:rsid w:val="00132732"/>
    <w:rsid w:val="00146C3C"/>
    <w:rsid w:val="001521CD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F3AE5"/>
    <w:rsid w:val="001F5CFA"/>
    <w:rsid w:val="0021682B"/>
    <w:rsid w:val="00231D61"/>
    <w:rsid w:val="00243294"/>
    <w:rsid w:val="00244EDA"/>
    <w:rsid w:val="002467FA"/>
    <w:rsid w:val="00250846"/>
    <w:rsid w:val="00263F79"/>
    <w:rsid w:val="00265385"/>
    <w:rsid w:val="002C19B9"/>
    <w:rsid w:val="002C1DD9"/>
    <w:rsid w:val="002C41B4"/>
    <w:rsid w:val="002D0702"/>
    <w:rsid w:val="002D27E4"/>
    <w:rsid w:val="002E409F"/>
    <w:rsid w:val="002E644A"/>
    <w:rsid w:val="002F06DC"/>
    <w:rsid w:val="002F09AE"/>
    <w:rsid w:val="0031769F"/>
    <w:rsid w:val="00332631"/>
    <w:rsid w:val="00337C82"/>
    <w:rsid w:val="00347877"/>
    <w:rsid w:val="00352994"/>
    <w:rsid w:val="00355DC0"/>
    <w:rsid w:val="0038511B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13FC"/>
    <w:rsid w:val="004720A5"/>
    <w:rsid w:val="004724E2"/>
    <w:rsid w:val="0047735C"/>
    <w:rsid w:val="004859CC"/>
    <w:rsid w:val="004A1663"/>
    <w:rsid w:val="004C6440"/>
    <w:rsid w:val="004D1FFB"/>
    <w:rsid w:val="004D2B56"/>
    <w:rsid w:val="004D4B3E"/>
    <w:rsid w:val="004D50CC"/>
    <w:rsid w:val="004D6B23"/>
    <w:rsid w:val="004D7037"/>
    <w:rsid w:val="004E09F9"/>
    <w:rsid w:val="004E7B33"/>
    <w:rsid w:val="00506864"/>
    <w:rsid w:val="00521C69"/>
    <w:rsid w:val="005301DF"/>
    <w:rsid w:val="00536832"/>
    <w:rsid w:val="00540929"/>
    <w:rsid w:val="00552800"/>
    <w:rsid w:val="00563295"/>
    <w:rsid w:val="00564E23"/>
    <w:rsid w:val="00573E8B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50F07"/>
    <w:rsid w:val="00651F1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07ECD"/>
    <w:rsid w:val="00714C54"/>
    <w:rsid w:val="00715E7D"/>
    <w:rsid w:val="00717272"/>
    <w:rsid w:val="007325CB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E083A"/>
    <w:rsid w:val="007F1D56"/>
    <w:rsid w:val="007F5F9D"/>
    <w:rsid w:val="00800B69"/>
    <w:rsid w:val="00803D20"/>
    <w:rsid w:val="00805A8D"/>
    <w:rsid w:val="00807495"/>
    <w:rsid w:val="00821526"/>
    <w:rsid w:val="0082470D"/>
    <w:rsid w:val="00825202"/>
    <w:rsid w:val="00825ACB"/>
    <w:rsid w:val="00826275"/>
    <w:rsid w:val="00836976"/>
    <w:rsid w:val="008514EC"/>
    <w:rsid w:val="00853CB9"/>
    <w:rsid w:val="00865E5A"/>
    <w:rsid w:val="00880290"/>
    <w:rsid w:val="00882A5B"/>
    <w:rsid w:val="00891E6F"/>
    <w:rsid w:val="00894358"/>
    <w:rsid w:val="0089455A"/>
    <w:rsid w:val="00897D04"/>
    <w:rsid w:val="008A5AAE"/>
    <w:rsid w:val="008B6789"/>
    <w:rsid w:val="008C3F8E"/>
    <w:rsid w:val="008D6E75"/>
    <w:rsid w:val="008E6D2E"/>
    <w:rsid w:val="008F2EF6"/>
    <w:rsid w:val="00902A71"/>
    <w:rsid w:val="009039FD"/>
    <w:rsid w:val="00903FE0"/>
    <w:rsid w:val="00912DB4"/>
    <w:rsid w:val="009318D7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1DDF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254A9"/>
    <w:rsid w:val="00A51AAD"/>
    <w:rsid w:val="00A670E9"/>
    <w:rsid w:val="00A82709"/>
    <w:rsid w:val="00A979CC"/>
    <w:rsid w:val="00AA0AE1"/>
    <w:rsid w:val="00AC2723"/>
    <w:rsid w:val="00AC4A6F"/>
    <w:rsid w:val="00AD6065"/>
    <w:rsid w:val="00AE4F68"/>
    <w:rsid w:val="00AE6A4F"/>
    <w:rsid w:val="00AF196B"/>
    <w:rsid w:val="00AF3E73"/>
    <w:rsid w:val="00AF5151"/>
    <w:rsid w:val="00B1184C"/>
    <w:rsid w:val="00B220EC"/>
    <w:rsid w:val="00B27119"/>
    <w:rsid w:val="00B5314A"/>
    <w:rsid w:val="00B56A3A"/>
    <w:rsid w:val="00B7084E"/>
    <w:rsid w:val="00B77C12"/>
    <w:rsid w:val="00B85EA1"/>
    <w:rsid w:val="00B87734"/>
    <w:rsid w:val="00BA03C4"/>
    <w:rsid w:val="00BA14E6"/>
    <w:rsid w:val="00BA3611"/>
    <w:rsid w:val="00BA4354"/>
    <w:rsid w:val="00BA5833"/>
    <w:rsid w:val="00BB2529"/>
    <w:rsid w:val="00BB3652"/>
    <w:rsid w:val="00BC61D1"/>
    <w:rsid w:val="00BC748E"/>
    <w:rsid w:val="00BD18E4"/>
    <w:rsid w:val="00BD1E44"/>
    <w:rsid w:val="00BD2172"/>
    <w:rsid w:val="00BD2842"/>
    <w:rsid w:val="00C02953"/>
    <w:rsid w:val="00C1049E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66FF0"/>
    <w:rsid w:val="00C91330"/>
    <w:rsid w:val="00CB6837"/>
    <w:rsid w:val="00CC3B31"/>
    <w:rsid w:val="00CC48E8"/>
    <w:rsid w:val="00CD3DE8"/>
    <w:rsid w:val="00CF21EB"/>
    <w:rsid w:val="00CF5B92"/>
    <w:rsid w:val="00D014E1"/>
    <w:rsid w:val="00D01CA1"/>
    <w:rsid w:val="00D1453D"/>
    <w:rsid w:val="00D41F4C"/>
    <w:rsid w:val="00D44BCF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1FBC"/>
    <w:rsid w:val="00E15EC7"/>
    <w:rsid w:val="00E17DF6"/>
    <w:rsid w:val="00E33169"/>
    <w:rsid w:val="00E4458C"/>
    <w:rsid w:val="00E51AC4"/>
    <w:rsid w:val="00E6528C"/>
    <w:rsid w:val="00E73F4D"/>
    <w:rsid w:val="00E83650"/>
    <w:rsid w:val="00EB0916"/>
    <w:rsid w:val="00EB68A3"/>
    <w:rsid w:val="00EC6A3E"/>
    <w:rsid w:val="00ED30F1"/>
    <w:rsid w:val="00ED3318"/>
    <w:rsid w:val="00ED57F6"/>
    <w:rsid w:val="00ED6104"/>
    <w:rsid w:val="00ED7D79"/>
    <w:rsid w:val="00EE5F85"/>
    <w:rsid w:val="00EF4B82"/>
    <w:rsid w:val="00EF5B46"/>
    <w:rsid w:val="00EF6910"/>
    <w:rsid w:val="00EF6BF1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015CB"/>
    <w:rsid w:val="00015E04"/>
    <w:rsid w:val="0015011A"/>
    <w:rsid w:val="00202DDA"/>
    <w:rsid w:val="00443EA4"/>
    <w:rsid w:val="0051307B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C78EE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23C227-BD86-4086-831A-A5F76DB5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64</TotalTime>
  <Pages>6</Pages>
  <Words>1402</Words>
  <Characters>7711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8</cp:revision>
  <cp:lastPrinted>2008-09-26T23:14:00Z</cp:lastPrinted>
  <dcterms:created xsi:type="dcterms:W3CDTF">2023-04-17T15:10:00Z</dcterms:created>
  <dcterms:modified xsi:type="dcterms:W3CDTF">2023-05-16T08:12:00Z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