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094" w:rsidRDefault="0040709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Consorcio de la Zona Franca de Gran Canaria </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D95052" w:rsidRDefault="00663F4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95052" w:rsidRPr="007F1D56">
                            <w:rPr>
                              <w:rFonts w:ascii="Century Gothic" w:hAnsi="Century Gothic"/>
                              <w:sz w:val="40"/>
                              <w:szCs w:val="40"/>
                            </w:rPr>
                            <w:t>Informe de r</w:t>
                          </w:r>
                          <w:r w:rsidR="00D95052" w:rsidRPr="007F1D56">
                            <w:rPr>
                              <w:rFonts w:ascii="Century Gothic" w:hAnsi="Century Gothic"/>
                              <w:sz w:val="40"/>
                              <w:szCs w:val="40"/>
                              <w:lang w:bidi="es-ES"/>
                            </w:rPr>
                            <w:t xml:space="preserve">evisión  del cumplimiento de las recomendaciones efectuadas por el CTBG en materia de Publicidad Activa  por parte </w:t>
                          </w:r>
                          <w:r w:rsidR="006A5B1C">
                            <w:rPr>
                              <w:rFonts w:ascii="Century Gothic" w:hAnsi="Century Gothic"/>
                              <w:sz w:val="40"/>
                              <w:szCs w:val="40"/>
                              <w:lang w:bidi="es-ES"/>
                            </w:rPr>
                            <w:t>del Consorcio de la Zona Franca de Gran Canaria</w:t>
                          </w:r>
                          <w:r w:rsidR="00D95052">
                            <w:rPr>
                              <w:rFonts w:ascii="Century Gothic" w:hAnsi="Century Gothic"/>
                              <w:sz w:val="40"/>
                              <w:szCs w:val="40"/>
                              <w:lang w:bidi="es-ES"/>
                            </w:rPr>
                            <w:t xml:space="preserve"> </w:t>
                          </w:r>
                        </w:sdtContent>
                      </w:sdt>
                      <w:r w:rsidR="00D95052"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07094" w:rsidRDefault="00407094"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D95052" w:rsidRDefault="00D9505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p w:rsidR="00407094" w:rsidRDefault="00407094" w:rsidP="00415DBD"/>
    <w:tbl>
      <w:tblPr>
        <w:tblStyle w:val="Tablaconcuadrcula"/>
        <w:tblW w:w="0" w:type="auto"/>
        <w:tblLook w:val="04A0" w:firstRow="1" w:lastRow="0" w:firstColumn="1" w:lastColumn="0" w:noHBand="0" w:noVBand="1"/>
      </w:tblPr>
      <w:tblGrid>
        <w:gridCol w:w="5348"/>
        <w:gridCol w:w="5348"/>
      </w:tblGrid>
      <w:tr w:rsidR="00407094" w:rsidTr="00407094">
        <w:tc>
          <w:tcPr>
            <w:tcW w:w="5348" w:type="dxa"/>
            <w:tcBorders>
              <w:top w:val="single" w:sz="4" w:space="0" w:color="auto"/>
              <w:left w:val="single" w:sz="4" w:space="0" w:color="auto"/>
              <w:bottom w:val="single" w:sz="4" w:space="0" w:color="auto"/>
              <w:right w:val="single" w:sz="4" w:space="0" w:color="auto"/>
            </w:tcBorders>
            <w:hideMark/>
          </w:tcPr>
          <w:p w:rsidR="00407094" w:rsidRDefault="00407094">
            <w:r>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407094" w:rsidRDefault="00407094">
            <w:r>
              <w:t>18/04/2023</w:t>
            </w:r>
          </w:p>
          <w:p w:rsidR="00407094" w:rsidRDefault="00407094">
            <w:r>
              <w:t>Segunda revisión: 16/05/2023</w:t>
            </w:r>
          </w:p>
        </w:tc>
      </w:tr>
    </w:tbl>
    <w:p w:rsidR="00407094" w:rsidRPr="00B1184C" w:rsidRDefault="00407094" w:rsidP="00415DBD"/>
    <w:p w:rsidR="0082470D" w:rsidRPr="002D27E4" w:rsidRDefault="0040709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992"/>
        <w:gridCol w:w="2494"/>
      </w:tblGrid>
      <w:tr w:rsidR="00A249BB" w:rsidRPr="007465AA" w:rsidTr="00407094">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520"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494"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407094">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4D6B23">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1521CD">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992" w:type="dxa"/>
            <w:vAlign w:val="center"/>
          </w:tcPr>
          <w:p w:rsidR="00A249BB" w:rsidRPr="007465AA" w:rsidRDefault="00715E7D" w:rsidP="001521CD">
            <w:pPr>
              <w:jc w:val="center"/>
              <w:rPr>
                <w:sz w:val="18"/>
                <w:szCs w:val="18"/>
              </w:rPr>
            </w:pPr>
            <w:r>
              <w:rPr>
                <w:sz w:val="18"/>
                <w:szCs w:val="18"/>
              </w:rPr>
              <w:t>x</w:t>
            </w:r>
          </w:p>
        </w:tc>
        <w:tc>
          <w:tcPr>
            <w:tcW w:w="2494" w:type="dxa"/>
          </w:tcPr>
          <w:p w:rsidR="00A249BB" w:rsidRPr="007465AA" w:rsidRDefault="00715E7D" w:rsidP="00407094">
            <w:pPr>
              <w:rPr>
                <w:sz w:val="18"/>
                <w:szCs w:val="18"/>
              </w:rPr>
            </w:pPr>
            <w:r>
              <w:rPr>
                <w:sz w:val="18"/>
                <w:szCs w:val="18"/>
              </w:rPr>
              <w:t xml:space="preserve">No, </w:t>
            </w:r>
            <w:r w:rsidR="004D6B23">
              <w:rPr>
                <w:sz w:val="18"/>
                <w:szCs w:val="18"/>
              </w:rPr>
              <w:t xml:space="preserve">El Portal </w:t>
            </w:r>
            <w:r w:rsidR="00407094">
              <w:rPr>
                <w:sz w:val="18"/>
                <w:szCs w:val="18"/>
              </w:rPr>
              <w:t>sólo contiene información sobre las cuentas anuales.</w:t>
            </w:r>
            <w:r>
              <w:rPr>
                <w:sz w:val="18"/>
                <w:szCs w:val="18"/>
              </w:rPr>
              <w:t xml:space="preserve"> </w:t>
            </w: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992" w:type="dxa"/>
            <w:vAlign w:val="center"/>
          </w:tcPr>
          <w:p w:rsidR="00A249BB" w:rsidRPr="007465AA" w:rsidRDefault="004D6B23" w:rsidP="001521CD">
            <w:pPr>
              <w:jc w:val="center"/>
              <w:rPr>
                <w:sz w:val="18"/>
                <w:szCs w:val="18"/>
              </w:rPr>
            </w:pPr>
            <w:r>
              <w:rPr>
                <w:sz w:val="18"/>
                <w:szCs w:val="18"/>
              </w:rPr>
              <w:t>x</w:t>
            </w:r>
          </w:p>
        </w:tc>
        <w:tc>
          <w:tcPr>
            <w:tcW w:w="2494" w:type="dxa"/>
          </w:tcPr>
          <w:p w:rsidR="00A249BB" w:rsidRPr="007465AA" w:rsidRDefault="004D6B23" w:rsidP="006A5B1C">
            <w:pPr>
              <w:rPr>
                <w:sz w:val="18"/>
                <w:szCs w:val="18"/>
              </w:rPr>
            </w:pPr>
            <w:r>
              <w:rPr>
                <w:sz w:val="18"/>
                <w:szCs w:val="18"/>
              </w:rPr>
              <w:t xml:space="preserve">No, </w:t>
            </w:r>
            <w:r w:rsidR="006A5B1C">
              <w:rPr>
                <w:sz w:val="18"/>
                <w:szCs w:val="18"/>
              </w:rPr>
              <w:t xml:space="preserve">la mayoría </w:t>
            </w:r>
            <w:r>
              <w:rPr>
                <w:sz w:val="18"/>
                <w:szCs w:val="18"/>
              </w:rPr>
              <w:t xml:space="preserve">de las informaciones obligatorias </w:t>
            </w:r>
            <w:r w:rsidR="006A5B1C">
              <w:rPr>
                <w:sz w:val="18"/>
                <w:szCs w:val="18"/>
              </w:rPr>
              <w:t xml:space="preserve">que se publican, </w:t>
            </w:r>
            <w:r>
              <w:rPr>
                <w:sz w:val="18"/>
                <w:szCs w:val="18"/>
              </w:rPr>
              <w:t>se localizan fuera del Portal de Transparencia</w:t>
            </w:r>
          </w:p>
        </w:tc>
      </w:tr>
      <w:tr w:rsidR="00CE29DF" w:rsidRPr="007465AA" w:rsidTr="00407094">
        <w:tc>
          <w:tcPr>
            <w:tcW w:w="1668" w:type="dxa"/>
            <w:vMerge w:val="restart"/>
            <w:vAlign w:val="center"/>
          </w:tcPr>
          <w:p w:rsidR="00CE29DF" w:rsidRPr="00E07201" w:rsidRDefault="00CE29DF"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CE29DF" w:rsidRDefault="00CE29DF" w:rsidP="00715E7D">
            <w:pPr>
              <w:rPr>
                <w:sz w:val="18"/>
                <w:szCs w:val="18"/>
              </w:rPr>
            </w:pPr>
            <w:r>
              <w:rPr>
                <w:sz w:val="18"/>
                <w:szCs w:val="18"/>
              </w:rPr>
              <w:t>Normativa aplicable: completar información</w:t>
            </w:r>
          </w:p>
        </w:tc>
        <w:tc>
          <w:tcPr>
            <w:tcW w:w="992" w:type="dxa"/>
          </w:tcPr>
          <w:p w:rsidR="00CE29DF" w:rsidRPr="00BC748E" w:rsidRDefault="00CE29DF" w:rsidP="00BC748E">
            <w:pPr>
              <w:ind w:left="360"/>
              <w:jc w:val="center"/>
              <w:rPr>
                <w:sz w:val="18"/>
                <w:szCs w:val="18"/>
              </w:rPr>
            </w:pPr>
          </w:p>
        </w:tc>
        <w:tc>
          <w:tcPr>
            <w:tcW w:w="2494" w:type="dxa"/>
          </w:tcPr>
          <w:p w:rsidR="00CE29DF" w:rsidRDefault="00CE29DF" w:rsidP="00CE29DF">
            <w:pPr>
              <w:rPr>
                <w:sz w:val="18"/>
                <w:szCs w:val="18"/>
              </w:rPr>
            </w:pPr>
            <w:r>
              <w:rPr>
                <w:sz w:val="18"/>
                <w:szCs w:val="18"/>
              </w:rPr>
              <w:t>No. Sigue publicándose solo los Estatutos</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715E7D">
            <w:pPr>
              <w:rPr>
                <w:sz w:val="18"/>
                <w:szCs w:val="18"/>
              </w:rPr>
            </w:pPr>
            <w:r>
              <w:rPr>
                <w:sz w:val="18"/>
                <w:szCs w:val="18"/>
              </w:rPr>
              <w:t>Organigrama</w:t>
            </w:r>
          </w:p>
        </w:tc>
        <w:tc>
          <w:tcPr>
            <w:tcW w:w="992" w:type="dxa"/>
          </w:tcPr>
          <w:p w:rsidR="00CE29DF" w:rsidRPr="00BC748E" w:rsidRDefault="00CE29DF" w:rsidP="00BC748E">
            <w:pPr>
              <w:ind w:left="360"/>
              <w:jc w:val="center"/>
              <w:rPr>
                <w:sz w:val="18"/>
                <w:szCs w:val="18"/>
              </w:rPr>
            </w:pPr>
          </w:p>
        </w:tc>
        <w:tc>
          <w:tcPr>
            <w:tcW w:w="2494" w:type="dxa"/>
          </w:tcPr>
          <w:p w:rsidR="00CE29DF" w:rsidRPr="007465AA" w:rsidRDefault="00CE29DF" w:rsidP="004D6B23">
            <w:pPr>
              <w:rPr>
                <w:sz w:val="18"/>
                <w:szCs w:val="18"/>
              </w:rPr>
            </w:pPr>
            <w:r>
              <w:rPr>
                <w:sz w:val="18"/>
                <w:szCs w:val="18"/>
              </w:rPr>
              <w:t xml:space="preserve">No. No se ha localizado el organigrama </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715E7D">
            <w:pPr>
              <w:rPr>
                <w:sz w:val="18"/>
                <w:szCs w:val="18"/>
              </w:rPr>
            </w:pPr>
            <w:r>
              <w:rPr>
                <w:sz w:val="18"/>
                <w:szCs w:val="18"/>
              </w:rPr>
              <w:t>Registro de Actividades de Tratamiento</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1521CD">
            <w:pPr>
              <w:rPr>
                <w:sz w:val="18"/>
                <w:szCs w:val="18"/>
              </w:rPr>
            </w:pPr>
            <w:r>
              <w:rPr>
                <w:sz w:val="18"/>
                <w:szCs w:val="18"/>
              </w:rPr>
              <w:t>No. Sigue sin publicarse el Registro de Actividades de Tratamiento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Pr>
                <w:sz w:val="18"/>
                <w:szCs w:val="18"/>
              </w:rPr>
              <w:t>Perfil y trayectoria profesional de los máximos responsables</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4D6B23">
            <w:pPr>
              <w:rPr>
                <w:sz w:val="18"/>
                <w:szCs w:val="18"/>
              </w:rPr>
            </w:pPr>
            <w:r>
              <w:rPr>
                <w:sz w:val="18"/>
                <w:szCs w:val="18"/>
              </w:rPr>
              <w:t>No, no se publica esta información.</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Pr>
                <w:sz w:val="18"/>
                <w:szCs w:val="18"/>
              </w:rPr>
              <w:t>Planes y programas</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4D6B23">
            <w:pPr>
              <w:rPr>
                <w:sz w:val="18"/>
                <w:szCs w:val="18"/>
              </w:rPr>
            </w:pPr>
            <w:r>
              <w:rPr>
                <w:sz w:val="18"/>
                <w:szCs w:val="18"/>
              </w:rPr>
              <w:t>No, no se ha localizado esta información</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Pr>
                <w:sz w:val="18"/>
                <w:szCs w:val="18"/>
              </w:rPr>
              <w:t>Grado de cumplimiento y resultados de planes y programas</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4D6B23">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Pr>
                <w:sz w:val="18"/>
                <w:szCs w:val="18"/>
              </w:rPr>
              <w:t>Indicadores de medida y valoración del grado de cumplimiento de planes y programas</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4D6B23">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sidRPr="00CE29DF">
              <w:rPr>
                <w:sz w:val="18"/>
                <w:szCs w:val="18"/>
              </w:rPr>
              <w:t>Directrices, instrucciones, acuerdos, circulares o respuestas a consultas</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FE2187">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sidRPr="00CE29DF">
              <w:rPr>
                <w:sz w:val="18"/>
                <w:szCs w:val="18"/>
              </w:rPr>
              <w:t>Documentos sometidos a información pública durante su tramitación</w:t>
            </w:r>
          </w:p>
        </w:tc>
        <w:tc>
          <w:tcPr>
            <w:tcW w:w="992" w:type="dxa"/>
          </w:tcPr>
          <w:p w:rsidR="00CE29DF" w:rsidRPr="00FE2187" w:rsidRDefault="00CE29DF" w:rsidP="00FE2187">
            <w:pPr>
              <w:ind w:left="360"/>
              <w:jc w:val="center"/>
              <w:rPr>
                <w:sz w:val="18"/>
                <w:szCs w:val="18"/>
              </w:rPr>
            </w:pPr>
          </w:p>
        </w:tc>
        <w:tc>
          <w:tcPr>
            <w:tcW w:w="2494" w:type="dxa"/>
          </w:tcPr>
          <w:p w:rsidR="00CE29DF" w:rsidRDefault="00CE29DF" w:rsidP="00FE2187">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BA5833">
            <w:pPr>
              <w:rPr>
                <w:sz w:val="18"/>
                <w:szCs w:val="18"/>
              </w:rPr>
            </w:pPr>
            <w:r>
              <w:rPr>
                <w:sz w:val="18"/>
                <w:szCs w:val="18"/>
              </w:rPr>
              <w:t>Modificaciones de Contratos</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C1049E">
            <w:pPr>
              <w:rPr>
                <w:sz w:val="18"/>
                <w:szCs w:val="18"/>
              </w:rPr>
            </w:pPr>
            <w:r>
              <w:rPr>
                <w:sz w:val="18"/>
                <w:szCs w:val="18"/>
              </w:rPr>
              <w:t>No. La Plataforma de Contratación del Sector Público no incluye las modificaciones entre los criterios de búsqueda de licitaciones.</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857C55">
            <w:pPr>
              <w:rPr>
                <w:sz w:val="18"/>
                <w:szCs w:val="18"/>
              </w:rPr>
            </w:pPr>
            <w:r>
              <w:rPr>
                <w:sz w:val="18"/>
                <w:szCs w:val="18"/>
              </w:rPr>
              <w:t>Estadísticas sobre contratos</w:t>
            </w:r>
          </w:p>
        </w:tc>
        <w:tc>
          <w:tcPr>
            <w:tcW w:w="992" w:type="dxa"/>
          </w:tcPr>
          <w:p w:rsidR="00CE29DF" w:rsidRPr="00E11FBC" w:rsidRDefault="00CE29DF" w:rsidP="00E11FBC">
            <w:pPr>
              <w:ind w:left="360"/>
              <w:jc w:val="center"/>
              <w:rPr>
                <w:sz w:val="18"/>
                <w:szCs w:val="18"/>
              </w:rPr>
            </w:pPr>
          </w:p>
        </w:tc>
        <w:tc>
          <w:tcPr>
            <w:tcW w:w="2494" w:type="dxa"/>
          </w:tcPr>
          <w:p w:rsidR="00CE29DF" w:rsidRDefault="00CE29DF" w:rsidP="00C1049E">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C1049E">
            <w:pPr>
              <w:rPr>
                <w:sz w:val="18"/>
                <w:szCs w:val="18"/>
              </w:rPr>
            </w:pPr>
            <w:r w:rsidRPr="007465AA">
              <w:rPr>
                <w:sz w:val="18"/>
                <w:szCs w:val="18"/>
              </w:rPr>
              <w:t>Convenios</w:t>
            </w:r>
          </w:p>
        </w:tc>
        <w:tc>
          <w:tcPr>
            <w:tcW w:w="992" w:type="dxa"/>
          </w:tcPr>
          <w:p w:rsidR="00CE29DF" w:rsidRPr="00E11FBC" w:rsidRDefault="00CE29DF" w:rsidP="00E11FBC">
            <w:pPr>
              <w:ind w:left="360"/>
              <w:jc w:val="center"/>
              <w:rPr>
                <w:sz w:val="18"/>
                <w:szCs w:val="18"/>
              </w:rPr>
            </w:pPr>
          </w:p>
        </w:tc>
        <w:tc>
          <w:tcPr>
            <w:tcW w:w="2494" w:type="dxa"/>
          </w:tcPr>
          <w:p w:rsidR="00CE29DF" w:rsidRPr="007465AA" w:rsidRDefault="00CE29DF" w:rsidP="00857C55">
            <w:pPr>
              <w:rPr>
                <w:sz w:val="18"/>
                <w:szCs w:val="18"/>
              </w:rPr>
            </w:pPr>
            <w:r>
              <w:rPr>
                <w:sz w:val="18"/>
                <w:szCs w:val="18"/>
              </w:rPr>
              <w:t xml:space="preserve">No. </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857C55">
            <w:pPr>
              <w:rPr>
                <w:sz w:val="18"/>
                <w:szCs w:val="18"/>
              </w:rPr>
            </w:pPr>
            <w:r>
              <w:rPr>
                <w:sz w:val="18"/>
                <w:szCs w:val="18"/>
              </w:rPr>
              <w:t>Encomiendas de Gestión</w:t>
            </w:r>
          </w:p>
        </w:tc>
        <w:tc>
          <w:tcPr>
            <w:tcW w:w="992" w:type="dxa"/>
          </w:tcPr>
          <w:p w:rsidR="00CE29DF" w:rsidRPr="007465AA" w:rsidRDefault="00CE29DF" w:rsidP="001521CD">
            <w:pPr>
              <w:jc w:val="center"/>
              <w:rPr>
                <w:sz w:val="18"/>
                <w:szCs w:val="18"/>
              </w:rPr>
            </w:pPr>
          </w:p>
        </w:tc>
        <w:tc>
          <w:tcPr>
            <w:tcW w:w="2494" w:type="dxa"/>
          </w:tcPr>
          <w:p w:rsidR="00CE29DF" w:rsidRDefault="00CE29DF" w:rsidP="00857C55">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857C55">
            <w:pPr>
              <w:rPr>
                <w:sz w:val="18"/>
                <w:szCs w:val="18"/>
              </w:rPr>
            </w:pPr>
            <w:r>
              <w:rPr>
                <w:sz w:val="18"/>
                <w:szCs w:val="18"/>
              </w:rPr>
              <w:t>Subcontrataciones derivadas de las encomiendas de gestión</w:t>
            </w:r>
          </w:p>
        </w:tc>
        <w:tc>
          <w:tcPr>
            <w:tcW w:w="992" w:type="dxa"/>
          </w:tcPr>
          <w:p w:rsidR="00CE29DF" w:rsidRPr="007465AA" w:rsidRDefault="00CE29DF" w:rsidP="001521CD">
            <w:pPr>
              <w:jc w:val="center"/>
              <w:rPr>
                <w:sz w:val="18"/>
                <w:szCs w:val="18"/>
              </w:rPr>
            </w:pPr>
          </w:p>
        </w:tc>
        <w:tc>
          <w:tcPr>
            <w:tcW w:w="2494" w:type="dxa"/>
          </w:tcPr>
          <w:p w:rsidR="00CE29DF" w:rsidRDefault="00CE29DF" w:rsidP="00857C55">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857C55">
            <w:pPr>
              <w:rPr>
                <w:sz w:val="18"/>
                <w:szCs w:val="18"/>
              </w:rPr>
            </w:pPr>
            <w:r>
              <w:rPr>
                <w:sz w:val="18"/>
                <w:szCs w:val="18"/>
              </w:rPr>
              <w:t>Subvenciones</w:t>
            </w:r>
          </w:p>
        </w:tc>
        <w:tc>
          <w:tcPr>
            <w:tcW w:w="992" w:type="dxa"/>
          </w:tcPr>
          <w:p w:rsidR="00CE29DF" w:rsidRPr="007465AA" w:rsidRDefault="00CE29DF" w:rsidP="001521CD">
            <w:pPr>
              <w:jc w:val="center"/>
              <w:rPr>
                <w:sz w:val="18"/>
                <w:szCs w:val="18"/>
              </w:rPr>
            </w:pPr>
          </w:p>
        </w:tc>
        <w:tc>
          <w:tcPr>
            <w:tcW w:w="2494" w:type="dxa"/>
          </w:tcPr>
          <w:p w:rsidR="00CE29DF" w:rsidRDefault="00CE29DF" w:rsidP="00857C55">
            <w:pPr>
              <w:rPr>
                <w:sz w:val="18"/>
                <w:szCs w:val="18"/>
              </w:rPr>
            </w:pPr>
            <w:r>
              <w:rPr>
                <w:sz w:val="18"/>
                <w:szCs w:val="18"/>
              </w:rPr>
              <w:t xml:space="preserve">No. </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Pr>
                <w:sz w:val="18"/>
                <w:szCs w:val="18"/>
              </w:rPr>
              <w:t>Presupuesto</w:t>
            </w:r>
          </w:p>
        </w:tc>
        <w:tc>
          <w:tcPr>
            <w:tcW w:w="992" w:type="dxa"/>
          </w:tcPr>
          <w:p w:rsidR="00CE29DF" w:rsidRPr="007465AA" w:rsidRDefault="00CE29DF" w:rsidP="001521CD">
            <w:pPr>
              <w:jc w:val="center"/>
              <w:rPr>
                <w:sz w:val="18"/>
                <w:szCs w:val="18"/>
              </w:rPr>
            </w:pPr>
          </w:p>
        </w:tc>
        <w:tc>
          <w:tcPr>
            <w:tcW w:w="2494" w:type="dxa"/>
          </w:tcPr>
          <w:p w:rsidR="00CE29DF" w:rsidRDefault="00CE29DF" w:rsidP="00035DFF">
            <w:pPr>
              <w:rPr>
                <w:sz w:val="18"/>
                <w:szCs w:val="18"/>
              </w:rPr>
            </w:pPr>
            <w:r>
              <w:rPr>
                <w:sz w:val="18"/>
                <w:szCs w:val="18"/>
              </w:rPr>
              <w:t>No, no se publica el presupuesto.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Default="00CE29DF" w:rsidP="00857C55">
            <w:pPr>
              <w:rPr>
                <w:sz w:val="18"/>
                <w:szCs w:val="18"/>
              </w:rPr>
            </w:pPr>
            <w:r>
              <w:rPr>
                <w:sz w:val="18"/>
                <w:szCs w:val="18"/>
              </w:rPr>
              <w:t>Ejecución Presupuestaria</w:t>
            </w:r>
          </w:p>
        </w:tc>
        <w:tc>
          <w:tcPr>
            <w:tcW w:w="992" w:type="dxa"/>
          </w:tcPr>
          <w:p w:rsidR="00CE29DF" w:rsidRPr="007465AA" w:rsidRDefault="00CE29DF" w:rsidP="001521CD">
            <w:pPr>
              <w:jc w:val="center"/>
              <w:rPr>
                <w:sz w:val="18"/>
                <w:szCs w:val="18"/>
              </w:rPr>
            </w:pPr>
          </w:p>
        </w:tc>
        <w:tc>
          <w:tcPr>
            <w:tcW w:w="2494" w:type="dxa"/>
          </w:tcPr>
          <w:p w:rsidR="00CE29DF" w:rsidRDefault="00CE29DF" w:rsidP="00035DFF">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Pr>
                <w:sz w:val="18"/>
                <w:szCs w:val="18"/>
              </w:rPr>
              <w:t>Cuentas anuales: actualización</w:t>
            </w:r>
          </w:p>
        </w:tc>
        <w:tc>
          <w:tcPr>
            <w:tcW w:w="992" w:type="dxa"/>
          </w:tcPr>
          <w:p w:rsidR="00CE29DF" w:rsidRPr="00407094" w:rsidRDefault="00CE29DF" w:rsidP="00407094">
            <w:pPr>
              <w:pStyle w:val="Prrafodelista"/>
              <w:numPr>
                <w:ilvl w:val="0"/>
                <w:numId w:val="27"/>
              </w:numPr>
              <w:jc w:val="center"/>
              <w:rPr>
                <w:sz w:val="18"/>
                <w:szCs w:val="18"/>
              </w:rPr>
            </w:pPr>
          </w:p>
        </w:tc>
        <w:tc>
          <w:tcPr>
            <w:tcW w:w="2494" w:type="dxa"/>
          </w:tcPr>
          <w:p w:rsidR="00CE29DF" w:rsidRDefault="00407094" w:rsidP="00407094">
            <w:pPr>
              <w:rPr>
                <w:sz w:val="18"/>
                <w:szCs w:val="18"/>
              </w:rPr>
            </w:pPr>
            <w:r>
              <w:rPr>
                <w:sz w:val="18"/>
                <w:szCs w:val="18"/>
              </w:rPr>
              <w:t>Si</w:t>
            </w:r>
            <w:r w:rsidR="00CE29DF">
              <w:rPr>
                <w:sz w:val="18"/>
                <w:szCs w:val="18"/>
              </w:rPr>
              <w:t xml:space="preserve">, </w:t>
            </w:r>
            <w:r>
              <w:rPr>
                <w:sz w:val="18"/>
                <w:szCs w:val="18"/>
              </w:rPr>
              <w:t>se publican las cuentas 2021</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 xml:space="preserve">Informes de auditoría  </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CE29DF">
            <w:pPr>
              <w:rPr>
                <w:sz w:val="18"/>
                <w:szCs w:val="18"/>
              </w:rPr>
            </w:pPr>
            <w:r>
              <w:rPr>
                <w:sz w:val="18"/>
                <w:szCs w:val="18"/>
              </w:rPr>
              <w:t xml:space="preserve">No. </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857C55">
            <w:pPr>
              <w:rPr>
                <w:sz w:val="18"/>
                <w:szCs w:val="18"/>
              </w:rPr>
            </w:pPr>
            <w:r w:rsidRPr="007465AA">
              <w:rPr>
                <w:sz w:val="18"/>
                <w:szCs w:val="18"/>
              </w:rPr>
              <w:t>Retribuciones de los máximos responsables</w:t>
            </w:r>
            <w:r>
              <w:rPr>
                <w:sz w:val="18"/>
                <w:szCs w:val="18"/>
              </w:rPr>
              <w:t xml:space="preserve">: </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857C55">
            <w:pPr>
              <w:rPr>
                <w:sz w:val="18"/>
                <w:szCs w:val="18"/>
              </w:rPr>
            </w:pPr>
            <w:r>
              <w:rPr>
                <w:sz w:val="18"/>
                <w:szCs w:val="18"/>
              </w:rPr>
              <w:t xml:space="preserve">No. </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Indemnizaciones percibidas por Altos Cargos con ocasión del abandono del cargo</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1521CD">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1A0BD4" w:rsidRDefault="00CE29DF" w:rsidP="001521CD">
            <w:pPr>
              <w:rPr>
                <w:sz w:val="18"/>
                <w:szCs w:val="18"/>
              </w:rPr>
            </w:pPr>
            <w:r>
              <w:rPr>
                <w:sz w:val="18"/>
                <w:szCs w:val="18"/>
              </w:rPr>
              <w:t>Autorizaciones de compatibilidad concedidas a empleados: publicación en el Portal de Transparencia de la entidad</w:t>
            </w:r>
          </w:p>
        </w:tc>
        <w:tc>
          <w:tcPr>
            <w:tcW w:w="992" w:type="dxa"/>
          </w:tcPr>
          <w:p w:rsidR="00CE29DF" w:rsidRPr="007465AA" w:rsidRDefault="00CE29DF" w:rsidP="001521CD">
            <w:pPr>
              <w:jc w:val="center"/>
              <w:rPr>
                <w:sz w:val="18"/>
                <w:szCs w:val="18"/>
              </w:rPr>
            </w:pPr>
          </w:p>
        </w:tc>
        <w:tc>
          <w:tcPr>
            <w:tcW w:w="2494" w:type="dxa"/>
          </w:tcPr>
          <w:p w:rsidR="00CE29DF" w:rsidRDefault="00CE29DF" w:rsidP="00035DFF">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337C82" w:rsidRDefault="00CE29DF" w:rsidP="001521CD">
            <w:pPr>
              <w:rPr>
                <w:sz w:val="18"/>
                <w:szCs w:val="18"/>
              </w:rPr>
            </w:pPr>
            <w:r w:rsidRPr="001A0BD4">
              <w:rPr>
                <w:sz w:val="18"/>
                <w:szCs w:val="18"/>
              </w:rPr>
              <w:t>Autorización para actividad privada al cese de altos cargos en la AGE, CCAA o EELL</w:t>
            </w:r>
          </w:p>
        </w:tc>
        <w:tc>
          <w:tcPr>
            <w:tcW w:w="992" w:type="dxa"/>
          </w:tcPr>
          <w:p w:rsidR="00CE29DF" w:rsidRPr="007465AA" w:rsidRDefault="00CE29DF" w:rsidP="001521CD">
            <w:pPr>
              <w:jc w:val="center"/>
              <w:rPr>
                <w:sz w:val="18"/>
                <w:szCs w:val="18"/>
              </w:rPr>
            </w:pPr>
          </w:p>
        </w:tc>
        <w:tc>
          <w:tcPr>
            <w:tcW w:w="2494" w:type="dxa"/>
          </w:tcPr>
          <w:p w:rsidR="00CE29DF" w:rsidRPr="007465AA" w:rsidRDefault="00CE29DF" w:rsidP="001521CD">
            <w:pPr>
              <w:rPr>
                <w:sz w:val="18"/>
                <w:szCs w:val="18"/>
              </w:rPr>
            </w:pPr>
            <w:r>
              <w:rPr>
                <w:sz w:val="18"/>
                <w:szCs w:val="18"/>
              </w:rPr>
              <w:t>No</w:t>
            </w:r>
          </w:p>
        </w:tc>
      </w:tr>
      <w:tr w:rsidR="00CE29DF" w:rsidRPr="007465AA" w:rsidTr="00407094">
        <w:tc>
          <w:tcPr>
            <w:tcW w:w="1668" w:type="dxa"/>
            <w:vMerge/>
            <w:vAlign w:val="center"/>
          </w:tcPr>
          <w:p w:rsidR="00CE29DF" w:rsidRPr="007465AA" w:rsidRDefault="00CE29DF" w:rsidP="001521CD">
            <w:pPr>
              <w:rPr>
                <w:sz w:val="18"/>
                <w:szCs w:val="18"/>
              </w:rPr>
            </w:pPr>
          </w:p>
        </w:tc>
        <w:tc>
          <w:tcPr>
            <w:tcW w:w="5528" w:type="dxa"/>
          </w:tcPr>
          <w:p w:rsidR="00CE29DF" w:rsidRPr="00337C82" w:rsidRDefault="00CE29DF" w:rsidP="001521CD">
            <w:pPr>
              <w:rPr>
                <w:sz w:val="18"/>
                <w:szCs w:val="18"/>
              </w:rPr>
            </w:pPr>
            <w:r>
              <w:rPr>
                <w:sz w:val="18"/>
                <w:szCs w:val="18"/>
              </w:rPr>
              <w:t>Información Estadística sobre cumplimiento y calidad de los servicios: actualizar</w:t>
            </w:r>
          </w:p>
        </w:tc>
        <w:tc>
          <w:tcPr>
            <w:tcW w:w="992" w:type="dxa"/>
          </w:tcPr>
          <w:p w:rsidR="00CE29DF" w:rsidRPr="007465AA" w:rsidRDefault="00CE29DF" w:rsidP="001521CD">
            <w:pPr>
              <w:jc w:val="center"/>
              <w:rPr>
                <w:sz w:val="18"/>
                <w:szCs w:val="18"/>
              </w:rPr>
            </w:pPr>
          </w:p>
        </w:tc>
        <w:tc>
          <w:tcPr>
            <w:tcW w:w="2494" w:type="dxa"/>
          </w:tcPr>
          <w:p w:rsidR="00CE29DF" w:rsidRDefault="00CE29DF" w:rsidP="00663F4A">
            <w:pPr>
              <w:rPr>
                <w:sz w:val="18"/>
                <w:szCs w:val="18"/>
              </w:rPr>
            </w:pPr>
            <w:r>
              <w:rPr>
                <w:sz w:val="18"/>
                <w:szCs w:val="18"/>
              </w:rPr>
              <w:t xml:space="preserve">No, </w:t>
            </w:r>
          </w:p>
        </w:tc>
      </w:tr>
      <w:tr w:rsidR="00A249BB" w:rsidRPr="007465AA" w:rsidTr="00407094">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1521CD">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1521CD">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1521CD">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992" w:type="dxa"/>
            <w:vAlign w:val="center"/>
          </w:tcPr>
          <w:p w:rsidR="00A249BB" w:rsidRPr="007465AA" w:rsidRDefault="00A249BB" w:rsidP="001521CD">
            <w:pPr>
              <w:jc w:val="center"/>
              <w:rPr>
                <w:sz w:val="18"/>
                <w:szCs w:val="18"/>
              </w:rPr>
            </w:pPr>
          </w:p>
        </w:tc>
        <w:tc>
          <w:tcPr>
            <w:tcW w:w="2494" w:type="dxa"/>
          </w:tcPr>
          <w:p w:rsidR="00A249BB" w:rsidRPr="007465AA" w:rsidRDefault="00A249BB" w:rsidP="001521CD">
            <w:pPr>
              <w:rPr>
                <w:sz w:val="18"/>
                <w:szCs w:val="18"/>
              </w:rPr>
            </w:pPr>
          </w:p>
        </w:tc>
      </w:tr>
      <w:tr w:rsidR="00A249BB" w:rsidRPr="007465AA" w:rsidTr="00407094">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992" w:type="dxa"/>
            <w:vAlign w:val="center"/>
          </w:tcPr>
          <w:p w:rsidR="00A249BB" w:rsidRPr="00715E7D" w:rsidRDefault="00A249BB" w:rsidP="00100121">
            <w:pPr>
              <w:pStyle w:val="Prrafodelista"/>
              <w:rPr>
                <w:sz w:val="18"/>
                <w:szCs w:val="18"/>
              </w:rPr>
            </w:pPr>
          </w:p>
        </w:tc>
        <w:tc>
          <w:tcPr>
            <w:tcW w:w="2494" w:type="dxa"/>
          </w:tcPr>
          <w:p w:rsidR="00A249BB" w:rsidRPr="007465AA" w:rsidRDefault="00100121" w:rsidP="001521CD">
            <w:pPr>
              <w:rPr>
                <w:sz w:val="18"/>
                <w:szCs w:val="18"/>
              </w:rPr>
            </w:pPr>
            <w:r>
              <w:rPr>
                <w:sz w:val="18"/>
                <w:szCs w:val="18"/>
              </w:rPr>
              <w:t>No</w:t>
            </w:r>
          </w:p>
        </w:tc>
      </w:tr>
      <w:tr w:rsidR="00A249BB" w:rsidRPr="007465AA" w:rsidTr="00407094">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992" w:type="dxa"/>
            <w:vAlign w:val="center"/>
          </w:tcPr>
          <w:p w:rsidR="00A249BB" w:rsidRPr="007465AA" w:rsidRDefault="00100121" w:rsidP="00663F4A">
            <w:pPr>
              <w:jc w:val="center"/>
              <w:rPr>
                <w:b/>
                <w:sz w:val="18"/>
                <w:szCs w:val="18"/>
              </w:rPr>
            </w:pPr>
            <w:r>
              <w:rPr>
                <w:b/>
                <w:sz w:val="18"/>
                <w:szCs w:val="18"/>
              </w:rPr>
              <w:t>2</w:t>
            </w:r>
            <w:r w:rsidR="00663F4A">
              <w:rPr>
                <w:b/>
                <w:sz w:val="18"/>
                <w:szCs w:val="18"/>
              </w:rPr>
              <w:t>7</w:t>
            </w:r>
          </w:p>
        </w:tc>
        <w:tc>
          <w:tcPr>
            <w:tcW w:w="2494" w:type="dxa"/>
          </w:tcPr>
          <w:p w:rsidR="00A249BB" w:rsidRPr="007465AA" w:rsidRDefault="00A249BB" w:rsidP="001521CD">
            <w:pPr>
              <w:rPr>
                <w:b/>
                <w:sz w:val="18"/>
                <w:szCs w:val="18"/>
              </w:rPr>
            </w:pPr>
          </w:p>
        </w:tc>
      </w:tr>
    </w:tbl>
    <w:p w:rsidR="003A1694" w:rsidRDefault="003A1694" w:rsidP="00AC4A6F"/>
    <w:p w:rsidR="00BA4354" w:rsidRDefault="00663F4A" w:rsidP="00DF56A7">
      <w:pPr>
        <w:jc w:val="both"/>
      </w:pPr>
      <w:r>
        <w:t xml:space="preserve">El Consorcio de la Zona Franca de Gran Canaria </w:t>
      </w:r>
      <w:r w:rsidR="008B6789">
        <w:t xml:space="preserve">ha aplicado </w:t>
      </w:r>
      <w:r>
        <w:t xml:space="preserve">una </w:t>
      </w:r>
      <w:r w:rsidR="008B6789">
        <w:t xml:space="preserve">de las </w:t>
      </w:r>
      <w:r w:rsidR="00100121">
        <w:t>2</w:t>
      </w:r>
      <w:r>
        <w:t>7</w:t>
      </w:r>
      <w:r w:rsidR="00035DFF">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7094" w:rsidRPr="00F31BC3" w:rsidRDefault="00407094"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D95052" w:rsidRPr="00F31BC3" w:rsidRDefault="00D9505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6"/>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663F4A" w:rsidRPr="00663F4A" w:rsidTr="0040709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rPr>
                <w:rFonts w:eastAsia="Times New Roman" w:cs="Calibri"/>
                <w:color w:val="FFFFFF" w:themeColor="background1"/>
                <w:sz w:val="16"/>
                <w:szCs w:val="16"/>
                <w:lang w:eastAsia="es-ES"/>
              </w:rPr>
            </w:pP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Contenido</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Forma</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Estructuración</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Accesibilidad</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Claridad</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Reutilización</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Actualización</w:t>
            </w:r>
          </w:p>
        </w:tc>
        <w:tc>
          <w:tcPr>
            <w:tcW w:w="0" w:type="auto"/>
            <w:tcBorders>
              <w:top w:val="single" w:sz="18" w:space="0" w:color="FFFFFF" w:themeColor="background1"/>
            </w:tcBorders>
            <w:shd w:val="clear" w:color="auto" w:fill="00642D"/>
            <w:noWrap/>
            <w:textDirection w:val="btLr"/>
            <w:hideMark/>
          </w:tcPr>
          <w:p w:rsidR="00663F4A" w:rsidRPr="00663F4A" w:rsidRDefault="00663F4A" w:rsidP="00663F4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Total</w:t>
            </w:r>
          </w:p>
        </w:tc>
      </w:tr>
      <w:tr w:rsidR="00663F4A" w:rsidRPr="00663F4A" w:rsidTr="004070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63F4A" w:rsidRPr="00663F4A" w:rsidRDefault="00663F4A" w:rsidP="00663F4A">
            <w:pPr>
              <w:spacing w:before="120" w:after="120" w:line="312" w:lineRule="auto"/>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Institucional, Organizativa y de Planificación</w:t>
            </w:r>
          </w:p>
        </w:tc>
        <w:tc>
          <w:tcPr>
            <w:tcW w:w="0" w:type="auto"/>
            <w:tcBorders>
              <w:left w:val="single" w:sz="18" w:space="0" w:color="FFFFFF" w:themeColor="background1"/>
            </w:tcBorders>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35,0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40,0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40,0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40,0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40,0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30,0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5,0</w:t>
            </w:r>
          </w:p>
        </w:tc>
        <w:tc>
          <w:tcPr>
            <w:tcW w:w="0" w:type="auto"/>
            <w:noWrap/>
            <w:vAlign w:val="center"/>
          </w:tcPr>
          <w:p w:rsidR="00663F4A" w:rsidRPr="00663F4A" w:rsidRDefault="00663F4A" w:rsidP="00663F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32,9</w:t>
            </w:r>
          </w:p>
        </w:tc>
      </w:tr>
      <w:tr w:rsidR="00663F4A" w:rsidRPr="00663F4A" w:rsidTr="0040709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63F4A" w:rsidRPr="00663F4A" w:rsidRDefault="00663F4A" w:rsidP="00663F4A">
            <w:pPr>
              <w:spacing w:before="120" w:after="120" w:line="312" w:lineRule="auto"/>
              <w:jc w:val="both"/>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 xml:space="preserve">De relevancia jurídica </w:t>
            </w:r>
          </w:p>
        </w:tc>
        <w:tc>
          <w:tcPr>
            <w:tcW w:w="0" w:type="auto"/>
            <w:tcBorders>
              <w:left w:val="single" w:sz="18" w:space="0" w:color="FFFFFF" w:themeColor="background1"/>
            </w:tcBorders>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c>
          <w:tcPr>
            <w:tcW w:w="0" w:type="auto"/>
            <w:noWrap/>
            <w:vAlign w:val="center"/>
          </w:tcPr>
          <w:p w:rsidR="00663F4A" w:rsidRPr="00663F4A" w:rsidRDefault="00663F4A" w:rsidP="00663F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ES"/>
              </w:rPr>
            </w:pPr>
            <w:r w:rsidRPr="00663F4A">
              <w:rPr>
                <w:rFonts w:eastAsia="Times New Roman" w:cs="Times New Roman"/>
                <w:sz w:val="16"/>
                <w:szCs w:val="16"/>
                <w:lang w:eastAsia="es-ES"/>
              </w:rPr>
              <w:t>0,0</w:t>
            </w:r>
          </w:p>
        </w:tc>
      </w:tr>
      <w:tr w:rsidR="00B93824" w:rsidRPr="00B93824" w:rsidTr="00B9382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3824" w:rsidRPr="00663F4A" w:rsidRDefault="00B93824" w:rsidP="00663F4A">
            <w:pPr>
              <w:spacing w:before="120" w:after="120" w:line="312" w:lineRule="auto"/>
              <w:jc w:val="both"/>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Económica , Presupuestaria y Estadística</w:t>
            </w:r>
          </w:p>
        </w:tc>
        <w:tc>
          <w:tcPr>
            <w:tcW w:w="0" w:type="auto"/>
            <w:tcBorders>
              <w:left w:val="single" w:sz="18" w:space="0" w:color="FFFFFF" w:themeColor="background1"/>
            </w:tcBorders>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18,8</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6,3</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18,8</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6,3</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18,8</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18,8</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18,8</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sz w:val="16"/>
              </w:rPr>
            </w:pPr>
            <w:r w:rsidRPr="00B93824">
              <w:rPr>
                <w:sz w:val="16"/>
              </w:rPr>
              <w:t>15,2</w:t>
            </w:r>
          </w:p>
        </w:tc>
      </w:tr>
      <w:tr w:rsidR="00B93824" w:rsidRPr="00B93824" w:rsidTr="00B9382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93824" w:rsidRPr="00663F4A" w:rsidRDefault="00B93824" w:rsidP="00663F4A">
            <w:pPr>
              <w:spacing w:before="120" w:after="120" w:line="312" w:lineRule="auto"/>
              <w:jc w:val="both"/>
              <w:rPr>
                <w:rFonts w:eastAsia="Times New Roman" w:cs="Calibri"/>
                <w:color w:val="FFFFFF" w:themeColor="background1"/>
                <w:sz w:val="16"/>
                <w:szCs w:val="16"/>
                <w:lang w:eastAsia="es-ES"/>
              </w:rPr>
            </w:pPr>
            <w:r w:rsidRPr="00663F4A">
              <w:rPr>
                <w:rFonts w:eastAsia="Times New Roman" w:cs="Calibri"/>
                <w:color w:val="FFFFFF" w:themeColor="background1"/>
                <w:sz w:val="16"/>
                <w:szCs w:val="16"/>
                <w:lang w:eastAsia="es-ES"/>
              </w:rPr>
              <w:t>Información patrimonial</w:t>
            </w:r>
          </w:p>
        </w:tc>
        <w:tc>
          <w:tcPr>
            <w:tcW w:w="0" w:type="auto"/>
            <w:tcBorders>
              <w:left w:val="single" w:sz="18" w:space="0" w:color="FFFFFF" w:themeColor="background1"/>
            </w:tcBorders>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50,0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100,0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100,0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100,0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100,0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100,0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0,0</w:t>
            </w:r>
          </w:p>
        </w:tc>
        <w:tc>
          <w:tcPr>
            <w:tcW w:w="0" w:type="auto"/>
            <w:noWrap/>
            <w:vAlign w:val="center"/>
          </w:tcPr>
          <w:p w:rsidR="00B93824" w:rsidRPr="00B93824" w:rsidRDefault="00B93824" w:rsidP="00B93824">
            <w:pPr>
              <w:jc w:val="center"/>
              <w:cnfStyle w:val="000000000000" w:firstRow="0" w:lastRow="0" w:firstColumn="0" w:lastColumn="0" w:oddVBand="0" w:evenVBand="0" w:oddHBand="0" w:evenHBand="0" w:firstRowFirstColumn="0" w:firstRowLastColumn="0" w:lastRowFirstColumn="0" w:lastRowLastColumn="0"/>
              <w:rPr>
                <w:sz w:val="16"/>
              </w:rPr>
            </w:pPr>
            <w:r w:rsidRPr="00B93824">
              <w:rPr>
                <w:sz w:val="16"/>
              </w:rPr>
              <w:t>78,6</w:t>
            </w:r>
          </w:p>
        </w:tc>
      </w:tr>
      <w:tr w:rsidR="00B93824" w:rsidRPr="00B93824" w:rsidTr="00B9382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3824" w:rsidRPr="00663F4A" w:rsidRDefault="00B93824" w:rsidP="00663F4A">
            <w:pPr>
              <w:spacing w:before="120" w:after="120" w:line="312" w:lineRule="auto"/>
              <w:jc w:val="both"/>
              <w:rPr>
                <w:rFonts w:eastAsia="Times New Roman" w:cs="Calibri"/>
                <w:i/>
                <w:color w:val="FFFFFF" w:themeColor="background1"/>
                <w:sz w:val="16"/>
                <w:szCs w:val="16"/>
                <w:lang w:eastAsia="es-ES"/>
              </w:rPr>
            </w:pPr>
            <w:r w:rsidRPr="00663F4A">
              <w:rPr>
                <w:rFonts w:eastAsia="Times New Roman" w:cs="Calibri"/>
                <w:i/>
                <w:color w:val="FFFFFF" w:themeColor="background1"/>
                <w:sz w:val="16"/>
                <w:szCs w:val="16"/>
                <w:lang w:eastAsia="es-ES"/>
              </w:rPr>
              <w:t>Índice de Cumplimiento de la Información Obligatoria</w:t>
            </w:r>
          </w:p>
        </w:tc>
        <w:tc>
          <w:tcPr>
            <w:tcW w:w="0" w:type="auto"/>
            <w:tcBorders>
              <w:left w:val="single" w:sz="18" w:space="0" w:color="FFFFFF" w:themeColor="background1"/>
            </w:tcBorders>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24,1</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20,7</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27,6</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20,7</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27,6</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24,1</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12,1</w:t>
            </w:r>
          </w:p>
        </w:tc>
        <w:tc>
          <w:tcPr>
            <w:tcW w:w="0" w:type="auto"/>
            <w:noWrap/>
            <w:vAlign w:val="center"/>
          </w:tcPr>
          <w:p w:rsidR="00B93824" w:rsidRPr="00B93824" w:rsidRDefault="00B93824" w:rsidP="00B93824">
            <w:pPr>
              <w:jc w:val="center"/>
              <w:cnfStyle w:val="000000100000" w:firstRow="0" w:lastRow="0" w:firstColumn="0" w:lastColumn="0" w:oddVBand="0" w:evenVBand="0" w:oddHBand="1" w:evenHBand="0" w:firstRowFirstColumn="0" w:firstRowLastColumn="0" w:lastRowFirstColumn="0" w:lastRowLastColumn="0"/>
              <w:rPr>
                <w:b/>
                <w:i/>
                <w:sz w:val="16"/>
              </w:rPr>
            </w:pPr>
            <w:r w:rsidRPr="00B93824">
              <w:rPr>
                <w:b/>
                <w:i/>
                <w:sz w:val="16"/>
              </w:rPr>
              <w:t>22,4</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B93824">
        <w:rPr>
          <w:lang w:bidi="es-ES"/>
        </w:rPr>
        <w:t>22,4</w:t>
      </w:r>
      <w:r>
        <w:rPr>
          <w:lang w:bidi="es-ES"/>
        </w:rPr>
        <w:t>%.</w:t>
      </w:r>
      <w:r w:rsidR="00BB3652">
        <w:rPr>
          <w:lang w:bidi="es-ES"/>
        </w:rPr>
        <w:t xml:space="preserve"> Respecto de 202</w:t>
      </w:r>
      <w:r w:rsidR="004413FC">
        <w:rPr>
          <w:lang w:bidi="es-ES"/>
        </w:rPr>
        <w:t>2</w:t>
      </w:r>
      <w:r w:rsidR="00BB3652">
        <w:rPr>
          <w:lang w:bidi="es-ES"/>
        </w:rPr>
        <w:t xml:space="preserve"> </w:t>
      </w:r>
      <w:r w:rsidR="00D95052">
        <w:rPr>
          <w:lang w:bidi="es-ES"/>
        </w:rPr>
        <w:t xml:space="preserve">este nivel de cumplimiento </w:t>
      </w:r>
      <w:r w:rsidR="00B93824">
        <w:rPr>
          <w:lang w:bidi="es-ES"/>
        </w:rPr>
        <w:t>ha aumentado en 3,4 puntos porcentuales</w:t>
      </w:r>
      <w:r w:rsidR="00880290">
        <w:rPr>
          <w:lang w:bidi="es-ES"/>
        </w:rPr>
        <w:t xml:space="preserve">, </w:t>
      </w:r>
      <w:r w:rsidR="00B93824">
        <w:rPr>
          <w:lang w:bidi="es-ES"/>
        </w:rPr>
        <w:t xml:space="preserve">atribuibles a la aplicación de una de las </w:t>
      </w:r>
      <w:r w:rsidR="00D95052">
        <w:rPr>
          <w:lang w:bidi="es-ES"/>
        </w:rPr>
        <w:t>recomendaci</w:t>
      </w:r>
      <w:r w:rsidR="00B93824">
        <w:rPr>
          <w:lang w:bidi="es-ES"/>
        </w:rPr>
        <w:t>ones derivadas de la evaluación 2022</w:t>
      </w:r>
      <w:r w:rsidR="00035DFF">
        <w:rPr>
          <w:lang w:bidi="es-ES"/>
        </w:rPr>
        <w:t>.</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4413FC" w:rsidRDefault="00D95052" w:rsidP="004413FC">
      <w:pPr>
        <w:pStyle w:val="Cuerpodelboletn"/>
      </w:pPr>
      <w:r>
        <w:t>E</w:t>
      </w:r>
      <w:r w:rsidR="004413FC">
        <w:t xml:space="preserve">ste CTBG no puede menos que </w:t>
      </w:r>
      <w:r w:rsidR="004413FC" w:rsidRPr="00BB3652">
        <w:rPr>
          <w:b/>
        </w:rPr>
        <w:t>valorar negativamente</w:t>
      </w:r>
      <w:r w:rsidR="004413FC">
        <w:t xml:space="preserve"> </w:t>
      </w:r>
      <w:r w:rsidR="00880290">
        <w:t xml:space="preserve">el </w:t>
      </w:r>
      <w:r w:rsidR="004413FC">
        <w:t>cumplimiento de las obligaciones de publicidad activa por parte de</w:t>
      </w:r>
      <w:r>
        <w:t>l</w:t>
      </w:r>
      <w:r w:rsidR="004413FC">
        <w:t xml:space="preserve"> </w:t>
      </w:r>
      <w:r w:rsidR="00663F4A">
        <w:t>Consorcio de la Zona Franca de Gran Canaria</w:t>
      </w:r>
      <w:r w:rsidR="00035DFF">
        <w:t>.</w:t>
      </w:r>
      <w:r w:rsidR="004413FC">
        <w:t xml:space="preserve"> </w:t>
      </w:r>
      <w:r w:rsidR="00B93824">
        <w:t>Aunque el Índice de Cumplimiento ha experimentado una ligera mejoría respecto de</w:t>
      </w:r>
      <w:r>
        <w:t xml:space="preserve"> 2022, </w:t>
      </w:r>
      <w:r w:rsidR="00B93824">
        <w:t>sólo</w:t>
      </w:r>
      <w:r w:rsidR="009E1DDF">
        <w:t xml:space="preserve"> se ha aplicado </w:t>
      </w:r>
      <w:r w:rsidR="00B93824">
        <w:t>una</w:t>
      </w:r>
      <w:r>
        <w:t xml:space="preserve"> </w:t>
      </w:r>
      <w:r w:rsidR="004413FC">
        <w:t>de las recomendaciones derivadas de la evaluación realizada en 202</w:t>
      </w:r>
      <w:r w:rsidR="00117FA9">
        <w:t>2</w:t>
      </w:r>
      <w:r w:rsidR="00880290">
        <w:t xml:space="preserve"> y, c</w:t>
      </w:r>
      <w:r w:rsidR="004413FC">
        <w:t>omo consecuencia de esto</w:t>
      </w:r>
      <w:r w:rsidR="00880290">
        <w:t>,</w:t>
      </w:r>
      <w:r w:rsidR="004413FC">
        <w:t xml:space="preserve"> persisten</w:t>
      </w:r>
      <w:r w:rsidR="00880290">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7094" w:rsidRPr="00F31BC3" w:rsidRDefault="00407094"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D95052" w:rsidRPr="00F31BC3" w:rsidRDefault="00D95052"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663F4A" w:rsidRDefault="00663F4A" w:rsidP="00035DFF">
      <w:pPr>
        <w:pStyle w:val="Sinespaciado"/>
        <w:numPr>
          <w:ilvl w:val="0"/>
          <w:numId w:val="18"/>
        </w:numPr>
        <w:spacing w:line="276" w:lineRule="auto"/>
        <w:jc w:val="both"/>
        <w:rPr>
          <w:rFonts w:ascii="Century Gothic" w:hAnsi="Century Gothic"/>
        </w:rPr>
      </w:pPr>
      <w:r>
        <w:rPr>
          <w:rFonts w:ascii="Century Gothic" w:hAnsi="Century Gothic"/>
        </w:rPr>
        <w:t>El Portal de Transparencia solo incluye información sobre las cuentas anuales</w:t>
      </w:r>
    </w:p>
    <w:p w:rsidR="00035DFF"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S</w:t>
      </w:r>
      <w:r w:rsidRPr="004D1FFB">
        <w:rPr>
          <w:rFonts w:ascii="Century Gothic" w:hAnsi="Century Gothic"/>
        </w:rPr>
        <w:t xml:space="preserve">igue sin </w:t>
      </w:r>
      <w:r>
        <w:rPr>
          <w:rFonts w:ascii="Century Gothic" w:hAnsi="Century Gothic"/>
        </w:rPr>
        <w:t>o</w:t>
      </w:r>
      <w:r w:rsidR="00035DFF" w:rsidRPr="004D1FFB">
        <w:rPr>
          <w:rFonts w:ascii="Century Gothic" w:hAnsi="Century Gothic"/>
        </w:rPr>
        <w:t>rganizarse la información conforme al patrón de bloques que establece la LTAIBG: Información Institucional, Organizativa y de Planificación</w:t>
      </w:r>
      <w:r w:rsidR="00D95052">
        <w:rPr>
          <w:rFonts w:ascii="Century Gothic" w:hAnsi="Century Gothic"/>
        </w:rPr>
        <w:t>; Información  de Relevancia Jurídica;</w:t>
      </w:r>
      <w:r>
        <w:rPr>
          <w:rFonts w:ascii="Century Gothic" w:hAnsi="Century Gothic"/>
        </w:rPr>
        <w:t xml:space="preserve"> </w:t>
      </w:r>
      <w:r w:rsidR="00035DFF" w:rsidRPr="004D1FFB">
        <w:rPr>
          <w:rFonts w:ascii="Century Gothic" w:hAnsi="Century Gothic"/>
        </w:rPr>
        <w:t>Información Económic</w:t>
      </w:r>
      <w:r w:rsidR="00D95052">
        <w:rPr>
          <w:rFonts w:ascii="Century Gothic" w:hAnsi="Century Gothic"/>
        </w:rPr>
        <w:t>a, Presupuestaria y Estadística; Información Patrimonial</w:t>
      </w:r>
    </w:p>
    <w:p w:rsidR="004D1FFB" w:rsidRPr="004D1FFB" w:rsidRDefault="00663F4A" w:rsidP="00035DFF">
      <w:pPr>
        <w:pStyle w:val="Sinespaciado"/>
        <w:numPr>
          <w:ilvl w:val="0"/>
          <w:numId w:val="18"/>
        </w:numPr>
        <w:spacing w:line="276" w:lineRule="auto"/>
        <w:jc w:val="both"/>
        <w:rPr>
          <w:rFonts w:ascii="Century Gothic" w:hAnsi="Century Gothic"/>
        </w:rPr>
      </w:pPr>
      <w:r>
        <w:rPr>
          <w:rFonts w:ascii="Century Gothic" w:hAnsi="Century Gothic"/>
        </w:rPr>
        <w:t xml:space="preserve">La escasa </w:t>
      </w:r>
      <w:r w:rsidR="004D1FFB">
        <w:rPr>
          <w:rFonts w:ascii="Century Gothic" w:hAnsi="Century Gothic"/>
        </w:rPr>
        <w:t xml:space="preserve"> información obligatoria </w:t>
      </w:r>
      <w:r>
        <w:rPr>
          <w:rFonts w:ascii="Century Gothic" w:hAnsi="Century Gothic"/>
        </w:rPr>
        <w:t xml:space="preserve">que se publica se localiza </w:t>
      </w:r>
      <w:r w:rsidR="004D1FFB">
        <w:rPr>
          <w:rFonts w:ascii="Century Gothic" w:hAnsi="Century Gothic"/>
        </w:rPr>
        <w:t>fuera del Portal de Transparencia</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663F4A" w:rsidRPr="00663F4A" w:rsidRDefault="00663F4A" w:rsidP="00663F4A">
      <w:pPr>
        <w:pStyle w:val="Prrafodelista"/>
        <w:ind w:left="2160"/>
        <w:rPr>
          <w:szCs w:val="22"/>
        </w:rPr>
      </w:pPr>
    </w:p>
    <w:p w:rsidR="00663F4A" w:rsidRPr="00663F4A" w:rsidRDefault="00663F4A" w:rsidP="00035DFF">
      <w:pPr>
        <w:pStyle w:val="Prrafodelista"/>
        <w:numPr>
          <w:ilvl w:val="1"/>
          <w:numId w:val="20"/>
        </w:numPr>
        <w:rPr>
          <w:szCs w:val="22"/>
        </w:rPr>
      </w:pPr>
      <w:r>
        <w:t>Sigue sin completarse la información sobre la normativa aplicable</w:t>
      </w:r>
    </w:p>
    <w:p w:rsidR="00035DFF" w:rsidRPr="00035DFF" w:rsidRDefault="00035DFF" w:rsidP="00035DFF">
      <w:pPr>
        <w:pStyle w:val="Prrafodelista"/>
        <w:numPr>
          <w:ilvl w:val="1"/>
          <w:numId w:val="20"/>
        </w:numPr>
        <w:rPr>
          <w:szCs w:val="22"/>
        </w:rPr>
      </w:pPr>
      <w:r>
        <w:t xml:space="preserve">El organigrama, entendido como la representación gráfica </w:t>
      </w:r>
      <w:r w:rsidRPr="00035DFF">
        <w:rPr>
          <w:szCs w:val="22"/>
        </w:rPr>
        <w:t>de la estructura de la entidad y de las relaciones entre los diversos niveles de dicha estructura.</w:t>
      </w:r>
    </w:p>
    <w:p w:rsidR="004413FC" w:rsidRPr="00D95052" w:rsidRDefault="004D1FFB" w:rsidP="00035DFF">
      <w:pPr>
        <w:pStyle w:val="Prrafodelista"/>
        <w:numPr>
          <w:ilvl w:val="1"/>
          <w:numId w:val="20"/>
        </w:numPr>
        <w:spacing w:line="276" w:lineRule="auto"/>
        <w:ind w:left="2127"/>
        <w:jc w:val="both"/>
      </w:pPr>
      <w:r>
        <w:rPr>
          <w:szCs w:val="22"/>
        </w:rPr>
        <w:t>El Registro de Actividades de Tratamiento</w:t>
      </w:r>
    </w:p>
    <w:p w:rsidR="00D95052" w:rsidRPr="00D95052" w:rsidRDefault="00D95052" w:rsidP="00035DFF">
      <w:pPr>
        <w:pStyle w:val="Prrafodelista"/>
        <w:numPr>
          <w:ilvl w:val="1"/>
          <w:numId w:val="20"/>
        </w:numPr>
        <w:spacing w:line="276" w:lineRule="auto"/>
        <w:ind w:left="2127"/>
        <w:jc w:val="both"/>
      </w:pPr>
      <w:r>
        <w:rPr>
          <w:szCs w:val="22"/>
        </w:rPr>
        <w:t>El perfil y  trayectoria profesional de los máximos responsables</w:t>
      </w:r>
    </w:p>
    <w:p w:rsidR="00D95052" w:rsidRPr="00D95052" w:rsidRDefault="00D95052" w:rsidP="00035DFF">
      <w:pPr>
        <w:pStyle w:val="Prrafodelista"/>
        <w:numPr>
          <w:ilvl w:val="1"/>
          <w:numId w:val="20"/>
        </w:numPr>
        <w:spacing w:line="276" w:lineRule="auto"/>
        <w:ind w:left="2127"/>
        <w:jc w:val="both"/>
      </w:pPr>
      <w:r>
        <w:rPr>
          <w:szCs w:val="22"/>
        </w:rPr>
        <w:t>Los planes y programas</w:t>
      </w:r>
    </w:p>
    <w:p w:rsidR="00D95052" w:rsidRPr="00D95052" w:rsidRDefault="00D95052" w:rsidP="00035DFF">
      <w:pPr>
        <w:pStyle w:val="Prrafodelista"/>
        <w:numPr>
          <w:ilvl w:val="1"/>
          <w:numId w:val="20"/>
        </w:numPr>
        <w:spacing w:line="276" w:lineRule="auto"/>
        <w:ind w:left="2127"/>
        <w:jc w:val="both"/>
      </w:pPr>
      <w:r>
        <w:rPr>
          <w:szCs w:val="22"/>
        </w:rPr>
        <w:t>Los informes sobre el grado de cumplimiento y resultados de planes y programas</w:t>
      </w:r>
    </w:p>
    <w:p w:rsidR="00D95052" w:rsidRPr="00035DFF" w:rsidRDefault="00D95052" w:rsidP="00035DFF">
      <w:pPr>
        <w:pStyle w:val="Prrafodelista"/>
        <w:numPr>
          <w:ilvl w:val="1"/>
          <w:numId w:val="20"/>
        </w:numPr>
        <w:spacing w:line="276" w:lineRule="auto"/>
        <w:ind w:left="2127"/>
        <w:jc w:val="both"/>
      </w:pPr>
      <w:r>
        <w:rPr>
          <w:szCs w:val="22"/>
        </w:rPr>
        <w:t>Los indicadores de medida y valoración del cumplimiento de planes y programas</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4D1FFB" w:rsidRDefault="00E15EC7" w:rsidP="004413FC">
      <w:pPr>
        <w:pStyle w:val="Sinespaciado"/>
        <w:numPr>
          <w:ilvl w:val="1"/>
          <w:numId w:val="20"/>
        </w:numPr>
        <w:spacing w:line="276" w:lineRule="auto"/>
        <w:jc w:val="both"/>
        <w:rPr>
          <w:rFonts w:ascii="Century Gothic" w:hAnsi="Century Gothic"/>
        </w:rPr>
      </w:pPr>
      <w:r w:rsidRPr="004D1FFB">
        <w:rPr>
          <w:rFonts w:ascii="Century Gothic" w:hAnsi="Century Gothic"/>
        </w:rPr>
        <w:t>La información sobre convenios</w:t>
      </w:r>
      <w:r w:rsidR="00035DFF" w:rsidRPr="004D1FFB">
        <w:rPr>
          <w:rFonts w:ascii="Century Gothic" w:hAnsi="Century Gothic"/>
        </w:rPr>
        <w:t xml:space="preserve"> </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Encomiendas de Gestión</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subcontrataciones derivadas de encomiendas de gestión</w:t>
      </w:r>
    </w:p>
    <w:p w:rsidR="004413FC" w:rsidRDefault="00117FA9" w:rsidP="004413FC">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La </w:t>
      </w:r>
      <w:r w:rsidR="00035DFF">
        <w:rPr>
          <w:rFonts w:ascii="Century Gothic" w:hAnsi="Century Gothic"/>
        </w:rPr>
        <w:t xml:space="preserve">información sobre subvenciones y ayudas públicas concedidas. </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D95052" w:rsidP="004413FC">
      <w:pPr>
        <w:pStyle w:val="Sinespaciado"/>
        <w:numPr>
          <w:ilvl w:val="1"/>
          <w:numId w:val="20"/>
        </w:numPr>
        <w:spacing w:line="276" w:lineRule="auto"/>
        <w:ind w:left="2127"/>
        <w:jc w:val="both"/>
        <w:rPr>
          <w:rFonts w:ascii="Century Gothic" w:hAnsi="Century Gothic"/>
        </w:rPr>
      </w:pPr>
      <w:r>
        <w:rPr>
          <w:rFonts w:ascii="Century Gothic" w:hAnsi="Century Gothic"/>
        </w:rPr>
        <w:t>Las retribuciones de los máximos responsables</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15EC7">
        <w:rPr>
          <w:rFonts w:ascii="Century Gothic" w:hAnsi="Century Gothic"/>
        </w:rPr>
        <w:t xml:space="preserve">as autorizaciones de compatibilidad concedidas a empleados </w:t>
      </w:r>
    </w:p>
    <w:p w:rsidR="004413FC"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autorizaciones para el ejercicio de actividades privadas al ceso de altos Cargos.</w:t>
      </w:r>
    </w:p>
    <w:p w:rsidR="00D95052" w:rsidRDefault="00663F4A"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información </w:t>
      </w:r>
      <w:r w:rsidR="00D95052">
        <w:rPr>
          <w:rFonts w:ascii="Century Gothic" w:hAnsi="Century Gothic"/>
        </w:rPr>
        <w:t xml:space="preserve"> sobre cumplimiento y calidad de los servicios </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B93824">
      <w:pPr>
        <w:pStyle w:val="Prrafodelista"/>
        <w:numPr>
          <w:ilvl w:val="1"/>
          <w:numId w:val="18"/>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B93824">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8B032F">
        <w:rPr>
          <w:rFonts w:ascii="Century Gothic" w:hAnsi="Century Gothic"/>
        </w:rPr>
        <w:t xml:space="preserve">del </w:t>
      </w:r>
      <w:r w:rsidR="00663F4A">
        <w:rPr>
          <w:rFonts w:ascii="Century Gothic" w:hAnsi="Century Gothic"/>
        </w:rPr>
        <w:t>Consorcio</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B93824">
      <w:pPr>
        <w:pStyle w:val="Prrafodelista"/>
        <w:numPr>
          <w:ilvl w:val="1"/>
          <w:numId w:val="18"/>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B93824">
      <w:pPr>
        <w:pStyle w:val="Prrafodelista"/>
        <w:numPr>
          <w:ilvl w:val="1"/>
          <w:numId w:val="18"/>
        </w:numPr>
        <w:spacing w:line="276" w:lineRule="auto"/>
        <w:rPr>
          <w:szCs w:val="22"/>
        </w:rPr>
      </w:pPr>
      <w:r w:rsidRPr="00E15EC7">
        <w:rPr>
          <w:szCs w:val="22"/>
        </w:rPr>
        <w:lastRenderedPageBreak/>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B93824">
        <w:rPr>
          <w:rFonts w:ascii="Century Gothic" w:hAnsi="Century Gothic"/>
        </w:rPr>
        <w:t>mayo</w:t>
      </w:r>
      <w:r>
        <w:rPr>
          <w:rFonts w:ascii="Century Gothic" w:hAnsi="Century Gothic"/>
        </w:rPr>
        <w:t xml:space="preserve">  de 2023</w:t>
      </w:r>
    </w:p>
    <w:p w:rsidR="00C259F4" w:rsidRDefault="00C259F4" w:rsidP="00965C69">
      <w:pPr>
        <w:pStyle w:val="Cuerpodelboletn"/>
      </w:pPr>
      <w:bookmarkStart w:id="0" w:name="_GoBack"/>
      <w:bookmarkEnd w:id="0"/>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pPr>
    </w:p>
    <w:p w:rsidR="00B93824" w:rsidRDefault="00B93824" w:rsidP="00965C69">
      <w:pPr>
        <w:pStyle w:val="Cuerpodelboletn"/>
        <w:sectPr w:rsidR="00B9382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7094" w:rsidRPr="00F31BC3" w:rsidRDefault="00407094"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D95052" w:rsidRPr="00F31BC3" w:rsidRDefault="00D9505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7094" w:rsidRPr="00F31BC3" w:rsidRDefault="00407094"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D95052" w:rsidRPr="00F31BC3" w:rsidRDefault="00D95052"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94" w:rsidRDefault="00407094" w:rsidP="00F31BC3">
      <w:r>
        <w:separator/>
      </w:r>
    </w:p>
  </w:endnote>
  <w:endnote w:type="continuationSeparator" w:id="0">
    <w:p w:rsidR="00407094" w:rsidRDefault="0040709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94" w:rsidRDefault="00407094" w:rsidP="00F31BC3">
      <w:r>
        <w:separator/>
      </w:r>
    </w:p>
  </w:footnote>
  <w:footnote w:type="continuationSeparator" w:id="0">
    <w:p w:rsidR="00407094" w:rsidRDefault="0040709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980897"/>
    <w:multiLevelType w:val="hybridMultilevel"/>
    <w:tmpl w:val="5D3C2FE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763CF9"/>
    <w:multiLevelType w:val="hybridMultilevel"/>
    <w:tmpl w:val="D7E279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3"/>
  </w:num>
  <w:num w:numId="3">
    <w:abstractNumId w:val="12"/>
  </w:num>
  <w:num w:numId="4">
    <w:abstractNumId w:val="0"/>
  </w:num>
  <w:num w:numId="5">
    <w:abstractNumId w:val="20"/>
  </w:num>
  <w:num w:numId="6">
    <w:abstractNumId w:val="22"/>
  </w:num>
  <w:num w:numId="7">
    <w:abstractNumId w:val="17"/>
  </w:num>
  <w:num w:numId="8">
    <w:abstractNumId w:val="1"/>
  </w:num>
  <w:num w:numId="9">
    <w:abstractNumId w:val="4"/>
  </w:num>
  <w:num w:numId="10">
    <w:abstractNumId w:val="3"/>
  </w:num>
  <w:num w:numId="11">
    <w:abstractNumId w:val="24"/>
  </w:num>
  <w:num w:numId="12">
    <w:abstractNumId w:val="16"/>
  </w:num>
  <w:num w:numId="13">
    <w:abstractNumId w:val="10"/>
  </w:num>
  <w:num w:numId="14">
    <w:abstractNumId w:val="25"/>
  </w:num>
  <w:num w:numId="15">
    <w:abstractNumId w:val="2"/>
  </w:num>
  <w:num w:numId="16">
    <w:abstractNumId w:val="26"/>
  </w:num>
  <w:num w:numId="17">
    <w:abstractNumId w:val="14"/>
  </w:num>
  <w:num w:numId="18">
    <w:abstractNumId w:val="9"/>
  </w:num>
  <w:num w:numId="19">
    <w:abstractNumId w:val="8"/>
  </w:num>
  <w:num w:numId="20">
    <w:abstractNumId w:val="21"/>
  </w:num>
  <w:num w:numId="21">
    <w:abstractNumId w:val="6"/>
  </w:num>
  <w:num w:numId="22">
    <w:abstractNumId w:val="7"/>
  </w:num>
  <w:num w:numId="23">
    <w:abstractNumId w:val="15"/>
  </w:num>
  <w:num w:numId="24">
    <w:abstractNumId w:val="13"/>
  </w:num>
  <w:num w:numId="25">
    <w:abstractNumId w:val="18"/>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07094"/>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63F4A"/>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9382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29DF"/>
    <w:rsid w:val="00CF21EB"/>
    <w:rsid w:val="00CF5B92"/>
    <w:rsid w:val="00D014E1"/>
    <w:rsid w:val="00D01CA1"/>
    <w:rsid w:val="00D1453D"/>
    <w:rsid w:val="00D41F4C"/>
    <w:rsid w:val="00D44BCF"/>
    <w:rsid w:val="00D45F5C"/>
    <w:rsid w:val="00D520C8"/>
    <w:rsid w:val="00D70570"/>
    <w:rsid w:val="00D9090A"/>
    <w:rsid w:val="00D95052"/>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299520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722728"/>
    <w:rsid w:val="00787EBD"/>
    <w:rsid w:val="007C3485"/>
    <w:rsid w:val="008E118A"/>
    <w:rsid w:val="009136B0"/>
    <w:rsid w:val="00A104A7"/>
    <w:rsid w:val="00AB484A"/>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098C128-5360-482B-83CC-A7C00A8F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28</TotalTime>
  <Pages>6</Pages>
  <Words>1572</Words>
  <Characters>8652</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2023-04-18T15:32:00Z</dcterms:created>
  <dcterms:modified xsi:type="dcterms:W3CDTF">2023-05-16T09:08:00Z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